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FF441F"/>
          <w:spacing w:val="60"/>
          <w:sz w:val="18"/>
          <w:szCs w:val="18"/>
        </w:rPr>
        <w:t xml:space="preserve">TÉRMINOS Y CONDICIONES</w:t>
      </w:r>
    </w:p>
    <w:p>
      <w:pPr>
        <w:spacing w:after="100"/>
      </w:pPr>
      <w:r>
        <w:rPr>
          <w:rFonts w:ascii="Calibri" w:cs="Calibri" w:eastAsia="Calibri" w:hAnsi="Calibri"/>
          <w:b/>
          <w:bCs/>
          <w:color w:val="22201D"/>
          <w:sz w:val="52"/>
          <w:szCs w:val="52"/>
        </w:rPr>
        <w:t xml:space="preserve">Términos de uso</w:t>
      </w:r>
    </w:p>
    <w:p>
      <w:pPr>
        <w:pBdr>
          <w:bottom w:val="single" w:color="FF441F" w:sz="12" w:space="6"/>
        </w:pBdr>
        <w:spacing w:after="60"/>
      </w:pPr>
      <w:r>
        <w:rPr>
          <w:sz w:val="2"/>
          <w:szCs w:val="2"/>
        </w:rPr>
        <w:t xml:space="preserve"/>
      </w:r>
    </w:p>
    <w:p>
      <w:pPr>
        <w:spacing w:after="300" w:line="300"/>
        <w:jc w:val="left"/>
      </w:pPr>
      <w:r>
        <w:rPr>
          <w:rFonts w:ascii="Calibri" w:cs="Calibri" w:eastAsia="Calibri" w:hAnsi="Calibri"/>
          <w:color w:val="6E665D"/>
          <w:sz w:val="23"/>
          <w:szCs w:val="23"/>
        </w:rPr>
        <w:t xml:space="preserve">Última actualización: agosto de 2026.</w:t>
      </w:r>
    </w:p>
    <w:tbl>
      <w:tblPr>
        <w:tblW w:type="dxa" w:w="9792"/>
        <w:tblBorders>
          <w:top w:val="single" w:color="FF441F" w:sz="2"/>
          <w:left w:val="single" w:color="FF441F" w:sz="18"/>
          <w:bottom w:val="single" w:color="FF441F" w:sz="2"/>
          <w:right w:val="single" w:color="FF441F" w:sz="2"/>
          <w:insideH w:val="none"/>
          <w:insideV w:val="none"/>
        </w:tblBorders>
      </w:tblPr>
      <w:tblGrid>
        <w:gridCol w:w="9792"/>
      </w:tblGrid>
      <w:tr>
        <w:tc>
          <w:tcPr>
            <w:tcW w:type="dxa" w:w="9792"/>
            <w:shd w:fill="FBF8F5" w:color="auto" w:val="clear"/>
            <w:tcMar>
              <w:top w:type="dxa" w:w="140"/>
              <w:left w:type="dxa" w:w="180"/>
              <w:bottom w:type="dxa" w:w="140"/>
              <w:right w:type="dxa" w:w="160"/>
            </w:tcMar>
          </w:tcPr>
          <w:p>
            <w:pPr>
              <w:spacing w:after="70"/>
            </w:pPr>
            <w:r>
              <w:rPr>
                <w:rFonts w:ascii="Calibri" w:cs="Calibri" w:eastAsia="Calibri" w:hAnsi="Calibri"/>
                <w:b/>
                <w:bCs/>
                <w:color w:val="E2360F"/>
                <w:sz w:val="21"/>
                <w:szCs w:val="21"/>
              </w:rPr>
              <w:t xml:space="preserve">Antes de publicarlo</w:t>
            </w:r>
          </w:p>
          <w:p>
            <w:pPr>
              <w:spacing w:after="0" w:line="300"/>
            </w:pPr>
            <w:r>
              <w:rPr>
                <w:rFonts w:ascii="Calibri" w:cs="Calibri" w:eastAsia="Calibri" w:hAnsi="Calibri"/>
                <w:color w:val="2B2724"/>
                <w:sz w:val="20"/>
                <w:szCs w:val="20"/>
              </w:rPr>
              <w:t xml:space="preserve">Este es un borrador de trabajo, no asesoría legal. Antes de subirlo al sitio tiene que revisarlo un abogado en Colombia, en particular lo relacionado con la Ley 1581 de 2012 (habeas data) y la Ley 1480 de 2011 (Estatuto del Consumidor).</w:t>
            </w:r>
          </w:p>
        </w:tc>
      </w:tr>
    </w:tbl>
    <w:p>
      <w:pPr>
        <w:pStyle w:val="Heading1"/>
        <w:spacing w:after="140" w:before="360"/>
      </w:pPr>
      <w:r>
        <w:rPr>
          <w:rFonts w:ascii="Calibri" w:cs="Calibri" w:eastAsia="Calibri" w:hAnsi="Calibri"/>
          <w:b/>
          <w:bCs/>
          <w:color w:val="22201D"/>
          <w:sz w:val="34"/>
          <w:szCs w:val="34"/>
        </w:rPr>
        <w:t xml:space="preserve">1. Quiénes somos y qué hacemos</w:t>
      </w:r>
    </w:p>
    <w:p>
      <w:pPr>
        <w:spacing w:after="120" w:line="300"/>
        <w:jc w:val="left"/>
      </w:pPr>
      <w:r>
        <w:rPr>
          <w:rFonts w:ascii="Calibri" w:cs="Calibri" w:eastAsia="Calibri" w:hAnsi="Calibri"/>
          <w:color w:val="2B2724"/>
          <w:sz w:val="21"/>
          <w:szCs w:val="21"/>
        </w:rPr>
        <w:t xml:space="preserve">TuraFood AI es una plataforma que conecta negocios de Buenaventura con clientes y repartidores de la ciudad. Operamos turafood.com, app.turafood.com y dash.turafood.com.</w:t>
      </w:r>
    </w:p>
    <w:p>
      <w:pPr>
        <w:spacing w:after="120" w:line="300"/>
      </w:pPr>
      <w:r>
        <w:rPr>
          <w:rFonts w:ascii="Calibri" w:cs="Calibri" w:eastAsia="Calibri" w:hAnsi="Calibri"/>
          <w:b w:val="false"/>
          <w:bCs w:val="false"/>
          <w:color w:val="2B2724"/>
          <w:sz w:val="21"/>
          <w:szCs w:val="21"/>
        </w:rPr>
        <w:t xml:space="preserve">Somos un intermediario tecnológico: </w:t>
      </w:r>
      <w:r>
        <w:rPr>
          <w:rFonts w:ascii="Calibri" w:cs="Calibri" w:eastAsia="Calibri" w:hAnsi="Calibri"/>
          <w:b/>
          <w:bCs/>
          <w:color w:val="2B2724"/>
          <w:sz w:val="21"/>
          <w:szCs w:val="21"/>
        </w:rPr>
        <w:t xml:space="preserve">no preparamos los alimentos, no los vendemos y no cobramos por ellos</w:t>
      </w:r>
      <w:r>
        <w:rPr>
          <w:rFonts w:ascii="Calibri" w:cs="Calibri" w:eastAsia="Calibri" w:hAnsi="Calibri"/>
          <w:b w:val="false"/>
          <w:bCs w:val="false"/>
          <w:color w:val="2B2724"/>
          <w:sz w:val="21"/>
          <w:szCs w:val="21"/>
        </w:rPr>
        <w:t xml:space="preserve">. Quien vende es el negocio; quien entrega es el repartidor. TuraFood pone la herramienta que los conecta.</w:t>
      </w:r>
    </w:p>
    <w:p>
      <w:pPr>
        <w:pStyle w:val="Heading1"/>
        <w:spacing w:after="140" w:before="360"/>
      </w:pPr>
      <w:r>
        <w:rPr>
          <w:rFonts w:ascii="Calibri" w:cs="Calibri" w:eastAsia="Calibri" w:hAnsi="Calibri"/>
          <w:b/>
          <w:bCs/>
          <w:color w:val="22201D"/>
          <w:sz w:val="34"/>
          <w:szCs w:val="34"/>
        </w:rPr>
        <w:t xml:space="preserve">2. Usar la plataforma sin cuenta</w:t>
      </w:r>
    </w:p>
    <w:p>
      <w:pPr>
        <w:spacing w:after="120" w:line="300"/>
        <w:jc w:val="left"/>
      </w:pPr>
      <w:r>
        <w:rPr>
          <w:rFonts w:ascii="Calibri" w:cs="Calibri" w:eastAsia="Calibri" w:hAnsi="Calibri"/>
          <w:color w:val="2B2724"/>
          <w:sz w:val="21"/>
          <w:szCs w:val="21"/>
        </w:rPr>
        <w:t xml:space="preserve">Puedes pedir sin registrarte. Cuando lo haces, el sistema te crea una sesión anónima para poder guardar tu pedido y tu dirección — es un identificador técnico, no un perfil con tus datos.</w:t>
      </w:r>
    </w:p>
    <w:p>
      <w:pPr>
        <w:spacing w:after="120" w:line="300"/>
        <w:jc w:val="left"/>
      </w:pPr>
      <w:r>
        <w:rPr>
          <w:rFonts w:ascii="Calibri" w:cs="Calibri" w:eastAsia="Calibri" w:hAnsi="Calibri"/>
          <w:color w:val="2B2724"/>
          <w:sz w:val="21"/>
          <w:szCs w:val="21"/>
        </w:rPr>
        <w:t xml:space="preserve">Si más adelante decides registrarte, esa misma cuenta pasa a ser tuya con todo lo que hiciste antes.</w:t>
      </w:r>
    </w:p>
    <w:p>
      <w:pPr>
        <w:spacing w:after="120" w:line="300"/>
        <w:jc w:val="left"/>
      </w:pPr>
      <w:r>
        <w:rPr>
          <w:rFonts w:ascii="Calibri" w:cs="Calibri" w:eastAsia="Calibri" w:hAnsi="Calibri"/>
          <w:color w:val="2B2724"/>
          <w:sz w:val="21"/>
          <w:szCs w:val="21"/>
        </w:rPr>
        <w:t xml:space="preserve">Para pedir debes ser mayor de edad. Los productos con restricción legal —licores, medicamentos de control— solo se entregan a mayores de 18 años con documento a la vista.</w:t>
      </w:r>
    </w:p>
    <w:p>
      <w:pPr>
        <w:pStyle w:val="Heading1"/>
        <w:spacing w:after="140" w:before="360"/>
      </w:pPr>
      <w:r>
        <w:rPr>
          <w:rFonts w:ascii="Calibri" w:cs="Calibri" w:eastAsia="Calibri" w:hAnsi="Calibri"/>
          <w:b/>
          <w:bCs/>
          <w:color w:val="22201D"/>
          <w:sz w:val="34"/>
          <w:szCs w:val="34"/>
        </w:rPr>
        <w:t xml:space="preserve">3. Los pedidos</w:t>
      </w:r>
    </w:p>
    <w:p>
      <w:pPr>
        <w:pStyle w:val="ListParagraph"/>
        <w:numPr>
          <w:ilvl w:val="0"/>
          <w:numId w:val="2"/>
        </w:numPr>
        <w:spacing w:after="70" w:line="290"/>
      </w:pPr>
      <w:r>
        <w:rPr>
          <w:rFonts w:ascii="Calibri" w:cs="Calibri" w:eastAsia="Calibri" w:hAnsi="Calibri"/>
          <w:color w:val="2B2724"/>
          <w:sz w:val="21"/>
          <w:szCs w:val="21"/>
        </w:rPr>
        <w:t xml:space="preserve">Los precios, la disponibilidad y las fotos las pone cada negocio. TuraFood no los fija ni los verifica uno por uno.</w:t>
      </w:r>
    </w:p>
    <w:p>
      <w:pPr>
        <w:pStyle w:val="ListParagraph"/>
        <w:numPr>
          <w:ilvl w:val="0"/>
          <w:numId w:val="2"/>
        </w:numPr>
        <w:spacing w:after="70" w:line="290"/>
      </w:pPr>
      <w:r>
        <w:rPr>
          <w:rFonts w:ascii="Calibri" w:cs="Calibri" w:eastAsia="Calibri" w:hAnsi="Calibri"/>
          <w:color w:val="2B2724"/>
          <w:sz w:val="21"/>
          <w:szCs w:val="21"/>
        </w:rPr>
        <w:t xml:space="preserve">El pedido queda en firme cuando el negocio lo acepta. Antes de eso lo puedes cancelar sin costo.</w:t>
      </w:r>
    </w:p>
    <w:p>
      <w:pPr>
        <w:pStyle w:val="ListParagraph"/>
        <w:numPr>
          <w:ilvl w:val="0"/>
          <w:numId w:val="2"/>
        </w:numPr>
        <w:spacing w:after="70" w:line="290"/>
      </w:pPr>
      <w:r>
        <w:rPr>
          <w:rFonts w:ascii="Calibri" w:cs="Calibri" w:eastAsia="Calibri" w:hAnsi="Calibri"/>
          <w:color w:val="2B2724"/>
          <w:sz w:val="21"/>
          <w:szCs w:val="21"/>
        </w:rPr>
        <w:t xml:space="preserve">Los tiempos de entrega son estimados, no una promesa contractual. Dependen del negocio, del tráfico y del clima del puerto.</w:t>
      </w:r>
    </w:p>
    <w:p>
      <w:pPr>
        <w:pStyle w:val="ListParagraph"/>
        <w:numPr>
          <w:ilvl w:val="0"/>
          <w:numId w:val="2"/>
        </w:numPr>
        <w:spacing w:after="70" w:line="290"/>
      </w:pPr>
      <w:r>
        <w:rPr>
          <w:rFonts w:ascii="Calibri" w:cs="Calibri" w:eastAsia="Calibri" w:hAnsi="Calibri"/>
          <w:color w:val="2B2724"/>
          <w:sz w:val="21"/>
          <w:szCs w:val="21"/>
        </w:rPr>
        <w:t xml:space="preserve">Si el negocio no puede cumplir un pedido ya aceptado, debe cancelarlo y avisarte.</w:t>
      </w:r>
    </w:p>
    <w:p>
      <w:pPr>
        <w:pStyle w:val="Heading1"/>
        <w:spacing w:after="140" w:before="360"/>
      </w:pPr>
      <w:r>
        <w:rPr>
          <w:rFonts w:ascii="Calibri" w:cs="Calibri" w:eastAsia="Calibri" w:hAnsi="Calibri"/>
          <w:b/>
          <w:bCs/>
          <w:color w:val="22201D"/>
          <w:sz w:val="34"/>
          <w:szCs w:val="34"/>
        </w:rPr>
        <w:t xml:space="preserve">4. Los pagos</w:t>
      </w:r>
    </w:p>
    <w:p>
      <w:pPr>
        <w:spacing w:after="120" w:line="300"/>
      </w:pPr>
      <w:r>
        <w:rPr>
          <w:rFonts w:ascii="Calibri" w:cs="Calibri" w:eastAsia="Calibri" w:hAnsi="Calibri"/>
          <w:b w:val="false"/>
          <w:bCs w:val="false"/>
          <w:color w:val="2B2724"/>
          <w:sz w:val="21"/>
          <w:szCs w:val="21"/>
        </w:rPr>
        <w:t xml:space="preserve">TuraFood </w:t>
      </w:r>
      <w:r>
        <w:rPr>
          <w:rFonts w:ascii="Calibri" w:cs="Calibri" w:eastAsia="Calibri" w:hAnsi="Calibri"/>
          <w:b/>
          <w:bCs/>
          <w:color w:val="2B2724"/>
          <w:sz w:val="21"/>
          <w:szCs w:val="21"/>
        </w:rPr>
        <w:t xml:space="preserve">no procesa el dinero de tus compras</w:t>
      </w:r>
      <w:r>
        <w:rPr>
          <w:rFonts w:ascii="Calibri" w:cs="Calibri" w:eastAsia="Calibri" w:hAnsi="Calibri"/>
          <w:b w:val="false"/>
          <w:bCs w:val="false"/>
          <w:color w:val="2B2724"/>
          <w:sz w:val="21"/>
          <w:szCs w:val="21"/>
        </w:rPr>
        <w:t xml:space="preserve">. Le pagas directamente al negocio por el medio que él haya habilitado: efectivo al recibir, transferencia a su Nequi o Daviplata, tarjeta con datáfono, o acordándolo por WhatsApp.</w:t>
      </w:r>
    </w:p>
    <w:p>
      <w:pPr>
        <w:spacing w:after="120" w:line="300"/>
        <w:jc w:val="left"/>
      </w:pPr>
      <w:r>
        <w:rPr>
          <w:rFonts w:ascii="Calibri" w:cs="Calibri" w:eastAsia="Calibri" w:hAnsi="Calibri"/>
          <w:color w:val="2B2724"/>
          <w:sz w:val="21"/>
          <w:szCs w:val="21"/>
        </w:rPr>
        <w:t xml:space="preserve">Sobre cada pedido se cobra una tarifa de servicio que aparece desglosada antes de confirmar. Esa tarifa es lo único que va para TuraFood.</w:t>
      </w:r>
    </w:p>
    <w:p>
      <w:pPr>
        <w:spacing w:after="120" w:line="300"/>
        <w:jc w:val="left"/>
      </w:pPr>
      <w:r>
        <w:rPr>
          <w:rFonts w:ascii="Calibri" w:cs="Calibri" w:eastAsia="Calibri" w:hAnsi="Calibri"/>
          <w:color w:val="2B2724"/>
          <w:sz w:val="21"/>
          <w:szCs w:val="21"/>
        </w:rPr>
        <w:t xml:space="preserve">El domicilio y la propina son del repartidor. TuraFood no retiene nada de ellos.</w:t>
      </w:r>
    </w:p>
    <w:p>
      <w:pPr>
        <w:spacing w:after="120" w:line="300"/>
        <w:jc w:val="left"/>
      </w:pPr>
      <w:r>
        <w:rPr>
          <w:rFonts w:ascii="Calibri" w:cs="Calibri" w:eastAsia="Calibri" w:hAnsi="Calibri"/>
          <w:color w:val="2B2724"/>
          <w:sz w:val="21"/>
          <w:szCs w:val="21"/>
        </w:rPr>
        <w:t xml:space="preserve">Los planes de crecimiento que un negocio tome se cobran aparte, a través de nuestra pasarela de pagos, y se rigen por sus propias condiciones.</w:t>
      </w:r>
    </w:p>
    <w:p>
      <w:r>
        <w:br w:type="page"/>
      </w:r>
    </w:p>
    <w:p>
      <w:pPr>
        <w:pStyle w:val="Heading1"/>
        <w:spacing w:after="140" w:before="360"/>
      </w:pPr>
      <w:r>
        <w:rPr>
          <w:rFonts w:ascii="Calibri" w:cs="Calibri" w:eastAsia="Calibri" w:hAnsi="Calibri"/>
          <w:b/>
          <w:bCs/>
          <w:color w:val="22201D"/>
          <w:sz w:val="34"/>
          <w:szCs w:val="34"/>
        </w:rPr>
        <w:t xml:space="preserve">5. Devoluciones y reclamos</w:t>
      </w:r>
    </w:p>
    <w:p>
      <w:pPr>
        <w:spacing w:after="120" w:line="300"/>
        <w:jc w:val="left"/>
      </w:pPr>
      <w:r>
        <w:rPr>
          <w:rFonts w:ascii="Calibri" w:cs="Calibri" w:eastAsia="Calibri" w:hAnsi="Calibri"/>
          <w:color w:val="2B2724"/>
          <w:sz w:val="21"/>
          <w:szCs w:val="21"/>
        </w:rPr>
        <w:t xml:space="preserve">Si tu pedido llega incompleto, en mal estado o distinto a lo que pediste, repórtalo desde la app dentro de las 24 horas siguientes.</w:t>
      </w:r>
    </w:p>
    <w:p>
      <w:pPr>
        <w:spacing w:after="120" w:line="300"/>
        <w:jc w:val="left"/>
      </w:pPr>
      <w:r>
        <w:rPr>
          <w:rFonts w:ascii="Calibri" w:cs="Calibri" w:eastAsia="Calibri" w:hAnsi="Calibri"/>
          <w:color w:val="2B2724"/>
          <w:sz w:val="21"/>
          <w:szCs w:val="21"/>
        </w:rPr>
        <w:t xml:space="preserve">Como el pago va directo al negocio, la devolución la hace el negocio. TuraFood media en el reclamo y, si el negocio no responde, puede suspenderlo de la plataforma.</w:t>
      </w:r>
    </w:p>
    <w:p>
      <w:pPr>
        <w:spacing w:after="120" w:line="300"/>
        <w:jc w:val="left"/>
      </w:pPr>
      <w:r>
        <w:rPr>
          <w:rFonts w:ascii="Calibri" w:cs="Calibri" w:eastAsia="Calibri" w:hAnsi="Calibri"/>
          <w:color w:val="2B2724"/>
          <w:sz w:val="21"/>
          <w:szCs w:val="21"/>
        </w:rPr>
        <w:t xml:space="preserve">Esto no limita tus derechos como consumidor bajo la Ley 1480 de 2011.</w:t>
      </w:r>
    </w:p>
    <w:p>
      <w:pPr>
        <w:pStyle w:val="Heading1"/>
        <w:spacing w:after="140" w:before="360"/>
      </w:pPr>
      <w:r>
        <w:rPr>
          <w:rFonts w:ascii="Calibri" w:cs="Calibri" w:eastAsia="Calibri" w:hAnsi="Calibri"/>
          <w:b/>
          <w:bCs/>
          <w:color w:val="22201D"/>
          <w:sz w:val="34"/>
          <w:szCs w:val="34"/>
        </w:rPr>
        <w:t xml:space="preserve">6. Obligaciones del negocio</w:t>
      </w:r>
    </w:p>
    <w:p>
      <w:pPr>
        <w:pStyle w:val="ListParagraph"/>
        <w:numPr>
          <w:ilvl w:val="0"/>
          <w:numId w:val="2"/>
        </w:numPr>
        <w:spacing w:after="70" w:line="290"/>
      </w:pPr>
      <w:r>
        <w:rPr>
          <w:rFonts w:ascii="Calibri" w:cs="Calibri" w:eastAsia="Calibri" w:hAnsi="Calibri"/>
          <w:color w:val="2B2724"/>
          <w:sz w:val="21"/>
          <w:szCs w:val="21"/>
        </w:rPr>
        <w:t xml:space="preserve">Cumplir las normas sanitarias, tributarias y de funcionamiento que le correspondan. TuraFood no verifica el cumplimiento normativo de cada negocio.</w:t>
      </w:r>
    </w:p>
    <w:p>
      <w:pPr>
        <w:pStyle w:val="ListParagraph"/>
        <w:numPr>
          <w:ilvl w:val="0"/>
          <w:numId w:val="2"/>
        </w:numPr>
        <w:spacing w:after="70" w:line="290"/>
      </w:pPr>
      <w:r>
        <w:rPr>
          <w:rFonts w:ascii="Calibri" w:cs="Calibri" w:eastAsia="Calibri" w:hAnsi="Calibri"/>
          <w:color w:val="2B2724"/>
          <w:sz w:val="21"/>
          <w:szCs w:val="21"/>
        </w:rPr>
        <w:t xml:space="preserve">Que lo que publica —precios, fotos, descripciones— corresponda a lo que entrega.</w:t>
      </w:r>
    </w:p>
    <w:p>
      <w:pPr>
        <w:pStyle w:val="ListParagraph"/>
        <w:numPr>
          <w:ilvl w:val="0"/>
          <w:numId w:val="2"/>
        </w:numPr>
        <w:spacing w:after="70" w:line="290"/>
      </w:pPr>
      <w:r>
        <w:rPr>
          <w:rFonts w:ascii="Calibri" w:cs="Calibri" w:eastAsia="Calibri" w:hAnsi="Calibri"/>
          <w:color w:val="2B2724"/>
          <w:sz w:val="21"/>
          <w:szCs w:val="21"/>
        </w:rPr>
        <w:t xml:space="preserve">Atender los pedidos que acepta dentro de un tiempo razonable.</w:t>
      </w:r>
    </w:p>
    <w:p>
      <w:pPr>
        <w:pStyle w:val="ListParagraph"/>
        <w:numPr>
          <w:ilvl w:val="0"/>
          <w:numId w:val="2"/>
        </w:numPr>
        <w:spacing w:after="70" w:line="290"/>
      </w:pPr>
      <w:r>
        <w:rPr>
          <w:rFonts w:ascii="Calibri" w:cs="Calibri" w:eastAsia="Calibri" w:hAnsi="Calibri"/>
          <w:color w:val="2B2724"/>
          <w:sz w:val="21"/>
          <w:szCs w:val="21"/>
        </w:rPr>
        <w:t xml:space="preserve">No vender productos de venta prohibida ni entregarlos a quien no cumpla la edad.</w:t>
      </w:r>
    </w:p>
    <w:p>
      <w:pPr>
        <w:pStyle w:val="Heading1"/>
        <w:spacing w:after="140" w:before="360"/>
      </w:pPr>
      <w:r>
        <w:rPr>
          <w:rFonts w:ascii="Calibri" w:cs="Calibri" w:eastAsia="Calibri" w:hAnsi="Calibri"/>
          <w:b/>
          <w:bCs/>
          <w:color w:val="22201D"/>
          <w:sz w:val="34"/>
          <w:szCs w:val="34"/>
        </w:rPr>
        <w:t xml:space="preserve">7. Obligaciones del repartidor</w:t>
      </w:r>
    </w:p>
    <w:p>
      <w:pPr>
        <w:pStyle w:val="ListParagraph"/>
        <w:numPr>
          <w:ilvl w:val="0"/>
          <w:numId w:val="2"/>
        </w:numPr>
        <w:spacing w:after="70" w:line="290"/>
      </w:pPr>
      <w:r>
        <w:rPr>
          <w:rFonts w:ascii="Calibri" w:cs="Calibri" w:eastAsia="Calibri" w:hAnsi="Calibri"/>
          <w:color w:val="2B2724"/>
          <w:sz w:val="21"/>
          <w:szCs w:val="21"/>
        </w:rPr>
        <w:t xml:space="preserve">Contar con los documentos que su vehículo exija por ley, cuando aplique.</w:t>
      </w:r>
    </w:p>
    <w:p>
      <w:pPr>
        <w:pStyle w:val="ListParagraph"/>
        <w:numPr>
          <w:ilvl w:val="0"/>
          <w:numId w:val="2"/>
        </w:numPr>
        <w:spacing w:after="70" w:line="290"/>
      </w:pPr>
      <w:r>
        <w:rPr>
          <w:rFonts w:ascii="Calibri" w:cs="Calibri" w:eastAsia="Calibri" w:hAnsi="Calibri"/>
          <w:color w:val="2B2724"/>
          <w:sz w:val="21"/>
          <w:szCs w:val="21"/>
        </w:rPr>
        <w:t xml:space="preserve">Entregar el pedido en las condiciones en que lo recibió.</w:t>
      </w:r>
    </w:p>
    <w:p>
      <w:pPr>
        <w:pStyle w:val="ListParagraph"/>
        <w:numPr>
          <w:ilvl w:val="0"/>
          <w:numId w:val="2"/>
        </w:numPr>
        <w:spacing w:after="70" w:line="290"/>
      </w:pPr>
      <w:r>
        <w:rPr>
          <w:rFonts w:ascii="Calibri" w:cs="Calibri" w:eastAsia="Calibri" w:hAnsi="Calibri"/>
          <w:color w:val="2B2724"/>
          <w:sz w:val="21"/>
          <w:szCs w:val="21"/>
        </w:rPr>
        <w:t xml:space="preserve">Pedir el código de entrega y no cerrar la entrega sin él.</w:t>
      </w:r>
    </w:p>
    <w:p>
      <w:pPr>
        <w:pStyle w:val="ListParagraph"/>
        <w:numPr>
          <w:ilvl w:val="0"/>
          <w:numId w:val="2"/>
        </w:numPr>
        <w:spacing w:after="70" w:line="290"/>
      </w:pPr>
      <w:r>
        <w:rPr>
          <w:rFonts w:ascii="Calibri" w:cs="Calibri" w:eastAsia="Calibri" w:hAnsi="Calibri"/>
          <w:color w:val="2B2724"/>
          <w:sz w:val="21"/>
          <w:szCs w:val="21"/>
        </w:rPr>
        <w:t xml:space="preserve">Tratar con respeto a clientes y a negocios.</w:t>
      </w:r>
    </w:p>
    <w:p>
      <w:pPr>
        <w:pStyle w:val="Heading1"/>
        <w:spacing w:after="140" w:before="360"/>
      </w:pPr>
      <w:r>
        <w:rPr>
          <w:rFonts w:ascii="Calibri" w:cs="Calibri" w:eastAsia="Calibri" w:hAnsi="Calibri"/>
          <w:b/>
          <w:bCs/>
          <w:color w:val="22201D"/>
          <w:sz w:val="34"/>
          <w:szCs w:val="34"/>
        </w:rPr>
        <w:t xml:space="preserve">8. Suspensión de cuentas</w:t>
      </w:r>
    </w:p>
    <w:p>
      <w:pPr>
        <w:spacing w:after="120" w:line="300"/>
        <w:jc w:val="left"/>
      </w:pPr>
      <w:r>
        <w:rPr>
          <w:rFonts w:ascii="Calibri" w:cs="Calibri" w:eastAsia="Calibri" w:hAnsi="Calibri"/>
          <w:color w:val="2B2724"/>
          <w:sz w:val="21"/>
          <w:szCs w:val="21"/>
        </w:rPr>
        <w:t xml:space="preserve">Podemos suspender una cuenta que incumpla estos términos, que reporte información falsa, que manipule métricas o pedidos, o que ponga en riesgo a otro usuario.</w:t>
      </w:r>
    </w:p>
    <w:p>
      <w:pPr>
        <w:spacing w:after="120" w:line="300"/>
        <w:jc w:val="left"/>
      </w:pPr>
      <w:r>
        <w:rPr>
          <w:rFonts w:ascii="Calibri" w:cs="Calibri" w:eastAsia="Calibri" w:hAnsi="Calibri"/>
          <w:color w:val="2B2724"/>
          <w:sz w:val="21"/>
          <w:szCs w:val="21"/>
        </w:rPr>
        <w:t xml:space="preserve">Antes de suspender contactamos a la persona, salvo que la gravedad exija actuar de inmediato.</w:t>
      </w:r>
    </w:p>
    <w:p>
      <w:pPr>
        <w:pStyle w:val="Heading1"/>
        <w:spacing w:after="140" w:before="360"/>
      </w:pPr>
      <w:r>
        <w:rPr>
          <w:rFonts w:ascii="Calibri" w:cs="Calibri" w:eastAsia="Calibri" w:hAnsi="Calibri"/>
          <w:b/>
          <w:bCs/>
          <w:color w:val="22201D"/>
          <w:sz w:val="34"/>
          <w:szCs w:val="34"/>
        </w:rPr>
        <w:t xml:space="preserve">9. Límite de responsabilidad</w:t>
      </w:r>
    </w:p>
    <w:p>
      <w:pPr>
        <w:spacing w:after="120" w:line="300"/>
        <w:jc w:val="left"/>
      </w:pPr>
      <w:r>
        <w:rPr>
          <w:rFonts w:ascii="Calibri" w:cs="Calibri" w:eastAsia="Calibri" w:hAnsi="Calibri"/>
          <w:color w:val="2B2724"/>
          <w:sz w:val="21"/>
          <w:szCs w:val="21"/>
        </w:rPr>
        <w:t xml:space="preserve">TuraFood responde por el funcionamiento de la plataforma. No responde por la calidad, la inocuidad ni la legalidad de los productos que vende cada negocio, ni por hechos ocurridos por fuera de la plataforma.</w:t>
      </w:r>
    </w:p>
    <w:p>
      <w:pPr>
        <w:spacing w:after="120" w:line="300"/>
        <w:jc w:val="left"/>
      </w:pPr>
      <w:r>
        <w:rPr>
          <w:rFonts w:ascii="Calibri" w:cs="Calibri" w:eastAsia="Calibri" w:hAnsi="Calibri"/>
          <w:color w:val="2B2724"/>
          <w:sz w:val="21"/>
          <w:szCs w:val="21"/>
        </w:rPr>
        <w:t xml:space="preserve">Nada de lo anterior excluye la responsabilidad que la ley colombiana nos imponga de forma imperativa.</w:t>
      </w:r>
    </w:p>
    <w:p>
      <w:pPr>
        <w:pStyle w:val="Heading1"/>
        <w:spacing w:after="140" w:before="360"/>
      </w:pPr>
      <w:r>
        <w:rPr>
          <w:rFonts w:ascii="Calibri" w:cs="Calibri" w:eastAsia="Calibri" w:hAnsi="Calibri"/>
          <w:b/>
          <w:bCs/>
          <w:color w:val="22201D"/>
          <w:sz w:val="34"/>
          <w:szCs w:val="34"/>
        </w:rPr>
        <w:t xml:space="preserve">10. Cambios</w:t>
      </w:r>
    </w:p>
    <w:p>
      <w:pPr>
        <w:spacing w:after="120" w:line="300"/>
        <w:jc w:val="left"/>
      </w:pPr>
      <w:r>
        <w:rPr>
          <w:rFonts w:ascii="Calibri" w:cs="Calibri" w:eastAsia="Calibri" w:hAnsi="Calibri"/>
          <w:color w:val="2B2724"/>
          <w:sz w:val="21"/>
          <w:szCs w:val="21"/>
        </w:rPr>
        <w:t xml:space="preserve">Podemos modificar estos términos. Cuando el cambio sea relevante lo avisamos dentro de la app con al menos 15 días de anticipación. Seguir usando la plataforma después de esa fecha significa que los aceptas.</w:t>
      </w:r>
    </w:p>
    <w:p>
      <w:pPr>
        <w:pStyle w:val="Heading1"/>
        <w:spacing w:after="140" w:before="360"/>
      </w:pPr>
      <w:r>
        <w:rPr>
          <w:rFonts w:ascii="Calibri" w:cs="Calibri" w:eastAsia="Calibri" w:hAnsi="Calibri"/>
          <w:b/>
          <w:bCs/>
          <w:color w:val="22201D"/>
          <w:sz w:val="34"/>
          <w:szCs w:val="34"/>
        </w:rPr>
        <w:t xml:space="preserve">11. Ley y jurisdicción</w:t>
      </w:r>
    </w:p>
    <w:p>
      <w:pPr>
        <w:spacing w:after="120" w:line="300"/>
        <w:jc w:val="left"/>
      </w:pPr>
      <w:r>
        <w:rPr>
          <w:rFonts w:ascii="Calibri" w:cs="Calibri" w:eastAsia="Calibri" w:hAnsi="Calibri"/>
          <w:color w:val="2B2724"/>
          <w:sz w:val="21"/>
          <w:szCs w:val="21"/>
        </w:rPr>
        <w:t xml:space="preserve">Estos términos se rigen por la ley colombiana. Cualquier controversia se somete a los jueces de Buenaventura, Valle del Cauca.</w:t>
      </w:r>
    </w:p>
    <w:p>
      <w:pPr>
        <w:pBdr>
          <w:bottom w:val="single" w:color="E4DFD8" w:sz="6" w:space="4"/>
        </w:pBdr>
        <w:spacing w:after="140" w:before="140"/>
      </w:pPr>
      <w:r>
        <w:rPr>
          <w:sz w:val="2"/>
          <w:szCs w:val="2"/>
        </w:rPr>
        <w:t xml:space="preserve"/>
      </w:r>
    </w:p>
    <w:p>
      <w:pPr>
        <w:spacing w:after="120" w:line="300"/>
        <w:jc w:val="left"/>
      </w:pPr>
      <w:r>
        <w:rPr>
          <w:rFonts w:ascii="Calibri" w:cs="Calibri" w:eastAsia="Calibri" w:hAnsi="Calibri"/>
          <w:color w:val="6E665D"/>
          <w:sz w:val="18"/>
          <w:szCs w:val="18"/>
        </w:rPr>
        <w:t xml:space="preserve">Contacto: hola@turafood.com · WhatsApp +57 313 759 4713 · Buenaventura, Valle del Cauca, Colombia.</w:t>
      </w:r>
    </w:p>
    <w:sectPr>
      <w:footerReference w:type="default" r:id="rId7"/>
      <w:pgSz w:w="12240" w:h="15840"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65D"/>
        <w:sz w:val="16"/>
        <w:szCs w:val="16"/>
      </w:rPr>
      <w:t xml:space="preserve">TuraFood AI · Términos y Condiciones · Buenaventura, Colombia · turafood.com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FF44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2026-08-19T17:58:23.055Z</dcterms:created>
  <dcterms:modified xsi:type="dcterms:W3CDTF">2026-08-19T17:58:23.056Z</dcterms:modified>
</cp:coreProperties>
</file>

<file path=docProps/custom.xml><?xml version="1.0" encoding="utf-8"?>
<Properties xmlns="http://schemas.openxmlformats.org/officeDocument/2006/custom-properties" xmlns:vt="http://schemas.openxmlformats.org/officeDocument/2006/docPropsVTypes"/>
</file>