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40"/>
      </w:pPr>
      <w:r>
        <w:rPr>
          <w:b/>
          <w:bCs/>
          <w:color w:val="1B5E3F"/>
          <w:sz w:val="30"/>
          <w:szCs w:val="30"/>
        </w:rPr>
        <w:t xml:space="preserve">TURA</w:t>
      </w:r>
      <w:r>
        <w:rPr>
          <w:b/>
          <w:bCs/>
          <w:color w:val="2E8B57"/>
          <w:sz w:val="30"/>
          <w:szCs w:val="30"/>
        </w:rPr>
        <w:t xml:space="preserve">FOOD</w:t>
      </w:r>
      <w:r>
        <w:rPr>
          <w:b/>
          <w:bCs/>
          <w:color w:val="6B7280"/>
          <w:sz w:val="30"/>
          <w:szCs w:val="30"/>
        </w:rPr>
        <w:t xml:space="preserve">  AI</w:t>
      </w:r>
    </w:p>
    <w:p>
      <w:pPr>
        <w:pBdr>
          <w:bottom w:val="single" w:color="1B5E3F" w:sz="18" w:space="6"/>
        </w:pBdr>
        <w:spacing w:after="360"/>
      </w:pPr>
    </w:p>
    <w:p>
      <w:pPr>
        <w:spacing w:after="120"/>
      </w:pPr>
      <w:r>
        <w:rPr>
          <w:b/>
          <w:bCs/>
          <w:color w:val="2E8B57"/>
          <w:spacing w:val="30"/>
          <w:sz w:val="20"/>
          <w:szCs w:val="20"/>
        </w:rPr>
        <w:t xml:space="preserve">CONTRATO DE MEMBRESIA</w:t>
      </w:r>
    </w:p>
    <w:p>
      <w:pPr>
        <w:pStyle w:val="Title"/>
        <w:spacing w:after="80"/>
      </w:pPr>
      <w:r>
        <w:t xml:space="preserve">Contrato Tura Growth</w:t>
      </w:r>
    </w:p>
    <w:p>
      <w:pPr>
        <w:pStyle w:val="Subtitle"/>
      </w:pPr>
      <w:r>
        <w:t xml:space="preserve">Membresia mensual y anual - ecosistema completo de crecimiento</w:t>
      </w:r>
    </w:p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05 - Contrato Tura Growth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v2.0 - 2026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Aplica a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Tura Growth (mensual / anual)</w:t>
            </w:r>
          </w:p>
        </w:tc>
      </w:tr>
      <w:tr>
        <w:tc>
          <w:tcPr>
            <w:tcW w:type="dxa" w:w="30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6B7280"/>
                <w:sz w:val="19"/>
                <w:szCs w:val="19"/>
              </w:rPr>
              <w:t xml:space="preserve">Clasificacion</w:t>
            </w:r>
          </w:p>
        </w:tc>
        <w:tc>
          <w:tcPr>
            <w:tcW w:type="dxa" w:w="63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Confidencial / Cliente</w:t>
            </w:r>
          </w:p>
        </w:tc>
      </w:tr>
    </w:tbl>
    <w:p>
      <w:pPr>
        <w:spacing w:before="1800"/>
      </w:pPr>
      <w:r>
        <w:rPr>
          <w:color w:val="6B7280"/>
          <w:sz w:val="17"/>
          <w:szCs w:val="17"/>
        </w:rPr>
        <w:t xml:space="preserve">Documento confidencial · Tura Food AI · 2026</w:t>
      </w:r>
    </w:p>
    <w:p>
      <w:r>
        <w:br w:type="page"/>
      </w:r>
    </w:p>
    <w:tbl>
      <w:tblPr>
        <w:tblW w:type="dxa" w:w="9360"/>
        <w:tblBorders>
          <w:top w:val="single" w:color="FBF4E6" w:sz="4"/>
          <w:left w:val="single" w:color="B7791F" w:sz="24"/>
          <w:bottom w:val="single" w:color="FBF4E6" w:sz="4"/>
          <w:right w:val="single" w:color="FBF4E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7791F"/>
                <w:sz w:val="21"/>
                <w:szCs w:val="21"/>
              </w:rPr>
              <w:t xml:space="preserve">Sobre este contrato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Regula la membresia Tura Growth (mensual o anual). El plan anual desbloquea funciones adicionales. Plantilla: ajustala con tu abogado.</w:t>
            </w:r>
          </w:p>
        </w:tc>
      </w:tr>
    </w:tbl>
    <w:p>
      <w:pPr>
        <w:pStyle w:val="Heading1"/>
      </w:pPr>
      <w:r>
        <w:t xml:space="preserve">1. Partes</w:t>
      </w:r>
    </w:p>
    <w:p>
      <w:pPr>
        <w:spacing w:after="120" w:line="276"/>
      </w:pPr>
      <w:r>
        <w:t xml:space="preserve">Entre </w:t>
      </w:r>
      <w:r>
        <w:rPr>
          <w:b/>
          <w:bCs/>
        </w:rPr>
        <w:t xml:space="preserve">TURA FOOD AI</w:t>
      </w:r>
      <w:r>
        <w:t xml:space="preserve"> (el Prestador) y </w:t>
      </w:r>
      <w:r>
        <w:rPr>
          <w:b/>
          <w:bCs/>
        </w:rPr>
        <w:t xml:space="preserve">[Nombre del restaurante]</w:t>
      </w:r>
      <w:r>
        <w:t xml:space="preserve"> (el Cliente).</w:t>
      </w:r>
    </w:p>
    <w:p>
      <w:pPr>
        <w:pStyle w:val="Heading1"/>
      </w:pPr>
      <w:r>
        <w:t xml:space="preserve">2. Funciones en mensual y anual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Voice AI 24/7: responde llamadas, reserva mesas, resuelve FAQs (300 min/mes fair-use).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WhatsApp Business full automatizado: confirmaciones, recordatorios, campanas, respuestas.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CRM de clientes: historial de visitas, preferencias, segmentacion.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Google Ads PRO AI Setup (configuracion sin inversion activa).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Meta Pixel + CAPI + GA4 + GTM.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Dashboard avanzado en tiempo real.</w:t>
      </w:r>
    </w:p>
    <w:p>
      <w:pPr>
        <w:pStyle w:val="Heading2"/>
      </w:pPr>
      <w:r>
        <w:t xml:space="preserve">Solo en plan anual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Agenda de reservas con automatizaciones (agenda.turafood.com).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Confirmaciones, recordatorios, lista de espera y reservas multi-canal (IG/FB/WA).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Email marketing avanzado: campanas automaticas, disenos PRO, segmentacion.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Programa de lealtad con puntos, cupones, cumpleanios y recompensas.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Solicitudes automaticas de resenias en Google tras cada visita.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Recuperacion de clientes inactivos (WhatsApp + email).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QR inteligente con analitica de visitas al menu.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Configuracion avanzada de Google My Business.</w:t>
      </w:r>
    </w:p>
    <w:p>
      <w:pPr>
        <w:pStyle w:val="Heading1"/>
      </w:pPr>
      <w:r>
        <w:t xml:space="preserve">3. Precio y forma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31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2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Precio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Funciones</w:t>
            </w:r>
          </w:p>
        </w:tc>
        <w:tc>
          <w:tcPr>
            <w:tcW w:type="dxa" w:w="15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1B5E3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Vigencia</w:t>
            </w:r>
          </w:p>
        </w:tc>
      </w:tr>
      <w:tr>
        <w:tc>
          <w:tcPr>
            <w:tcW w:type="dxa" w:w="2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Tura Growth Mensual</w:t>
            </w:r>
          </w:p>
        </w:tc>
        <w:tc>
          <w:tcPr>
            <w:tcW w:type="dxa" w:w="2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$289.000 COP / mes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Base + Voice AI + WA + CRM + ads</w:t>
            </w:r>
          </w:p>
        </w:tc>
        <w:tc>
          <w:tcPr>
            <w:tcW w:type="dxa" w:w="15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 mes</w:t>
            </w:r>
          </w:p>
        </w:tc>
      </w:tr>
      <w:tr>
        <w:tc>
          <w:tcPr>
            <w:tcW w:type="dxa" w:w="24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</w:rPr>
              <w:t xml:space="preserve">Tura Growth Anual</w:t>
            </w:r>
          </w:p>
        </w:tc>
        <w:tc>
          <w:tcPr>
            <w:tcW w:type="dxa" w:w="23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B5E3F"/>
              </w:rPr>
              <w:t xml:space="preserve">$890.000 COP / anio</w:t>
            </w:r>
          </w:p>
        </w:tc>
        <w:tc>
          <w:tcPr>
            <w:tcW w:type="dxa" w:w="310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Todo + agenda, email mkt, lealtad, resenas, QR</w:t>
            </w:r>
          </w:p>
        </w:tc>
        <w:tc>
          <w:tcPr>
            <w:tcW w:type="dxa" w:w="156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3F4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 meses</w:t>
            </w:r>
          </w:p>
        </w:tc>
      </w:tr>
    </w:tbl>
    <w:tbl>
      <w:tblPr>
        <w:tblW w:type="dxa" w:w="9360"/>
        <w:tblBorders>
          <w:top w:val="single" w:color="F3F4F6" w:sz="4"/>
          <w:left w:val="single" w:color="1B5E3F" w:sz="24"/>
          <w:bottom w:val="single" w:color="F3F4F6" w:sz="4"/>
          <w:right w:val="single" w:color="F3F4F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Fair-use Voice AI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300 min/mes incluidos. El excedente se factura al costo de operacion.</w:t>
            </w:r>
          </w:p>
        </w:tc>
      </w:tr>
    </w:tbl>
    <w:tbl>
      <w:tblPr>
        <w:tblW w:type="dxa" w:w="9360"/>
        <w:tblBorders>
          <w:top w:val="single" w:color="FBF4E6" w:sz="4"/>
          <w:left w:val="single" w:color="B7791F" w:sz="24"/>
          <w:bottom w:val="single" w:color="FBF4E6" w:sz="4"/>
          <w:right w:val="single" w:color="FBF4E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7791F"/>
                <w:sz w:val="21"/>
                <w:szCs w:val="21"/>
              </w:rPr>
              <w:t xml:space="preserve">Google Ads - sin inversion activa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Se entrega la cuenta configurada. NO incluye inversion publicitaria ni gestion activa.</w:t>
            </w:r>
          </w:p>
        </w:tc>
      </w:tr>
    </w:tbl>
    <w:p>
      <w:pPr>
        <w:pStyle w:val="Heading1"/>
      </w:pPr>
      <w:r>
        <w:t xml:space="preserve">4. Garantia</w:t>
      </w:r>
    </w:p>
    <w:tbl>
      <w:tblPr>
        <w:tblW w:type="dxa" w:w="9360"/>
        <w:tblBorders>
          <w:top w:val="single" w:color="E6F0EB" w:sz="4"/>
          <w:left w:val="single" w:color="1B5E3F" w:sz="24"/>
          <w:bottom w:val="single" w:color="E6F0EB" w:sz="4"/>
          <w:right w:val="single" w:color="E6F0E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0EB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B5E3F"/>
                <w:sz w:val="21"/>
                <w:szCs w:val="21"/>
              </w:rPr>
              <w:t xml:space="preserve">Garantia 30 dias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Si antes de que el ecosistema entre en produccion el Cliente no esta satisfecho, se devuelve el 100% del valor pagado.</w:t>
            </w:r>
          </w:p>
        </w:tc>
      </w:tr>
    </w:tbl>
    <w:p>
      <w:pPr>
        <w:pStyle w:val="Heading1"/>
      </w:pPr>
      <w:r>
        <w:t xml:space="preserve">5. Obligaciones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Del Cliente: entregar insumos, disponibilidad para el onboarding, cumplir normativa.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Del Prestador: entregar y mantener operativo el ecosistema, soporte Help Desk + WhatsApp.</w:t>
      </w:r>
    </w:p>
    <w:p>
      <w:pPr>
        <w:pStyle w:val="Heading1"/>
      </w:pPr>
      <w:r>
        <w:t xml:space="preserve">6. Propiedad y datos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Plataforma: </w:t>
      </w:r>
      <w:r>
        <w:t xml:space="preserve">propiedad del Prestador.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Contenido, dominio y base de clientes: </w:t>
      </w:r>
      <w:r>
        <w:t xml:space="preserve">propiedad del Cliente.</w:t>
      </w:r>
    </w:p>
    <w:p>
      <w:pPr>
        <w:pStyle w:val="Heading1"/>
      </w:pPr>
      <w:r>
        <w:t xml:space="preserve">7. Limitacion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La membresia entrega infraestructura; no garantiza un numero de reservas ni resultados publicitarios.</w:t>
      </w:r>
    </w:p>
    <w:p>
      <w:pPr>
        <w:pStyle w:val="Heading1"/>
      </w:pPr>
      <w:r>
        <w:t xml:space="preserve">8. Vigencia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Inicia con el pago confirmado; dura segun la modalidad elegida.</w:t>
      </w:r>
    </w:p>
    <w:p>
      <w:pPr>
        <w:pStyle w:val="Heading1"/>
      </w:pPr>
      <w:r>
        <w:t xml:space="preserve">9. Ley y jurisdiccion</w:t>
      </w:r>
    </w:p>
    <w:p>
      <w:pPr>
        <w:spacing w:after="120" w:line="276"/>
      </w:pPr>
      <w:r>
        <w:t xml:space="preserve">Este Contrato se rige por la legislacion de la Republica de Colombia.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>_______________________________</w:t>
            </w:r>
          </w:p>
          <w:p>
            <w:pPr>
              <w:spacing w:after="4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 PRESTADOR</w:t>
            </w:r>
          </w:p>
          <w:p>
            <w:pPr>
              <w:spacing w:after="0" w:line="252"/>
              <w:jc w:val="left"/>
            </w:pPr>
            <w:r>
              <w:rPr>
                <w:color w:val="6B7280"/>
                <w:sz w:val="18"/>
                <w:szCs w:val="18"/>
              </w:rPr>
              <w:t xml:space="preserve">Tura Food AI</w:t>
            </w:r>
          </w:p>
        </w:tc>
        <w:tc>
          <w:tcPr>
            <w:tcW w:type="dxa" w:w="4680"/>
            <w:tcBorders>
              <w:top w:val="single" w:color="D9DEDB" w:sz="4"/>
              <w:left w:val="single" w:color="D9DEDB" w:sz="4"/>
              <w:bottom w:val="single" w:color="D9DEDB" w:sz="4"/>
              <w:right w:val="single" w:color="D9DEDB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40" w:line="252"/>
              <w:jc w:val="left"/>
            </w:pPr>
            <w:r>
              <w:rPr>
                <w:color w:val="1A1A1A"/>
                <w:sz w:val="18"/>
                <w:szCs w:val="18"/>
              </w:rPr>
              <w:t xml:space="preserve">_______________________________</w:t>
            </w:r>
          </w:p>
          <w:p>
            <w:pPr>
              <w:spacing w:after="40" w:line="252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EL CLIENTE</w:t>
            </w:r>
          </w:p>
          <w:p>
            <w:pPr>
              <w:spacing w:after="0" w:line="252"/>
              <w:jc w:val="left"/>
            </w:pPr>
            <w:r>
              <w:rPr>
                <w:color w:val="6B7280"/>
                <w:sz w:val="18"/>
                <w:szCs w:val="18"/>
              </w:rPr>
              <w:t xml:space="preserve">[Nombre y firma]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FBF4E6" w:sz="4"/>
          <w:left w:val="single" w:color="B7791F" w:sz="24"/>
          <w:bottom w:val="single" w:color="FBF4E6" w:sz="4"/>
          <w:right w:val="single" w:color="FBF4E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4E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7791F"/>
                <w:sz w:val="21"/>
                <w:szCs w:val="21"/>
              </w:rPr>
              <w:t xml:space="preserve">Aviso legal</w:t>
            </w:r>
          </w:p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Plantilla de referencia. Revisa con un abogado en Colombia.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DB" w:sz="4" w:space="6"/>
      </w:pBdr>
      <w:spacing w:before="60"/>
      <w:jc w:val="center"/>
    </w:pPr>
    <w:r>
      <w:rPr>
        <w:color w:val="6B7280"/>
        <w:sz w:val="16"/>
        <w:szCs w:val="16"/>
      </w:rPr>
      <w:t xml:space="preserve">Tura Food AI  ·  Confidencial  ·  2026</w:t>
    </w:r>
    <w:r>
      <w:rPr>
        <w:color w:val="6B7280"/>
        <w:sz w:val="16"/>
        <w:szCs w:val="16"/>
      </w:rPr>
      <w:t xml:space="preserve">          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1B5E3F"/>
        <w:sz w:val="16"/>
        <w:szCs w:val="16"/>
      </w:rPr>
      <w:t xml:space="preserve">TURA</w:t>
    </w:r>
    <w:r>
      <w:rPr>
        <w:b/>
        <w:bCs/>
        <w:color w:val="2E8B57"/>
        <w:sz w:val="16"/>
        <w:szCs w:val="16"/>
      </w:rPr>
      <w:t xml:space="preserve">FOOD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1B5E3F"/>
      </w:rPr>
    </w:lvl>
    <w:lvl w:ilvl="1" w15:tentative="1">
      <w:start w:val="1"/>
      <w:numFmt w:val="bullet"/>
      <w:lvlText w:val="◦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B5E3F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color w:val="1B5E3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 w:before="0"/>
    </w:pPr>
    <w:rPr>
      <w:rFonts w:ascii="Calibri" w:cs="Calibri" w:eastAsia="Calibri" w:hAnsi="Calibri"/>
      <w:b/>
      <w:bCs/>
      <w:color w:val="1B5E3F"/>
      <w:sz w:val="52"/>
      <w:szCs w:val="52"/>
    </w:rPr>
  </w:style>
  <w:style w:type="paragraph" w:styleId="Subtitle">
    <w:name w:val="Subtitle"/>
    <w:basedOn w:val="Normal"/>
    <w:next w:val="Normal"/>
    <w:pPr>
      <w:spacing w:after="240" w:before="0"/>
    </w:pPr>
    <w:rPr>
      <w:rFonts w:ascii="Calibri" w:cs="Calibri" w:eastAsia="Calibri" w:hAnsi="Calibri"/>
      <w:color w:val="6B7280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B5E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8B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Tura Growth - Tura Food AI</dc:title>
  <dc:creator>Tura Food AI</dc:creator>
  <cp:lastModifiedBy>Un-named</cp:lastModifiedBy>
  <cp:revision>1</cp:revision>
  <dcterms:created xsi:type="dcterms:W3CDTF">2026-06-29T19:28:55.336Z</dcterms:created>
  <dcterms:modified xsi:type="dcterms:W3CDTF">2026-06-29T19:28:55.336Z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