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40"/>
      </w:pPr>
      <w:r>
        <w:rPr>
          <w:b/>
          <w:bCs/>
          <w:color w:val="1B5E3F"/>
          <w:sz w:val="30"/>
          <w:szCs w:val="30"/>
        </w:rPr>
        <w:t xml:space="preserve">TURA</w:t>
      </w:r>
      <w:r>
        <w:rPr>
          <w:b/>
          <w:bCs/>
          <w:color w:val="2E8B57"/>
          <w:sz w:val="30"/>
          <w:szCs w:val="30"/>
        </w:rPr>
        <w:t xml:space="preserve">FOOD</w:t>
      </w:r>
      <w:r>
        <w:rPr>
          <w:b/>
          <w:bCs/>
          <w:color w:val="6B7280"/>
          <w:sz w:val="30"/>
          <w:szCs w:val="30"/>
        </w:rPr>
        <w:t xml:space="preserve">  AI</w:t>
      </w:r>
    </w:p>
    <w:p>
      <w:pPr>
        <w:pBdr>
          <w:bottom w:val="single" w:color="1B5E3F" w:sz="18" w:space="6"/>
        </w:pBdr>
        <w:spacing w:after="360"/>
      </w:pPr>
    </w:p>
    <w:p>
      <w:pPr>
        <w:spacing w:after="120"/>
      </w:pPr>
      <w:r>
        <w:rPr>
          <w:b/>
          <w:bCs/>
          <w:color w:val="2E8B57"/>
          <w:spacing w:val="30"/>
          <w:sz w:val="20"/>
          <w:szCs w:val="20"/>
        </w:rPr>
        <w:t xml:space="preserve">ACUERDO DE CONFIDENCIALIDAD</w:t>
      </w:r>
    </w:p>
    <w:p>
      <w:pPr>
        <w:pStyle w:val="Title"/>
        <w:spacing w:after="80"/>
      </w:pPr>
      <w:r>
        <w:t xml:space="preserve">NDA - Tura Food AI</w:t>
      </w:r>
    </w:p>
    <w:p>
      <w:pPr>
        <w:pStyle w:val="Subtitle"/>
      </w:pPr>
      <w:r>
        <w:t xml:space="preserve">Proteccion de informacion confidencial</w:t>
      </w:r>
    </w:p>
    <w:p>
      <w:pPr>
        <w:spacing w:after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06 - NDA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v2.0 - 2026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Aplica a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Clientes / Contratistas / Aliados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Clasificacion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Confidencial</w:t>
            </w:r>
          </w:p>
        </w:tc>
      </w:tr>
    </w:tbl>
    <w:p>
      <w:pPr>
        <w:spacing w:before="1800"/>
      </w:pPr>
      <w:r>
        <w:rPr>
          <w:color w:val="6B7280"/>
          <w:sz w:val="17"/>
          <w:szCs w:val="17"/>
        </w:rPr>
        <w:t xml:space="preserve">Documento confidencial · Tura Food AI · 2026</w:t>
      </w:r>
    </w:p>
    <w:p>
      <w:r>
        <w:br w:type="page"/>
      </w:r>
    </w:p>
    <w:tbl>
      <w:tblPr>
        <w:tblW w:type="dxa" w:w="9360"/>
        <w:tblBorders>
          <w:top w:val="single" w:color="F3F4F6" w:sz="4"/>
          <w:left w:val="single" w:color="1B5E3F" w:sz="24"/>
          <w:bottom w:val="single" w:color="F3F4F6" w:sz="4"/>
          <w:right w:val="single" w:color="F3F4F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B5E3F"/>
                <w:sz w:val="21"/>
                <w:szCs w:val="21"/>
              </w:rPr>
              <w:t xml:space="preserve">Proposito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Protege la informacion sensible compartida entre Tura Food AI y la contraparte. Plantilla de referencia.</w:t>
            </w:r>
          </w:p>
        </w:tc>
      </w:tr>
    </w:tbl>
    <w:p>
      <w:pPr>
        <w:pStyle w:val="Heading1"/>
      </w:pPr>
      <w:r>
        <w:t xml:space="preserve">1. Partes</w:t>
      </w:r>
    </w:p>
    <w:p>
      <w:pPr>
        <w:spacing w:after="120" w:line="276"/>
      </w:pPr>
      <w:r>
        <w:t xml:space="preserve">Entre </w:t>
      </w:r>
      <w:r>
        <w:rPr>
          <w:b/>
          <w:bCs/>
        </w:rPr>
        <w:t xml:space="preserve">TURA FOOD AI</w:t>
      </w:r>
      <w:r>
        <w:t xml:space="preserve"> (la Parte Reveladora) y </w:t>
      </w:r>
      <w:r>
        <w:rPr>
          <w:b/>
          <w:bCs/>
        </w:rPr>
        <w:t xml:space="preserve">[Nombre de la contraparte]</w:t>
      </w:r>
      <w:r>
        <w:t xml:space="preserve"> (la Parte Receptora).</w:t>
      </w:r>
    </w:p>
    <w:p>
      <w:pPr>
        <w:pStyle w:val="Heading1"/>
      </w:pPr>
      <w:r>
        <w:t xml:space="preserve">2. Informacion confidencial incluye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Arquitectura tecnica, codigo, configuraciones, prompts y flujos de automatizacion.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Estrategias de precios, membrecias, costos y proyecciones.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Base de datos de restaurantes y sus clientes.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Materiales de marketing, secuencias de emails y know-how.</w:t>
      </w:r>
    </w:p>
    <w:p>
      <w:pPr>
        <w:pStyle w:val="Heading1"/>
      </w:pPr>
      <w:r>
        <w:t xml:space="preserve">3. Obligaciones de la Parte Receptora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Usar la informacion solo para el proposito de la relacion.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No divulgarla a terceros sin autorizacion previa y escrita.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Devolver o destruir la informacion al finalizar la relacion.</w:t>
      </w:r>
    </w:p>
    <w:p>
      <w:pPr>
        <w:pStyle w:val="Heading1"/>
      </w:pPr>
      <w:r>
        <w:t xml:space="preserve">4. Exclusiones</w:t>
      </w:r>
    </w:p>
    <w:p>
      <w:pPr>
        <w:spacing w:after="120" w:line="276"/>
      </w:pPr>
      <w:r>
        <w:t xml:space="preserve">No es confidencial la informacion que: (a) sea de dominio publico; (b) ya estuviera en poder legitimo de la Receptora; (c) se desarrolle de forma independiente; (d) deba revelarse por orden judicial.</w:t>
      </w:r>
    </w:p>
    <w:p>
      <w:pPr>
        <w:pStyle w:val="Heading1"/>
      </w:pPr>
      <w:r>
        <w:t xml:space="preserve">5. Datos personales</w:t>
      </w:r>
    </w:p>
    <w:p>
      <w:pPr>
        <w:spacing w:after="120" w:line="276"/>
      </w:pPr>
      <w:r>
        <w:t xml:space="preserve">El tratamiento de datos se rige por la Ley 1581 de 2012.</w:t>
      </w:r>
    </w:p>
    <w:p>
      <w:pPr>
        <w:pStyle w:val="Heading1"/>
      </w:pPr>
      <w:r>
        <w:t xml:space="preserve">6. Vigencia</w:t>
      </w:r>
    </w:p>
    <w:p>
      <w:pPr>
        <w:spacing w:after="120" w:line="276"/>
      </w:pPr>
      <w:r>
        <w:t xml:space="preserve">Las obligaciones subsisten durante la relacion y por 2-5 anios tras su terminacion.</w:t>
      </w:r>
    </w:p>
    <w:p>
      <w:pPr>
        <w:pStyle w:val="Heading1"/>
      </w:pPr>
      <w:r>
        <w:t xml:space="preserve">7. Ley y jurisdiccion</w:t>
      </w:r>
    </w:p>
    <w:p>
      <w:pPr>
        <w:spacing w:after="120" w:line="276"/>
      </w:pPr>
      <w:r>
        <w:t xml:space="preserve">Este Contrato se rige por la legislacion de la Republica de Colombia.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line="252"/>
              <w:jc w:val="left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line="252"/>
              <w:jc w:val="left"/>
            </w:pPr>
            <w:r>
              <w:rPr>
                <w:color w:val="1A1A1A"/>
                <w:sz w:val="18"/>
                <w:szCs w:val="18"/>
              </w:rPr>
              <w:t xml:space="preserve">_______________________________</w:t>
            </w:r>
          </w:p>
          <w:p>
            <w:pPr>
              <w:spacing w:after="4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TURA FOOD AI</w:t>
            </w:r>
          </w:p>
          <w:p>
            <w:pPr>
              <w:spacing w:after="0" w:line="252"/>
              <w:jc w:val="left"/>
            </w:pPr>
            <w:r>
              <w:rPr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line="252"/>
              <w:jc w:val="left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line="252"/>
              <w:jc w:val="left"/>
            </w:pPr>
            <w:r>
              <w:rPr>
                <w:color w:val="1A1A1A"/>
                <w:sz w:val="18"/>
                <w:szCs w:val="18"/>
              </w:rPr>
              <w:t xml:space="preserve">_______________________________</w:t>
            </w:r>
          </w:p>
          <w:p>
            <w:pPr>
              <w:spacing w:after="4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 CONTRAPARTE</w:t>
            </w:r>
          </w:p>
          <w:p>
            <w:pPr>
              <w:spacing w:after="0" w:line="252"/>
              <w:jc w:val="left"/>
            </w:pPr>
            <w:r>
              <w:rPr>
                <w:color w:val="6B7280"/>
                <w:sz w:val="18"/>
                <w:szCs w:val="18"/>
              </w:rPr>
              <w:t xml:space="preserve">[Nombre y firma]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FBF4E6" w:sz="4"/>
          <w:left w:val="single" w:color="B7791F" w:sz="24"/>
          <w:bottom w:val="single" w:color="FBF4E6" w:sz="4"/>
          <w:right w:val="single" w:color="FBF4E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7791F"/>
                <w:sz w:val="21"/>
                <w:szCs w:val="21"/>
              </w:rPr>
              <w:t xml:space="preserve">Aviso legal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Plantilla de NDA. Ajustala con un abogado segun el caso de uso.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DB" w:sz="4" w:space="6"/>
      </w:pBdr>
      <w:spacing w:before="60"/>
      <w:jc w:val="center"/>
    </w:pPr>
    <w:r>
      <w:rPr>
        <w:color w:val="6B7280"/>
        <w:sz w:val="16"/>
        <w:szCs w:val="16"/>
      </w:rPr>
      <w:t xml:space="preserve">Tura Food AI  ·  Confidencial  ·  2026</w:t>
    </w:r>
    <w:r>
      <w:rPr>
        <w:color w:val="6B7280"/>
        <w:sz w:val="16"/>
        <w:szCs w:val="16"/>
      </w:rPr>
      <w:t xml:space="preserve">         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1B5E3F"/>
        <w:sz w:val="16"/>
        <w:szCs w:val="16"/>
      </w:rPr>
      <w:t xml:space="preserve">TURA</w:t>
    </w:r>
    <w:r>
      <w:rPr>
        <w:b/>
        <w:bCs/>
        <w:color w:val="2E8B57"/>
        <w:sz w:val="16"/>
        <w:szCs w:val="16"/>
      </w:rPr>
      <w:t xml:space="preserve">FOOD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1B5E3F"/>
      </w:r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B5E3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color w:val="1B5E3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0"/>
    </w:pPr>
    <w:rPr>
      <w:rFonts w:ascii="Calibri" w:cs="Calibri" w:eastAsia="Calibri" w:hAnsi="Calibri"/>
      <w:b/>
      <w:bCs/>
      <w:color w:val="1B5E3F"/>
      <w:sz w:val="52"/>
      <w:szCs w:val="52"/>
    </w:rPr>
  </w:style>
  <w:style w:type="paragraph" w:styleId="Subtitle">
    <w:name w:val="Subtitle"/>
    <w:basedOn w:val="Normal"/>
    <w:next w:val="Normal"/>
    <w:pPr>
      <w:spacing w:after="240" w:before="0"/>
    </w:pPr>
    <w:rPr>
      <w:rFonts w:ascii="Calibri" w:cs="Calibri" w:eastAsia="Calibri" w:hAnsi="Calibri"/>
      <w:color w:val="6B7280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B5E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8B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 - Tura Food AI</dc:title>
  <dc:creator>Tura Food AI</dc:creator>
  <cp:lastModifiedBy>Un-named</cp:lastModifiedBy>
  <cp:revision>1</cp:revision>
  <dcterms:created xsi:type="dcterms:W3CDTF">2026-06-29T19:28:55.403Z</dcterms:created>
  <dcterms:modified xsi:type="dcterms:W3CDTF">2026-06-29T19:28:55.403Z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