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BSBESB402 Establish legal and risk management requirements of new business ventures</w:t>
      </w:r>
    </w:p>
    <w:p>
      <w:pPr>
        <w:pStyle w:val="Heading2"/>
      </w:pPr>
      <w:r>
        <w:t>Knowledge Assessment — Completed Answers</w:t>
      </w:r>
    </w:p>
    <w:p>
      <w:pPr>
        <w:jc w:val="left"/>
      </w:pPr>
      <w:r>
        <w:rPr>
          <w:b/>
        </w:rPr>
        <w:t>Student name:</w:t>
      </w:r>
      <w:r>
        <w:t xml:space="preserve"> ____________________  </w:t>
      </w:r>
      <w:r>
        <w:rPr>
          <w:b/>
        </w:rPr>
        <w:t>Student ID:</w:t>
      </w:r>
      <w:r>
        <w:t xml:space="preserve"> ____________  </w:t>
      </w:r>
      <w:r>
        <w:rPr>
          <w:b/>
        </w:rPr>
        <w:t>Date:</w:t>
      </w:r>
      <w:r>
        <w:t xml:space="preserve"> ____________</w:t>
      </w:r>
    </w:p>
    <w:p>
      <w:pPr>
        <w:pStyle w:val="Heading3"/>
      </w:pPr>
      <w:r>
        <w:t>Preliminary Task</w:t>
      </w:r>
    </w:p>
    <w:p>
      <w:pPr>
        <w:jc w:val="left"/>
      </w:pPr>
      <w:r>
        <w:t>Questions 2, 3 and 9 require reference to state/territory-specific requirements.</w:t>
      </w:r>
    </w:p>
    <w:p>
      <w:pPr>
        <w:jc w:val="left"/>
      </w:pPr>
      <w:r>
        <w:rPr>
          <w:b/>
        </w:rPr>
        <w:t>The state/territory where your workplace/organisation is based or located in: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 Australian Capital Territory</w:t>
            </w:r>
          </w:p>
        </w:tc>
        <w:tc>
          <w:tcPr>
            <w:tcW w:type="dxa" w:w="4320"/>
          </w:tcPr>
          <w:p>
            <w:r>
              <w:rPr>
                <w:b/>
              </w:rPr>
            </w:r>
            <w:r>
              <w:rPr>
                <w:b/>
              </w:rPr>
              <w:t>☐ South Australia</w:t>
            </w:r>
          </w:p>
        </w:tc>
      </w:tr>
      <w:tr>
        <w:tc>
          <w:tcPr>
            <w:tcW w:type="dxa" w:w="4320"/>
          </w:tcPr>
          <w:p>
            <w:r/>
            <w:r>
              <w:t xml:space="preserve">☒ </w:t>
            </w:r>
            <w:r>
              <w:rPr>
                <w:b/>
              </w:rPr>
              <w:t>New South Wales</w:t>
            </w:r>
          </w:p>
        </w:tc>
        <w:tc>
          <w:tcPr>
            <w:tcW w:type="dxa" w:w="4320"/>
          </w:tcPr>
          <w:p>
            <w:r/>
            <w:r>
              <w:t>☐ Tasmania</w:t>
            </w:r>
          </w:p>
        </w:tc>
      </w:tr>
      <w:tr>
        <w:tc>
          <w:tcPr>
            <w:tcW w:type="dxa" w:w="4320"/>
          </w:tcPr>
          <w:p>
            <w:r/>
            <w:r>
              <w:t>☐ Northern Territory</w:t>
            </w:r>
          </w:p>
        </w:tc>
        <w:tc>
          <w:tcPr>
            <w:tcW w:type="dxa" w:w="4320"/>
          </w:tcPr>
          <w:p>
            <w:r/>
            <w:r>
              <w:t>☐ Victoria</w:t>
            </w:r>
          </w:p>
        </w:tc>
      </w:tr>
      <w:tr>
        <w:tc>
          <w:tcPr>
            <w:tcW w:type="dxa" w:w="4320"/>
          </w:tcPr>
          <w:p>
            <w:r/>
            <w:r>
              <w:t>☐ Queensland</w:t>
            </w:r>
          </w:p>
        </w:tc>
        <w:tc>
          <w:tcPr>
            <w:tcW w:type="dxa" w:w="4320"/>
          </w:tcPr>
          <w:p>
            <w:r/>
            <w:r>
              <w:t>☐ Western Australia</w:t>
            </w:r>
          </w:p>
        </w:tc>
      </w:tr>
    </w:tbl>
    <w:p/>
    <w:p>
      <w:pPr>
        <w:jc w:val="left"/>
      </w:pPr>
      <w:r>
        <w:t xml:space="preserve">Questions 2, 3 and 9 below are answered against </w:t>
      </w:r>
      <w:r>
        <w:rPr>
          <w:b/>
        </w:rPr>
        <w:t>New South Wales</w:t>
      </w:r>
      <w:r>
        <w:t xml:space="preserve"> legislation:</w:t>
      </w:r>
    </w:p>
    <w:p>
      <w:pPr>
        <w:pStyle w:val="ListBullet"/>
      </w:pPr>
      <w:r>
        <w:rPr>
          <w:i/>
        </w:rPr>
        <w:t>Associations Incorporation Act 2009</w:t>
      </w:r>
      <w:r>
        <w:t xml:space="preserve"> (NSW) and </w:t>
      </w:r>
      <w:r>
        <w:rPr>
          <w:i/>
        </w:rPr>
        <w:t>Associations Incorporation Regulation 2022</w:t>
      </w:r>
      <w:r>
        <w:t xml:space="preserve"> (NSW), administered by NSW Fair Trading</w:t>
      </w:r>
    </w:p>
    <w:p>
      <w:pPr>
        <w:pStyle w:val="ListBullet"/>
      </w:pPr>
      <w:r>
        <w:rPr>
          <w:i/>
        </w:rPr>
        <w:t>Work Health and Safety Act 2011</w:t>
      </w:r>
      <w:r>
        <w:t xml:space="preserve"> (NSW) and </w:t>
      </w:r>
      <w:r>
        <w:rPr>
          <w:i/>
        </w:rPr>
        <w:t>Work Health and Safety Regulation 2025</w:t>
      </w:r>
      <w:r>
        <w:t xml:space="preserve"> (NSW), administered by SafeWork NSW</w:t>
      </w:r>
    </w:p>
    <w:p>
      <w:pPr>
        <w:pStyle w:val="ListBullet"/>
      </w:pPr>
      <w:r>
        <w:rPr>
          <w:i/>
        </w:rPr>
        <w:t>Competition and Consumer Act 2010</w:t>
      </w:r>
      <w:r>
        <w:t xml:space="preserve"> (Cth), including the Australian Consumer Law, administered by the ACCC and NSW Fair Trading</w:t>
      </w:r>
    </w:p>
    <w:p>
      <w:pPr>
        <w:pStyle w:val="IntenseQuote"/>
      </w:pPr>
      <w:r>
        <w:rPr>
          <w:b/>
        </w:rPr>
        <w:t>If you are based in a different state/territory</w:t>
      </w:r>
      <w:r>
        <w:t>, tick your own box and substitute the equivalent legislation:</w:t>
      </w:r>
    </w:p>
    <w:p>
      <w:pPr>
        <w:pStyle w:val="IntenseQuote"/>
      </w:pPr>
      <w:r>
        <w:t xml:space="preserve">ACT — </w:t>
      </w:r>
      <w:r>
        <w:rPr>
          <w:i/>
        </w:rPr>
        <w:t>Associations Incorporation Act 1991</w:t>
      </w:r>
      <w:r>
        <w:t xml:space="preserve"> / </w:t>
      </w:r>
      <w:r>
        <w:rPr>
          <w:i/>
        </w:rPr>
        <w:t>WHS Regulation 2011</w:t>
      </w:r>
      <w:r>
        <w:t xml:space="preserve">; NT — </w:t>
      </w:r>
      <w:r>
        <w:rPr>
          <w:i/>
        </w:rPr>
        <w:t>Associations Act 2003</w:t>
      </w:r>
      <w:r>
        <w:t xml:space="preserve"> / </w:t>
      </w:r>
      <w:r>
        <w:rPr>
          <w:i/>
        </w:rPr>
        <w:t>WHS (National Uniform Legislation) Regulations 2011</w:t>
      </w:r>
      <w:r>
        <w:t xml:space="preserve">; Qld — </w:t>
      </w:r>
      <w:r>
        <w:rPr>
          <w:i/>
        </w:rPr>
        <w:t>Associations Incorporation Act 1981</w:t>
      </w:r>
      <w:r>
        <w:t xml:space="preserve"> / </w:t>
      </w:r>
      <w:r>
        <w:rPr>
          <w:i/>
        </w:rPr>
        <w:t>WHS Regulation 2011</w:t>
      </w:r>
      <w:r>
        <w:t xml:space="preserve">; SA — </w:t>
      </w:r>
      <w:r>
        <w:rPr>
          <w:i/>
        </w:rPr>
        <w:t>Associations Incorporation Act 1985</w:t>
      </w:r>
      <w:r>
        <w:t xml:space="preserve"> / </w:t>
      </w:r>
      <w:r>
        <w:rPr>
          <w:i/>
        </w:rPr>
        <w:t>WHS Regulation 2012</w:t>
      </w:r>
      <w:r>
        <w:t xml:space="preserve">; Tas — </w:t>
      </w:r>
      <w:r>
        <w:rPr>
          <w:i/>
        </w:rPr>
        <w:t>Associations Incorporation Act 1964</w:t>
      </w:r>
      <w:r>
        <w:t xml:space="preserve"> / </w:t>
      </w:r>
      <w:r>
        <w:rPr>
          <w:i/>
        </w:rPr>
        <w:t>WHS Regulations 2022</w:t>
      </w:r>
      <w:r>
        <w:t xml:space="preserve">; Vic — </w:t>
      </w:r>
      <w:r>
        <w:rPr>
          <w:i/>
        </w:rPr>
        <w:t>Associations Incorporation Reform Act 2012</w:t>
      </w:r>
      <w:r>
        <w:t xml:space="preserve"> / </w:t>
      </w:r>
      <w:r>
        <w:rPr>
          <w:i/>
        </w:rPr>
        <w:t>Occupational Health and Safety Regulations 2017</w:t>
      </w:r>
      <w:r>
        <w:t xml:space="preserve">; WA — </w:t>
      </w:r>
      <w:r>
        <w:rPr>
          <w:i/>
        </w:rPr>
        <w:t>Associations Incorporation Act 2015</w:t>
      </w:r>
      <w:r>
        <w:t xml:space="preserve"> / </w:t>
      </w:r>
      <w:r>
        <w:rPr>
          <w:i/>
        </w:rPr>
        <w:t>WHS (General) Regulations 2022</w:t>
      </w:r>
      <w:r>
        <w:t>.</w:t>
      </w:r>
    </w:p>
    <w:p>
      <w:pPr>
        <w:pStyle w:val="Heading2"/>
      </w:pPr>
      <w:r>
        <w:t>Question 1</w:t>
      </w:r>
    </w:p>
    <w:p>
      <w:pPr>
        <w:jc w:val="left"/>
      </w:pPr>
      <w:r>
        <w:rPr>
          <w:i/>
        </w:rPr>
        <w:t>Review Division 8, Part 1.5 of the Corporations Act 2001.</w:t>
      </w:r>
    </w:p>
    <w:p>
      <w:pPr>
        <w:pStyle w:val="Heading3"/>
      </w:pPr>
      <w:r>
        <w:t>a. Outline the six basic rights of a shareholder who has purchased at least 5% of shares in a company.</w:t>
      </w:r>
    </w:p>
    <w:p>
      <w:pPr>
        <w:jc w:val="left"/>
      </w:pPr>
      <w:r>
        <w:rPr>
          <w:b/>
        </w:rPr>
        <w:t>i.</w:t>
      </w:r>
      <w:r>
        <w:t xml:space="preserve"> </w:t>
      </w:r>
      <w:r>
        <w:rPr>
          <w:b/>
        </w:rPr>
        <w:t>Attend and speak at general meetings of the company.</w:t>
      </w:r>
      <w:r>
        <w:t xml:space="preserve"> The shareholder is entitled to receive notice of general meetings and to attend and be heard on the business put before the meeting.</w:t>
      </w:r>
    </w:p>
    <w:p>
      <w:pPr>
        <w:jc w:val="left"/>
      </w:pPr>
      <w:r>
        <w:rPr>
          <w:b/>
        </w:rPr>
        <w:t>ii.</w:t>
      </w:r>
      <w:r>
        <w:t xml:space="preserve"> </w:t>
      </w:r>
      <w:r>
        <w:rPr>
          <w:b/>
        </w:rPr>
        <w:t>Vote on key issues put to the members.</w:t>
      </w:r>
      <w:r>
        <w:t xml:space="preserve"> This includes voting on ordinary resolutions (decided by a simple majority) and special resolutions (requiring at least 75% of the votes cast), such as appointing a new director, removing an existing director, changing the company's constitution or changing the company name.</w:t>
      </w:r>
    </w:p>
    <w:p>
      <w:pPr>
        <w:jc w:val="left"/>
      </w:pPr>
      <w:r>
        <w:rPr>
          <w:b/>
        </w:rPr>
        <w:t>iii.</w:t>
      </w:r>
      <w:r>
        <w:t xml:space="preserve"> </w:t>
      </w:r>
      <w:r>
        <w:rPr>
          <w:b/>
        </w:rPr>
        <w:t>Require the directors to call and hold a general meeting, or call one themselves.</w:t>
      </w:r>
      <w:r>
        <w:t xml:space="preserve"> This right belongs specifically to members holding at least 5% of the votes that may be cast at a general meeting. Under s 249D the directors must call and arrange the meeting on request (within 21 days of the request, with the meeting held within two months); if they fail to do so, members with at least 5% of the votes may call and hold the meeting themselves under s 249F. Members with at least 5% of the votes may also give notice of a resolution they propose to move (s 249N) and require the company to circulate a members' statement (s 249P).</w:t>
      </w:r>
    </w:p>
    <w:p>
      <w:pPr>
        <w:jc w:val="left"/>
      </w:pPr>
      <w:r>
        <w:rPr>
          <w:b/>
        </w:rPr>
        <w:t>iv.</w:t>
      </w:r>
      <w:r>
        <w:t xml:space="preserve"> </w:t>
      </w:r>
      <w:r>
        <w:rPr>
          <w:b/>
        </w:rPr>
        <w:t>Sell or transfer their shares.</w:t>
      </w:r>
      <w:r>
        <w:t xml:space="preserve"> Shares are the shareholder's property and may be sold or transferred, although in a proprietary company this right is usually restricted by the constitution (for example, by pre-emptive rights requiring the shares to be offered to existing members first, or by director approval of transfers).</w:t>
      </w:r>
    </w:p>
    <w:p>
      <w:pPr>
        <w:jc w:val="left"/>
      </w:pPr>
      <w:r>
        <w:rPr>
          <w:b/>
        </w:rPr>
        <w:t>v.</w:t>
      </w:r>
      <w:r>
        <w:t xml:space="preserve"> </w:t>
      </w:r>
      <w:r>
        <w:rPr>
          <w:b/>
        </w:rPr>
        <w:t>Participate in corporate actions.</w:t>
      </w:r>
      <w:r>
        <w:t xml:space="preserve"> The shareholder is entitled to take part in actions affecting the share capital of the company, such as new issues of shares (including any pre-emptive right to take up a proportionate share of a new issue), share buy-backs, capital reductions, restructures and mergers.</w:t>
      </w:r>
    </w:p>
    <w:p>
      <w:pPr>
        <w:jc w:val="left"/>
      </w:pPr>
      <w:r>
        <w:rPr>
          <w:b/>
        </w:rPr>
        <w:t>vi.</w:t>
      </w:r>
      <w:r>
        <w:t xml:space="preserve"> </w:t>
      </w:r>
      <w:r>
        <w:rPr>
          <w:b/>
        </w:rPr>
        <w:t>Receive dividends and other distributions.</w:t>
      </w:r>
      <w:r>
        <w:t xml:space="preserve"> Where the directors declare or determine a dividend, the shareholder is entitled to their proportionate share of it, and to share in any surplus assets distributed if the company is wound up.</w:t>
      </w:r>
    </w:p>
    <w:p>
      <w:pPr>
        <w:pStyle w:val="Heading3"/>
      </w:pPr>
      <w:r>
        <w:t>b. Briefly explain the limited liability of shareholders who are also not a director.</w:t>
      </w:r>
    </w:p>
    <w:p>
      <w:pPr>
        <w:jc w:val="left"/>
      </w:pPr>
      <w:r>
        <w:t xml:space="preserve">Because a company is a separate legal entity from the people who own it (s 124), the company's debts and obligations belong to the company itself, not to its members. A shareholder who is not a director is therefore </w:t>
      </w:r>
      <w:r>
        <w:rPr>
          <w:b/>
        </w:rPr>
        <w:t>not personally liable for the company's debts in their capacity as a shareholder</w:t>
      </w:r>
      <w:r>
        <w:t>. Their only financial obligation is to pay the company any amount that remains unpaid on their shares if they are called on to do so (s 516). In practical terms, the maximum the shareholder can lose is the money they have paid, or agreed to pay, for their shares — their personal assets such as their home and savings are not at risk if the company fails.</w:t>
      </w:r>
    </w:p>
    <w:p>
      <w:pPr>
        <w:jc w:val="left"/>
      </w:pPr>
      <w:r>
        <w:t>Because they are not a director, they also do not carry directors' duties or the personal exposure that goes with them, such as liability for insolvent trading (s 588G) or liability for unpaid PAYG withholding and superannuation under a director penalty notice. The main circumstances in which a non-director shareholder can still be personally exposed are where they have signed a personal guarantee for a company loan or lease, or where they hold partly paid shares.</w:t>
      </w:r>
    </w:p>
    <w:p>
      <w:pPr>
        <w:pStyle w:val="Heading2"/>
      </w:pPr>
      <w:r>
        <w:t>Question 2</w:t>
      </w:r>
    </w:p>
    <w:p>
      <w:pPr>
        <w:jc w:val="left"/>
      </w:pPr>
      <w:r>
        <w:rPr>
          <w:i/>
        </w:rPr>
        <w:t xml:space="preserve">Review the Associations Incorporation legislation applicable to your state/territory — NSW: </w:t>
      </w:r>
      <w:r>
        <w:rPr>
          <w:i/>
        </w:rPr>
        <w:t>Associations Incorporation Act 2009 (NSW)</w:t>
      </w:r>
      <w:r>
        <w:rPr>
          <w:i/>
        </w:rPr>
        <w:t>.</w:t>
      </w:r>
    </w:p>
    <w:p>
      <w:pPr>
        <w:pStyle w:val="Heading3"/>
      </w:pPr>
      <w:r>
        <w:t>a. Identify the minimum number of investors that an incorporated association requires.</w:t>
      </w:r>
    </w:p>
    <w:p>
      <w:pPr>
        <w:jc w:val="left"/>
      </w:pPr>
      <w:r>
        <w:t xml:space="preserve">An incorporated association must have a </w:t>
      </w:r>
      <w:r>
        <w:rPr>
          <w:b/>
        </w:rPr>
        <w:t>minimum of five (5) members</w:t>
      </w:r>
      <w:r>
        <w:t xml:space="preserve"> at all times, and must also have a management committee of </w:t>
      </w:r>
      <w:r>
        <w:rPr>
          <w:b/>
        </w:rPr>
        <w:t>at least three (3) members</w:t>
      </w:r>
      <w:r>
        <w:t xml:space="preserve"> who are over 18 years of age (with at least three residing in Australia). There is no maximum number of members. If the association's membership falls below five, NSW Fair Trading may cancel its incorporation.</w:t>
      </w:r>
    </w:p>
    <w:p>
      <w:pPr>
        <w:pStyle w:val="Heading3"/>
      </w:pPr>
      <w:r>
        <w:t>b. Briefly explain how liabilities are distributed in an incorporated association.</w:t>
      </w:r>
    </w:p>
    <w:p>
      <w:pPr>
        <w:jc w:val="left"/>
      </w:pPr>
      <w:r>
        <w:t xml:space="preserve">On incorporation the association becomes a </w:t>
      </w:r>
      <w:r>
        <w:rPr>
          <w:b/>
        </w:rPr>
        <w:t>separate legal entity in its own right</w:t>
      </w:r>
      <w:r>
        <w:t>, distinct from the people who make it up. This means all liabilities sit with the association itself, not with its individual members: the association is responsible for its own debts, its contracts and any claims made against it (for example, a claim for negligence), and it can sue and be sued in its own name.</w:t>
      </w:r>
    </w:p>
    <w:p>
      <w:pPr>
        <w:jc w:val="left"/>
      </w:pPr>
      <w:r>
        <w:t xml:space="preserve">A </w:t>
      </w:r>
      <w:r>
        <w:rPr>
          <w:b/>
        </w:rPr>
        <w:t>member's liability is limited to what they owe the association for their membership</w:t>
      </w:r>
      <w:r>
        <w:t xml:space="preserve"> — usually any outstanding fees or subscriptions. Members cannot be pursued personally for the association's debts.</w:t>
      </w:r>
    </w:p>
    <w:p>
      <w:pPr>
        <w:jc w:val="left"/>
      </w:pPr>
      <w:r>
        <w:rPr>
          <w:b/>
        </w:rPr>
        <w:t>Committee members</w:t>
      </w:r>
      <w:r>
        <w:t xml:space="preserve"> are similarly protected from personal liability for acts carried out in good faith and with due care and diligence in the proper performance of their role. That protection is lost where a committee member acts dishonestly or recklessly, breaches their statutory duties, allows the association to incur debts while insolvent, or gives a personal guarantee.</w:t>
      </w:r>
    </w:p>
    <w:p>
      <w:pPr>
        <w:pStyle w:val="Heading3"/>
      </w:pPr>
      <w:r>
        <w:t>c. Briefly explain the taxation responsibilities of an incorporated association.</w:t>
      </w:r>
    </w:p>
    <w:p>
      <w:pPr>
        <w:jc w:val="left"/>
      </w:pPr>
      <w:r>
        <w:t>An incorporated association is treated as a taxpayer in its own right and must meet the following obligations:</w:t>
      </w:r>
    </w:p>
    <w:p>
      <w:pPr>
        <w:pStyle w:val="ListBullet"/>
      </w:pPr>
      <w:r>
        <w:rPr>
          <w:b/>
        </w:rPr>
        <w:t>Register for an ABN</w:t>
      </w:r>
      <w:r>
        <w:t xml:space="preserve"> and use it in its dealings with the ATO, suppliers and funding bodies.</w:t>
      </w:r>
    </w:p>
    <w:p>
      <w:pPr>
        <w:pStyle w:val="ListBullet"/>
      </w:pPr>
      <w:r>
        <w:rPr>
          <w:b/>
        </w:rPr>
        <w:t>Income tax</w:t>
      </w:r>
      <w:r>
        <w:t xml:space="preserve"> — a genuinely not-for-profit association may be able to self-assess as income tax exempt (or, if it is a charity, must register with the ACNC and be endorsed by the ATO as income tax exempt). Non-exempt associations, and associations that generate profit-based income, must lodge an annual income tax return and pay income tax on their assessable income.</w:t>
      </w:r>
    </w:p>
    <w:p>
      <w:pPr>
        <w:pStyle w:val="ListBullet"/>
      </w:pPr>
      <w:r>
        <w:rPr>
          <w:b/>
        </w:rPr>
        <w:t>GST</w:t>
      </w:r>
      <w:r>
        <w:t xml:space="preserve"> — must register for GST if its GST turnover reaches the not-for-profit threshold of </w:t>
      </w:r>
      <w:r>
        <w:rPr>
          <w:b/>
        </w:rPr>
        <w:t>$150,000</w:t>
      </w:r>
      <w:r>
        <w:t xml:space="preserve"> (or $75,000 if it is not a not-for-profit body), then charge GST on taxable supplies, lodge activity statements and claim GST credits on creditable purchases.</w:t>
      </w:r>
    </w:p>
    <w:p>
      <w:pPr>
        <w:pStyle w:val="ListBullet"/>
      </w:pPr>
      <w:r>
        <w:rPr>
          <w:b/>
        </w:rPr>
        <w:t>PAYG withholding and Single Touch Payroll</w:t>
      </w:r>
      <w:r>
        <w:t xml:space="preserve"> — if it employs staff or pays contractors without an ABN, it must withhold tax from those payments, report through STP and pay the amounts withheld to the ATO. Superannuation guarantee obligations also apply to employees.</w:t>
      </w:r>
    </w:p>
    <w:p>
      <w:pPr>
        <w:pStyle w:val="ListBullet"/>
      </w:pPr>
      <w:r>
        <w:rPr>
          <w:b/>
        </w:rPr>
        <w:t>Fringe benefits tax (FBT)</w:t>
      </w:r>
      <w:r>
        <w:t xml:space="preserve"> — if it provides fringe benefits to employees, it must calculate, report and pay FBT, although some not-for-profit associations qualify for FBT rebates or exemptions.</w:t>
      </w:r>
    </w:p>
    <w:p>
      <w:pPr>
        <w:pStyle w:val="ListBullet"/>
      </w:pPr>
      <w:r>
        <w:rPr>
          <w:b/>
        </w:rPr>
        <w:t>Record keeping</w:t>
      </w:r>
      <w:r>
        <w:t xml:space="preserve"> — must keep all financial and tax records in plain English (or a form the ATO can readily access) for at least </w:t>
      </w:r>
      <w:r>
        <w:rPr>
          <w:b/>
        </w:rPr>
        <w:t>five years</w:t>
      </w:r>
      <w:r>
        <w:t>, and lodge annual financial reporting with NSW Fair Trading.</w:t>
      </w:r>
    </w:p>
    <w:p>
      <w:pPr>
        <w:pStyle w:val="Heading2"/>
      </w:pPr>
      <w:r>
        <w:t>Question 3</w:t>
      </w:r>
    </w:p>
    <w:p>
      <w:pPr>
        <w:jc w:val="left"/>
      </w:pPr>
      <w:r>
        <w:rPr>
          <w:b/>
        </w:rPr>
        <w:t>Applicable WHS Regulation:</w:t>
      </w:r>
      <w:r>
        <w:t xml:space="preserve"> </w:t>
      </w:r>
      <w:r>
        <w:rPr>
          <w:i/>
        </w:rPr>
        <w:t>Work Health and Safety Regulation 2025</w:t>
      </w:r>
      <w:r>
        <w:t xml:space="preserve"> (NSW), made under the </w:t>
      </w:r>
      <w:r>
        <w:rPr>
          <w:i/>
        </w:rPr>
        <w:t>Work Health and Safety Act 2011</w:t>
      </w:r>
      <w:r>
        <w:t xml:space="preserve"> (NSW) and administered by SafeWork NSW. (This Regulation commenced 22 August 2025 and replaced the </w:t>
      </w:r>
      <w:r>
        <w:rPr>
          <w:i/>
        </w:rPr>
        <w:t>Work Health and Safety Regulation 2017</w:t>
      </w:r>
      <w:r>
        <w:t xml:space="preserve"> (NSW); the record-keeping requirements below carry over from the 2017 Regulation.)</w:t>
      </w:r>
    </w:p>
    <w:p>
      <w:pPr>
        <w:pStyle w:val="Heading3"/>
      </w:pPr>
      <w:r>
        <w:t>a. Identify four types of records that must be maintained according to the WHS regulation applicable to their state/territory.</w:t>
      </w:r>
    </w:p>
    <w:p>
      <w:pPr>
        <w:jc w:val="left"/>
      </w:pPr>
      <w:r>
        <w:rPr>
          <w:b/>
        </w:rPr>
        <w:t>i.</w:t>
      </w:r>
      <w:r>
        <w:t xml:space="preserve"> </w:t>
      </w:r>
      <w:r>
        <w:rPr>
          <w:b/>
        </w:rPr>
        <w:t>Health monitoring records and reports</w:t>
      </w:r>
      <w:r>
        <w:t xml:space="preserve"> — for workers who carry out ongoing work involving exposure to hazardous chemicals, lead, asbestos or other prescribed hazardous substances. These must be kept as a confidential record and must not be disclosed without the worker's written consent.</w:t>
      </w:r>
    </w:p>
    <w:p>
      <w:pPr>
        <w:jc w:val="left"/>
      </w:pPr>
      <w:r>
        <w:rPr>
          <w:b/>
        </w:rPr>
        <w:t>ii.</w:t>
      </w:r>
      <w:r>
        <w:t xml:space="preserve"> </w:t>
      </w:r>
      <w:r>
        <w:rPr>
          <w:b/>
        </w:rPr>
        <w:t>Training, instruction and induction records</w:t>
      </w:r>
      <w:r>
        <w:t xml:space="preserve"> — evidence of the information, training and instruction provided to workers, including confined space entry training, asbestos awareness and removal training, high risk work licence and verification of competency records, and general WHS induction records.</w:t>
      </w:r>
    </w:p>
    <w:p>
      <w:pPr>
        <w:jc w:val="left"/>
      </w:pPr>
      <w:r>
        <w:rPr>
          <w:b/>
        </w:rPr>
        <w:t>iii.</w:t>
      </w:r>
      <w:r>
        <w:t xml:space="preserve"> </w:t>
      </w:r>
      <w:r>
        <w:rPr>
          <w:b/>
        </w:rPr>
        <w:t>Risk assessment records and associated work permits</w:t>
      </w:r>
      <w:r>
        <w:t xml:space="preserve"> — written risk assessments and the control measures decided on for prescribed hazards (confined spaces, hazardous chemicals, asbestos, lead, hazardous manual tasks, falls, demolition), together with confined space entry permits and high risk construction work safe work method statements (SWMS).</w:t>
      </w:r>
    </w:p>
    <w:p>
      <w:pPr>
        <w:jc w:val="left"/>
      </w:pPr>
      <w:r>
        <w:rPr>
          <w:b/>
        </w:rPr>
        <w:t>iv.</w:t>
      </w:r>
      <w:r>
        <w:t xml:space="preserve"> </w:t>
      </w:r>
      <w:r>
        <w:rPr>
          <w:b/>
        </w:rPr>
        <w:t>Registers, monitoring results and plant records</w:t>
      </w:r>
      <w:r>
        <w:t xml:space="preserve"> — the register of hazardous chemicals and the corresponding safety data sheets (SDS), the asbestos register and asbestos management plan, air/atmospheric monitoring results, and registration, maintenance, inspection and testing records for plant and equipment.</w:t>
      </w:r>
    </w:p>
    <w:p>
      <w:pPr>
        <w:jc w:val="left"/>
      </w:pPr>
      <w:r>
        <w:rPr>
          <w:i/>
        </w:rPr>
        <w:t>(A further record required by the WHS Act itself: a person conducting a business or undertaking must keep a record of each notifiable incident for at least 5 years from the day notice of the incident is given to the regulator — s 38(7).)</w:t>
      </w:r>
    </w:p>
    <w:p>
      <w:pPr>
        <w:pStyle w:val="Heading3"/>
      </w:pPr>
      <w:r>
        <w:t>b. Identify the minimum period requirement for maintaining each of the following WHS records.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WHS record</w:t>
            </w:r>
          </w:p>
        </w:tc>
        <w:tc>
          <w:tcPr>
            <w:tcW w:type="dxa" w:w="4320"/>
          </w:tcPr>
          <w:p>
            <w:r>
              <w:rPr>
                <w:b/>
              </w:rPr>
            </w:r>
            <w:r>
              <w:rPr>
                <w:b/>
              </w:rPr>
              <w:t>Minimum retention period</w:t>
            </w:r>
          </w:p>
        </w:tc>
      </w:tr>
      <w:tr>
        <w:tc>
          <w:tcPr>
            <w:tcW w:type="dxa" w:w="4320"/>
          </w:tcPr>
          <w:p>
            <w:r/>
            <w:r>
              <w:rPr>
                <w:b/>
              </w:rPr>
              <w:t>i. WHS training records</w:t>
            </w:r>
          </w:p>
        </w:tc>
        <w:tc>
          <w:tcPr>
            <w:tcW w:type="dxa" w:w="4320"/>
          </w:tcPr>
          <w:p>
            <w:r/>
            <w:r>
              <w:rPr>
                <w:b/>
              </w:rPr>
              <w:t>At least 2 years.</w:t>
            </w:r>
            <w:r>
              <w:t xml:space="preserve"> For example, records of confined space training must be kept for 2 years. (Some specific training records must be kept longer — asbestos-related training records must be kept while the worker is doing the work and for a further period after they stop.)</w:t>
            </w:r>
          </w:p>
        </w:tc>
      </w:tr>
      <w:tr>
        <w:tc>
          <w:tcPr>
            <w:tcW w:type="dxa" w:w="4320"/>
          </w:tcPr>
          <w:p>
            <w:r/>
            <w:r>
              <w:rPr>
                <w:b/>
              </w:rPr>
              <w:t>ii. Risk assessments</w:t>
            </w:r>
          </w:p>
        </w:tc>
        <w:tc>
          <w:tcPr>
            <w:tcW w:type="dxa" w:w="4320"/>
          </w:tcPr>
          <w:p>
            <w:r/>
            <w:r>
              <w:rPr>
                <w:b/>
              </w:rPr>
              <w:t>At least 28 days after the work to which the assessment relates is completed.</w:t>
            </w:r>
            <w:r>
              <w:t xml:space="preserve"> If a notifiable incident occurs in connection with that work, the risk assessment (and any related entry permit) must be kept for </w:t>
            </w:r>
            <w:r>
              <w:rPr>
                <w:b/>
              </w:rPr>
              <w:t>at least 2 years after the incident</w:t>
            </w:r>
            <w:r>
              <w:t>.</w:t>
            </w:r>
          </w:p>
        </w:tc>
      </w:tr>
      <w:tr>
        <w:tc>
          <w:tcPr>
            <w:tcW w:type="dxa" w:w="4320"/>
          </w:tcPr>
          <w:p>
            <w:r/>
            <w:r>
              <w:rPr>
                <w:b/>
              </w:rPr>
              <w:t>iii. Health monitoring records</w:t>
            </w:r>
          </w:p>
        </w:tc>
        <w:tc>
          <w:tcPr>
            <w:tcW w:type="dxa" w:w="4320"/>
          </w:tcPr>
          <w:p>
            <w:r/>
            <w:r>
              <w:rPr>
                <w:b/>
              </w:rPr>
              <w:t>At least 30 years after the record is made.</w:t>
            </w:r>
            <w:r>
              <w:t xml:space="preserve"> The records must be kept confidential and must not be released to anyone else without the worker's written consent.</w:t>
            </w:r>
          </w:p>
        </w:tc>
      </w:tr>
    </w:tbl>
    <w:p/>
    <w:p>
      <w:pPr>
        <w:pStyle w:val="Heading2"/>
      </w:pPr>
      <w:r>
        <w:t>Question 4</w:t>
      </w:r>
    </w:p>
    <w:p>
      <w:pPr>
        <w:pStyle w:val="Heading3"/>
      </w:pPr>
      <w:r>
        <w:t>a. Outline at least three types of records that must be maintained to support each of the business activity records outlined in the table below.</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Business activity record</w:t>
            </w:r>
          </w:p>
        </w:tc>
        <w:tc>
          <w:tcPr>
            <w:tcW w:type="dxa" w:w="4320"/>
          </w:tcPr>
          <w:p>
            <w:r>
              <w:rPr>
                <w:b/>
              </w:rPr>
            </w:r>
            <w:r>
              <w:rPr>
                <w:b/>
              </w:rPr>
              <w:t>Records that must be maintained</w:t>
            </w:r>
          </w:p>
        </w:tc>
      </w:tr>
      <w:tr>
        <w:tc>
          <w:tcPr>
            <w:tcW w:type="dxa" w:w="4320"/>
          </w:tcPr>
          <w:p>
            <w:r/>
            <w:r>
              <w:rPr>
                <w:b/>
              </w:rPr>
              <w:t>i. Goods and Services Tax (GST)</w:t>
            </w:r>
          </w:p>
        </w:tc>
        <w:tc>
          <w:tcPr>
            <w:tcW w:type="dxa" w:w="4320"/>
          </w:tcPr>
          <w:p>
            <w:r/>
            <w:r>
              <w:rPr>
                <w:b/>
              </w:rPr>
              <w:t>i.a</w:t>
            </w:r>
            <w:r>
              <w:t xml:space="preserve"> Sales records — all tax invoices issued, sales receipts, cash register tapes/point-of-sale reports and receipt books showing income earned and the GST charged.</w:t>
            </w:r>
          </w:p>
        </w:tc>
      </w:tr>
      <w:tr>
        <w:tc>
          <w:tcPr>
            <w:tcW w:type="dxa" w:w="4320"/>
          </w:tcPr>
          <w:p>
            <w:r/>
          </w:p>
        </w:tc>
        <w:tc>
          <w:tcPr>
            <w:tcW w:type="dxa" w:w="4320"/>
          </w:tcPr>
          <w:p>
            <w:r/>
            <w:r>
              <w:rPr>
                <w:b/>
              </w:rPr>
              <w:t>i.b</w:t>
            </w:r>
            <w:r>
              <w:t xml:space="preserve"> Purchase and operational cost records — tax invoices, receipts, adjustment notes and credit notes for stock, capital purchases and operating expenses on which GST credits are claimed (a tax invoice is required for purchases over $82.50 including GST).</w:t>
            </w:r>
          </w:p>
        </w:tc>
      </w:tr>
      <w:tr>
        <w:tc>
          <w:tcPr>
            <w:tcW w:type="dxa" w:w="4320"/>
          </w:tcPr>
          <w:p>
            <w:r/>
          </w:p>
        </w:tc>
        <w:tc>
          <w:tcPr>
            <w:tcW w:type="dxa" w:w="4320"/>
          </w:tcPr>
          <w:p>
            <w:r/>
            <w:r>
              <w:rPr>
                <w:b/>
              </w:rPr>
              <w:t>i.c</w:t>
            </w:r>
            <w:r>
              <w:t xml:space="preserve"> Wage records and GST working papers — payroll records, GST calculation worksheets, the accounting records reconciling GST collected and paid, and copies of the activity statements (BAS) lodged with the ATO.</w:t>
            </w:r>
          </w:p>
        </w:tc>
      </w:tr>
      <w:tr>
        <w:tc>
          <w:tcPr>
            <w:tcW w:type="dxa" w:w="4320"/>
          </w:tcPr>
          <w:p>
            <w:r/>
            <w:r>
              <w:rPr>
                <w:b/>
              </w:rPr>
              <w:t>ii. Pay as you go (PAYG) withholding records</w:t>
            </w:r>
          </w:p>
        </w:tc>
        <w:tc>
          <w:tcPr>
            <w:tcW w:type="dxa" w:w="4320"/>
          </w:tcPr>
          <w:p>
            <w:r/>
            <w:r>
              <w:rPr>
                <w:b/>
              </w:rPr>
              <w:t>ii.a</w:t>
            </w:r>
            <w:r>
              <w:t xml:space="preserve"> Worker payment records — records of wages, salaries, allowances, bonuses and other payments made to workers, together with the tax file number declarations and withholding declarations they have provided.</w:t>
            </w:r>
          </w:p>
        </w:tc>
      </w:tr>
      <w:tr>
        <w:tc>
          <w:tcPr>
            <w:tcW w:type="dxa" w:w="4320"/>
          </w:tcPr>
          <w:p>
            <w:r/>
          </w:p>
        </w:tc>
        <w:tc>
          <w:tcPr>
            <w:tcW w:type="dxa" w:w="4320"/>
          </w:tcPr>
          <w:p>
            <w:r/>
            <w:r>
              <w:rPr>
                <w:b/>
              </w:rPr>
              <w:t>ii.b</w:t>
            </w:r>
            <w:r>
              <w:t xml:space="preserve"> Copies of the contracts and voluntary agreements held with contractors, and records of any amounts withheld from contractor payments (including "no ABN" withholding at the top rate).</w:t>
            </w:r>
          </w:p>
        </w:tc>
      </w:tr>
      <w:tr>
        <w:tc>
          <w:tcPr>
            <w:tcW w:type="dxa" w:w="4320"/>
          </w:tcPr>
          <w:p>
            <w:r/>
          </w:p>
        </w:tc>
        <w:tc>
          <w:tcPr>
            <w:tcW w:type="dxa" w:w="4320"/>
          </w:tcPr>
          <w:p>
            <w:r/>
            <w:r>
              <w:rPr>
                <w:b/>
              </w:rPr>
              <w:t>ii.c</w:t>
            </w:r>
            <w:r>
              <w:t xml:space="preserve"> Copies of the payments and reports provided to the ATO — Single Touch Payroll reports, payment summaries/income statements, and the annual report of the amounts withheld.</w:t>
            </w:r>
          </w:p>
        </w:tc>
      </w:tr>
    </w:tbl>
    <w:p/>
    <w:p>
      <w:pPr>
        <w:pStyle w:val="Heading3"/>
      </w:pPr>
      <w:r>
        <w:t>b. Identify the GST reporting and payment cycle of each of the following GST turnover rates.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GST turnover</w:t>
            </w:r>
          </w:p>
        </w:tc>
        <w:tc>
          <w:tcPr>
            <w:tcW w:type="dxa" w:w="4320"/>
          </w:tcPr>
          <w:p>
            <w:r>
              <w:rPr>
                <w:b/>
              </w:rPr>
            </w:r>
            <w:r>
              <w:rPr>
                <w:b/>
              </w:rPr>
              <w:t>Reporting and payment cycle</w:t>
            </w:r>
          </w:p>
        </w:tc>
      </w:tr>
      <w:tr>
        <w:tc>
          <w:tcPr>
            <w:tcW w:type="dxa" w:w="4320"/>
          </w:tcPr>
          <w:p>
            <w:r/>
            <w:r>
              <w:rPr>
                <w:b/>
              </w:rPr>
              <w:t>i. GST turnover is less than $20 million</w:t>
            </w:r>
            <w:r>
              <w:t xml:space="preserve"> (without having been advised by the ATO to report monthly)</w:t>
            </w:r>
          </w:p>
        </w:tc>
        <w:tc>
          <w:tcPr>
            <w:tcW w:type="dxa" w:w="4320"/>
          </w:tcPr>
          <w:p>
            <w:r/>
            <w:r>
              <w:rPr>
                <w:b/>
              </w:rPr>
              <w:t>Quarterly.</w:t>
            </w:r>
            <w:r>
              <w:t xml:space="preserve"> The business lodges and pays on a quarterly activity statement (BAS), generally due on the 28th day of the month after the end of the quarter — except the October–December quarter, which is due 28 February.</w:t>
            </w:r>
          </w:p>
        </w:tc>
      </w:tr>
      <w:tr>
        <w:tc>
          <w:tcPr>
            <w:tcW w:type="dxa" w:w="4320"/>
          </w:tcPr>
          <w:p>
            <w:r/>
            <w:r>
              <w:rPr>
                <w:b/>
              </w:rPr>
              <w:t>ii. GST turnover is $20 million or more</w:t>
            </w:r>
          </w:p>
        </w:tc>
        <w:tc>
          <w:tcPr>
            <w:tcW w:type="dxa" w:w="4320"/>
          </w:tcPr>
          <w:p>
            <w:r/>
            <w:r>
              <w:rPr>
                <w:b/>
              </w:rPr>
              <w:t>Monthly.</w:t>
            </w:r>
            <w:r>
              <w:t xml:space="preserve"> The business must report and pay GST monthly and must lodge its activity statements electronically, generally by the 21st day of the following month.</w:t>
            </w:r>
          </w:p>
        </w:tc>
      </w:tr>
      <w:tr>
        <w:tc>
          <w:tcPr>
            <w:tcW w:type="dxa" w:w="4320"/>
          </w:tcPr>
          <w:p>
            <w:r/>
            <w:r>
              <w:rPr>
                <w:b/>
              </w:rPr>
              <w:t>iii. Voluntarily registered for GST and GST turnover is under $75,000 ($150,000 for not-for-profit bodies)</w:t>
            </w:r>
          </w:p>
        </w:tc>
        <w:tc>
          <w:tcPr>
            <w:tcW w:type="dxa" w:w="4320"/>
          </w:tcPr>
          <w:p>
            <w:r/>
            <w:r>
              <w:rPr>
                <w:b/>
              </w:rPr>
              <w:t>Annually.</w:t>
            </w:r>
            <w:r>
              <w:t xml:space="preserve"> The business may elect to report and pay GST once a year on an annual GST return, due at the same time as its income tax return (or by 28 February following the annual tax period if it is not required to lodge an income tax return).</w:t>
            </w:r>
          </w:p>
        </w:tc>
      </w:tr>
    </w:tbl>
    <w:p/>
    <w:p>
      <w:pPr>
        <w:pStyle w:val="Heading3"/>
      </w:pPr>
      <w:r>
        <w:t>c. Outline the requirements you must report in an annual GST return for each type of GST turnover rate outlined in the table below.</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Requirements</w:t>
            </w:r>
          </w:p>
        </w:tc>
      </w:tr>
      <w:tr>
        <w:tc>
          <w:tcPr>
            <w:tcW w:type="dxa" w:w="4320"/>
          </w:tcPr>
          <w:p>
            <w:r/>
            <w:r>
              <w:rPr>
                <w:b/>
              </w:rPr>
              <w:t>i. Four requirements if GST turnover is less than $10 million</w:t>
            </w:r>
            <w:r>
              <w:t xml:space="preserve"> (Simpler BAS reporting)</w:t>
            </w:r>
          </w:p>
        </w:tc>
        <w:tc>
          <w:tcPr>
            <w:tcW w:type="dxa" w:w="4320"/>
          </w:tcPr>
          <w:p>
            <w:r/>
            <w:r>
              <w:t xml:space="preserve">1. </w:t>
            </w:r>
            <w:r>
              <w:rPr>
                <w:b/>
              </w:rPr>
              <w:t>G1</w:t>
            </w:r>
            <w:r>
              <w:t xml:space="preserve"> — Total sales</w:t>
            </w:r>
          </w:p>
          <w:p>
            <w:r>
              <w:t xml:space="preserve">2. </w:t>
            </w:r>
            <w:r>
              <w:rPr>
                <w:b/>
              </w:rPr>
              <w:t>1A</w:t>
            </w:r>
            <w:r>
              <w:t xml:space="preserve"> — GST on sales</w:t>
            </w:r>
          </w:p>
          <w:p>
            <w:r>
              <w:t xml:space="preserve">3. </w:t>
            </w:r>
            <w:r>
              <w:rPr>
                <w:b/>
              </w:rPr>
              <w:t>1B</w:t>
            </w:r>
            <w:r>
              <w:t xml:space="preserve"> — GST on purchases</w:t>
            </w:r>
          </w:p>
          <w:p>
            <w:r>
              <w:t xml:space="preserve">4. </w:t>
            </w:r>
            <w:r>
              <w:rPr>
                <w:b/>
              </w:rPr>
              <w:t>1H</w:t>
            </w:r>
            <w:r>
              <w:t xml:space="preserve"> — GST instalment amounts reported in the quarterly instalment notices for the period shown on the annual GST return</w:t>
            </w:r>
          </w:p>
        </w:tc>
      </w:tr>
      <w:tr>
        <w:tc>
          <w:tcPr>
            <w:tcW w:type="dxa" w:w="4320"/>
          </w:tcPr>
          <w:p>
            <w:r/>
            <w:r>
              <w:rPr>
                <w:b/>
              </w:rPr>
              <w:t>ii. Seven requirements if GST turnover is equal to or more than $10 million</w:t>
            </w:r>
            <w:r>
              <w:t xml:space="preserve"> (full reporting method)</w:t>
            </w:r>
          </w:p>
        </w:tc>
        <w:tc>
          <w:tcPr>
            <w:tcW w:type="dxa" w:w="4320"/>
          </w:tcPr>
          <w:p>
            <w:r/>
            <w:r>
              <w:t xml:space="preserve">1. </w:t>
            </w:r>
            <w:r>
              <w:rPr>
                <w:b/>
              </w:rPr>
              <w:t>G1</w:t>
            </w:r>
            <w:r>
              <w:t xml:space="preserve"> — Total sales</w:t>
            </w:r>
          </w:p>
          <w:p>
            <w:r>
              <w:t xml:space="preserve">2. </w:t>
            </w:r>
            <w:r>
              <w:rPr>
                <w:b/>
              </w:rPr>
              <w:t>G2</w:t>
            </w:r>
            <w:r>
              <w:t xml:space="preserve"> — Export sales</w:t>
            </w:r>
          </w:p>
          <w:p>
            <w:r>
              <w:t xml:space="preserve">3. </w:t>
            </w:r>
            <w:r>
              <w:rPr>
                <w:b/>
              </w:rPr>
              <w:t>G3</w:t>
            </w:r>
            <w:r>
              <w:t xml:space="preserve"> — Other GST-free sales</w:t>
            </w:r>
          </w:p>
          <w:p>
            <w:r>
              <w:t xml:space="preserve">4. </w:t>
            </w:r>
            <w:r>
              <w:rPr>
                <w:b/>
              </w:rPr>
              <w:t>G10</w:t>
            </w:r>
            <w:r>
              <w:t xml:space="preserve"> — Capital purchases</w:t>
            </w:r>
          </w:p>
          <w:p>
            <w:r>
              <w:t xml:space="preserve">5. </w:t>
            </w:r>
            <w:r>
              <w:rPr>
                <w:b/>
              </w:rPr>
              <w:t>G11</w:t>
            </w:r>
            <w:r>
              <w:t xml:space="preserve"> — Non-capital purchases</w:t>
            </w:r>
          </w:p>
          <w:p>
            <w:r>
              <w:t xml:space="preserve">6. </w:t>
            </w:r>
            <w:r>
              <w:rPr>
                <w:b/>
              </w:rPr>
              <w:t>1A</w:t>
            </w:r>
            <w:r>
              <w:t xml:space="preserve"> — GST on sales</w:t>
            </w:r>
          </w:p>
          <w:p>
            <w:r>
              <w:t xml:space="preserve">7. </w:t>
            </w:r>
            <w:r>
              <w:rPr>
                <w:b/>
              </w:rPr>
              <w:t>1B</w:t>
            </w:r>
            <w:r>
              <w:t xml:space="preserve"> — GST on purchases</w:t>
            </w:r>
          </w:p>
        </w:tc>
      </w:tr>
    </w:tbl>
    <w:p/>
    <w:p>
      <w:pPr>
        <w:pStyle w:val="Heading3"/>
      </w:pPr>
      <w:r>
        <w:t>d. Outline the four conditions that must be met to be eligible to claim GST credits.</w:t>
      </w:r>
    </w:p>
    <w:p>
      <w:pPr>
        <w:jc w:val="left"/>
      </w:pPr>
      <w:r>
        <w:rPr>
          <w:i/>
        </w:rPr>
        <w:t>(In each case the business must already be registered for GST.)</w:t>
      </w:r>
    </w:p>
    <w:p>
      <w:pPr>
        <w:jc w:val="left"/>
      </w:pPr>
      <w:r>
        <w:rPr>
          <w:b/>
        </w:rPr>
        <w:t>i.</w:t>
      </w:r>
      <w:r>
        <w:t xml:space="preserve"> You </w:t>
      </w:r>
      <w:r>
        <w:rPr>
          <w:b/>
        </w:rPr>
        <w:t>intend to use the purchase solely or partly for your business</w:t>
      </w:r>
      <w:r>
        <w:t>, and the purchase does not relate to making input-taxed supplies.</w:t>
      </w:r>
    </w:p>
    <w:p>
      <w:pPr>
        <w:jc w:val="left"/>
      </w:pPr>
      <w:r>
        <w:rPr>
          <w:b/>
        </w:rPr>
        <w:t>ii.</w:t>
      </w:r>
      <w:r>
        <w:t xml:space="preserve"> The </w:t>
      </w:r>
      <w:r>
        <w:rPr>
          <w:b/>
        </w:rPr>
        <w:t>purchase price included GST</w:t>
      </w:r>
      <w:r>
        <w:t xml:space="preserve"> — that is, the supplier was registered for GST and made a taxable supply to you.</w:t>
      </w:r>
    </w:p>
    <w:p>
      <w:pPr>
        <w:jc w:val="left"/>
      </w:pPr>
      <w:r>
        <w:rPr>
          <w:b/>
        </w:rPr>
        <w:t>iii.</w:t>
      </w:r>
      <w:r>
        <w:t xml:space="preserve"> You </w:t>
      </w:r>
      <w:r>
        <w:rPr>
          <w:b/>
        </w:rPr>
        <w:t>provide, or are liable to provide, payment</w:t>
      </w:r>
      <w:r>
        <w:t xml:space="preserve"> for the item you purchased.</w:t>
      </w:r>
    </w:p>
    <w:p>
      <w:pPr>
        <w:jc w:val="left"/>
      </w:pPr>
      <w:r>
        <w:rPr>
          <w:b/>
        </w:rPr>
        <w:t>iv.</w:t>
      </w:r>
      <w:r>
        <w:t xml:space="preserve"> You </w:t>
      </w:r>
      <w:r>
        <w:rPr>
          <w:b/>
        </w:rPr>
        <w:t>hold a tax invoice from your supplier</w:t>
      </w:r>
      <w:r>
        <w:t xml:space="preserve"> for the purchase, where the purchase cost more than </w:t>
      </w:r>
      <w:r>
        <w:rPr>
          <w:b/>
        </w:rPr>
        <w:t>$82.50 including GST</w:t>
      </w:r>
      <w:r>
        <w:t>. (For purchases of $82.50 or less you should keep a tax invoice, cash register docket, receipt or invoice.)</w:t>
      </w:r>
    </w:p>
    <w:p>
      <w:pPr>
        <w:pStyle w:val="Heading3"/>
      </w:pPr>
      <w:r>
        <w:t>e. Briefly explain what a fringe benefit is using your own words.</w:t>
      </w:r>
    </w:p>
    <w:p>
      <w:pPr>
        <w:jc w:val="left"/>
      </w:pPr>
      <w:r>
        <w:t xml:space="preserve">A fringe benefit is a </w:t>
      </w:r>
      <w:r>
        <w:rPr>
          <w:b/>
        </w:rPr>
        <w:t>non-cash benefit that an employer gives to an employee (or to the employee's family or another associate) because of their employment</w:t>
      </w:r>
      <w:r>
        <w:t>, instead of, or in addition to, paying them salary or wages. It is something of personal value that the worker receives through their job rather than money in their pay packet — for example, the private use of a company car, a car parking space, paying an employee's gym membership, private health insurance or school fees, providing entertainment such as meals and tickets, a low-interest or interest-free loan, a discounted product, or reimbursing an employee's private expenses. Because it is a form of remuneration, the employer (not the employee) pays fringe benefits tax on the grossed-up value of the benefit.</w:t>
      </w:r>
    </w:p>
    <w:p>
      <w:pPr>
        <w:pStyle w:val="Heading3"/>
      </w:pPr>
      <w:r>
        <w:t>f. Outline the seven steps required to calculate for fringe benefits tax (FBT).</w:t>
      </w:r>
    </w:p>
    <w:p>
      <w:pPr>
        <w:jc w:val="left"/>
      </w:pPr>
      <w:r>
        <w:rPr>
          <w:b/>
        </w:rPr>
        <w:t>i.</w:t>
      </w:r>
      <w:r>
        <w:t xml:space="preserve"> </w:t>
      </w:r>
      <w:r>
        <w:rPr>
          <w:b/>
        </w:rPr>
        <w:t>Step 1</w:t>
      </w:r>
      <w:r>
        <w:t xml:space="preserve"> — Work out the </w:t>
      </w:r>
      <w:r>
        <w:rPr>
          <w:b/>
        </w:rPr>
        <w:t>taxable value of each fringe benefit</w:t>
      </w:r>
      <w:r>
        <w:t xml:space="preserve"> you provided to each employee during the FBT year (1 April to 31 March), using the valuation rules that apply to that type of benefit and taking into account any reductions, exemptions and employee contributions.</w:t>
      </w:r>
    </w:p>
    <w:p>
      <w:pPr>
        <w:jc w:val="left"/>
      </w:pPr>
      <w:r>
        <w:rPr>
          <w:b/>
        </w:rPr>
        <w:t>ii.</w:t>
      </w:r>
      <w:r>
        <w:t xml:space="preserve"> </w:t>
      </w:r>
      <w:r>
        <w:rPr>
          <w:b/>
        </w:rPr>
        <w:t>Step 2</w:t>
      </w:r>
      <w:r>
        <w:t xml:space="preserve"> — Add up the taxable values from Step 1 for </w:t>
      </w:r>
      <w:r>
        <w:rPr>
          <w:b/>
        </w:rPr>
        <w:t>all the benefits for which you can claim a GST credit</w:t>
      </w:r>
      <w:r>
        <w:t xml:space="preserve"> (the "type 1" benefits).</w:t>
      </w:r>
    </w:p>
    <w:p>
      <w:pPr>
        <w:jc w:val="left"/>
      </w:pPr>
      <w:r>
        <w:rPr>
          <w:b/>
        </w:rPr>
        <w:t>iii.</w:t>
      </w:r>
      <w:r>
        <w:t xml:space="preserve"> </w:t>
      </w:r>
      <w:r>
        <w:rPr>
          <w:b/>
        </w:rPr>
        <w:t>Step 3</w:t>
      </w:r>
      <w:r>
        <w:t xml:space="preserve"> — Multiply the Step 2 total by the </w:t>
      </w:r>
      <w:r>
        <w:rPr>
          <w:b/>
        </w:rPr>
        <w:t>higher (type 1) gross-up rate of 2.0802</w:t>
      </w:r>
      <w:r>
        <w:t xml:space="preserve"> to get the grossed-up taxable value of those benefits.</w:t>
      </w:r>
    </w:p>
    <w:p>
      <w:pPr>
        <w:jc w:val="left"/>
      </w:pPr>
      <w:r>
        <w:rPr>
          <w:b/>
        </w:rPr>
        <w:t>iv.</w:t>
      </w:r>
      <w:r>
        <w:t xml:space="preserve"> </w:t>
      </w:r>
      <w:r>
        <w:rPr>
          <w:b/>
        </w:rPr>
        <w:t>Step 4</w:t>
      </w:r>
      <w:r>
        <w:t xml:space="preserve"> — Add up the taxable values from Step 1 for </w:t>
      </w:r>
      <w:r>
        <w:rPr>
          <w:b/>
        </w:rPr>
        <w:t>all the benefits for which you cannot claim a GST credit</w:t>
      </w:r>
      <w:r>
        <w:t xml:space="preserve"> (the "type 2" benefits — GST-free or input-taxed benefits).</w:t>
      </w:r>
    </w:p>
    <w:p>
      <w:pPr>
        <w:jc w:val="left"/>
      </w:pPr>
      <w:r>
        <w:rPr>
          <w:b/>
        </w:rPr>
        <w:t>v.</w:t>
      </w:r>
      <w:r>
        <w:t xml:space="preserve"> </w:t>
      </w:r>
      <w:r>
        <w:rPr>
          <w:b/>
        </w:rPr>
        <w:t>Step 5</w:t>
      </w:r>
      <w:r>
        <w:t xml:space="preserve"> — Multiply the Step 4 total by the </w:t>
      </w:r>
      <w:r>
        <w:rPr>
          <w:b/>
        </w:rPr>
        <w:t>lower (type 2) gross-up rate of 1.8868</w:t>
      </w:r>
      <w:r>
        <w:t xml:space="preserve"> to get the grossed-up taxable value of those benefits.</w:t>
      </w:r>
    </w:p>
    <w:p>
      <w:pPr>
        <w:jc w:val="left"/>
      </w:pPr>
      <w:r>
        <w:rPr>
          <w:b/>
        </w:rPr>
        <w:t>vi.</w:t>
      </w:r>
      <w:r>
        <w:t xml:space="preserve"> </w:t>
      </w:r>
      <w:r>
        <w:rPr>
          <w:b/>
        </w:rPr>
        <w:t>Step 6</w:t>
      </w:r>
      <w:r>
        <w:t xml:space="preserve"> — </w:t>
      </w:r>
      <w:r>
        <w:rPr>
          <w:b/>
        </w:rPr>
        <w:t>Add the grossed-up amounts from Step 3 and Step 5</w:t>
      </w:r>
      <w:r>
        <w:t xml:space="preserve"> together. This total is your fringe benefits taxable amount.</w:t>
      </w:r>
    </w:p>
    <w:p>
      <w:pPr>
        <w:jc w:val="left"/>
      </w:pPr>
      <w:r>
        <w:rPr>
          <w:b/>
        </w:rPr>
        <w:t>vii.</w:t>
      </w:r>
      <w:r>
        <w:t xml:space="preserve"> </w:t>
      </w:r>
      <w:r>
        <w:rPr>
          <w:b/>
        </w:rPr>
        <w:t>Step 7</w:t>
      </w:r>
      <w:r>
        <w:t xml:space="preserve"> — Multiply the Step 6 fringe benefits taxable amount by the </w:t>
      </w:r>
      <w:r>
        <w:rPr>
          <w:b/>
        </w:rPr>
        <w:t>FBT rate of 47%</w:t>
      </w:r>
      <w:r>
        <w:t>. The result is the total FBT you must pay when you lodge your FBT return.</w:t>
      </w:r>
    </w:p>
    <w:p>
      <w:pPr>
        <w:pStyle w:val="Heading3"/>
      </w:pPr>
      <w:r>
        <w:t>g. Outline the two evidences that records relating to FBT return must be able to show.</w:t>
      </w:r>
    </w:p>
    <w:p>
      <w:pPr>
        <w:jc w:val="left"/>
      </w:pPr>
      <w:r>
        <w:rPr>
          <w:b/>
        </w:rPr>
        <w:t>i.</w:t>
      </w:r>
      <w:r>
        <w:t xml:space="preserve"> The </w:t>
      </w:r>
      <w:r>
        <w:rPr>
          <w:b/>
        </w:rPr>
        <w:t>taxable value of each fringe benefit provided to each employee</w:t>
      </w:r>
      <w:r>
        <w:t xml:space="preserve"> during the FBT year.</w:t>
      </w:r>
    </w:p>
    <w:p>
      <w:pPr>
        <w:jc w:val="left"/>
      </w:pPr>
      <w:r>
        <w:rPr>
          <w:b/>
        </w:rPr>
        <w:t>ii.</w:t>
      </w:r>
      <w:r>
        <w:t xml:space="preserve"> </w:t>
      </w:r>
      <w:r>
        <w:rPr>
          <w:b/>
        </w:rPr>
        <w:t>How that taxable value was calculated</w:t>
      </w:r>
      <w:r>
        <w:t xml:space="preserve"> — the valuation method used and the working behind it, including any reduction, exemption or concession claimed (for example, the "otherwise deductible" rule) and any employee contributions taken into account.</w:t>
      </w:r>
    </w:p>
    <w:p>
      <w:pPr>
        <w:pStyle w:val="Heading3"/>
      </w:pPr>
      <w:r>
        <w:t>h. Outline five types of records that can be used to support an FBT return.</w:t>
      </w:r>
    </w:p>
    <w:p>
      <w:pPr>
        <w:jc w:val="left"/>
      </w:pPr>
      <w:r>
        <w:rPr>
          <w:b/>
        </w:rPr>
        <w:t>i.</w:t>
      </w:r>
      <w:r>
        <w:t xml:space="preserve"> </w:t>
      </w:r>
      <w:r>
        <w:rPr>
          <w:b/>
        </w:rPr>
        <w:t>Calculations and worksheets</w:t>
      </w:r>
      <w:r>
        <w:t xml:space="preserve"> showing how the taxable value and grossed-up amounts for each benefit were worked out.</w:t>
      </w:r>
    </w:p>
    <w:p>
      <w:pPr>
        <w:jc w:val="left"/>
      </w:pPr>
      <w:r>
        <w:rPr>
          <w:b/>
        </w:rPr>
        <w:t>ii.</w:t>
      </w:r>
      <w:r>
        <w:t xml:space="preserve"> </w:t>
      </w:r>
      <w:r>
        <w:rPr>
          <w:b/>
        </w:rPr>
        <w:t>Employee declarations and elections</w:t>
      </w:r>
      <w:r>
        <w:t xml:space="preserve"> — for example, declarations supporting the "otherwise deductible" rule, living-away-from-home declarations, and elections about the valuation method used.</w:t>
      </w:r>
    </w:p>
    <w:p>
      <w:pPr>
        <w:jc w:val="left"/>
      </w:pPr>
      <w:r>
        <w:rPr>
          <w:b/>
        </w:rPr>
        <w:t>iii.</w:t>
      </w:r>
      <w:r>
        <w:t xml:space="preserve"> </w:t>
      </w:r>
      <w:r>
        <w:rPr>
          <w:b/>
        </w:rPr>
        <w:t>Invoices, receipts, bills of sale and purchase receipts</w:t>
      </w:r>
      <w:r>
        <w:t xml:space="preserve"> — including purchase and servicing/maintenance receipts for vehicles.</w:t>
      </w:r>
    </w:p>
    <w:p>
      <w:pPr>
        <w:jc w:val="left"/>
      </w:pPr>
      <w:r>
        <w:rPr>
          <w:b/>
        </w:rPr>
        <w:t>iv.</w:t>
      </w:r>
      <w:r>
        <w:t xml:space="preserve"> </w:t>
      </w:r>
      <w:r>
        <w:rPr>
          <w:b/>
        </w:rPr>
        <w:t>Lease documents and other agreements</w:t>
      </w:r>
      <w:r>
        <w:t xml:space="preserve"> for cars, equipment or property provided as benefits.</w:t>
      </w:r>
    </w:p>
    <w:p>
      <w:pPr>
        <w:jc w:val="left"/>
      </w:pPr>
      <w:r>
        <w:rPr>
          <w:b/>
        </w:rPr>
        <w:t>v.</w:t>
      </w:r>
      <w:r>
        <w:t xml:space="preserve"> </w:t>
      </w:r>
      <w:r>
        <w:rPr>
          <w:b/>
        </w:rPr>
        <w:t>Travel diaries, logbooks, odometer records and fleet management records</w:t>
      </w:r>
      <w:r>
        <w:t>, and any valuations obtained where a valuation is required.</w:t>
      </w:r>
    </w:p>
    <w:p>
      <w:pPr>
        <w:jc w:val="left"/>
      </w:pPr>
      <w:r>
        <w:rPr>
          <w:i/>
        </w:rPr>
        <w:t>(All FBT records must be kept for five years from the date they are prepared, obtained, or the transaction is completed.)</w:t>
      </w:r>
    </w:p>
    <w:p>
      <w:pPr>
        <w:pStyle w:val="Heading2"/>
      </w:pPr>
      <w:r>
        <w:t>Question 5</w:t>
      </w:r>
    </w:p>
    <w:p>
      <w:pPr>
        <w:jc w:val="left"/>
      </w:pPr>
      <w:r>
        <w:rPr>
          <w:i/>
        </w:rPr>
        <w:t>Fitness Industry Award 2020 [MA000094]. Rates and clause numbers below are current as at 1 July 2026.</w:t>
      </w:r>
    </w:p>
    <w:p>
      <w:pPr>
        <w:pStyle w:val="Heading3"/>
      </w:pPr>
      <w:r>
        <w:t>a. Identify the requirements for hours of work.</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Requirement</w:t>
            </w:r>
          </w:p>
        </w:tc>
      </w:tr>
      <w:tr>
        <w:tc>
          <w:tcPr>
            <w:tcW w:type="dxa" w:w="4320"/>
          </w:tcPr>
          <w:p>
            <w:r/>
            <w:r>
              <w:rPr>
                <w:b/>
              </w:rPr>
              <w:t>i. Number of workdays when ordinary hours can be carried out</w:t>
            </w:r>
          </w:p>
        </w:tc>
        <w:tc>
          <w:tcPr>
            <w:tcW w:type="dxa" w:w="4320"/>
          </w:tcPr>
          <w:p>
            <w:r/>
            <w:r>
              <w:t xml:space="preserve">Ordinary hours may be worked over </w:t>
            </w:r>
            <w:r>
              <w:rPr>
                <w:b/>
              </w:rPr>
              <w:t>any 5 days of the week</w:t>
            </w:r>
            <w:r>
              <w:t xml:space="preserve"> (clause 13.1). Ordinary hours must not exceed an average of 38 hours per week over a period of 4 weeks (clause 13.2).</w:t>
            </w:r>
          </w:p>
        </w:tc>
      </w:tr>
      <w:tr>
        <w:tc>
          <w:tcPr>
            <w:tcW w:type="dxa" w:w="4320"/>
          </w:tcPr>
          <w:p>
            <w:r/>
            <w:r>
              <w:rPr>
                <w:b/>
              </w:rPr>
              <w:t>ii. Timeframe when ordinary hours can be carried out on weekdays (Monday to Friday)</w:t>
            </w:r>
          </w:p>
        </w:tc>
        <w:tc>
          <w:tcPr>
            <w:tcW w:type="dxa" w:w="4320"/>
          </w:tcPr>
          <w:p>
            <w:r/>
            <w:r>
              <w:t xml:space="preserve">Between </w:t>
            </w:r>
            <w:r>
              <w:rPr>
                <w:b/>
              </w:rPr>
              <w:t>5.00 am and 11.00 pm</w:t>
            </w:r>
            <w:r>
              <w:t>, Monday to Friday (clause 13.1(a)).</w:t>
            </w:r>
          </w:p>
        </w:tc>
      </w:tr>
      <w:tr>
        <w:tc>
          <w:tcPr>
            <w:tcW w:type="dxa" w:w="4320"/>
          </w:tcPr>
          <w:p>
            <w:r/>
            <w:r>
              <w:rPr>
                <w:b/>
              </w:rPr>
              <w:t>iii. Timeframe when work can be carried out on weekends (Saturday and Sunday)</w:t>
            </w:r>
          </w:p>
        </w:tc>
        <w:tc>
          <w:tcPr>
            <w:tcW w:type="dxa" w:w="4320"/>
          </w:tcPr>
          <w:p>
            <w:r/>
            <w:r>
              <w:t xml:space="preserve">Between </w:t>
            </w:r>
            <w:r>
              <w:rPr>
                <w:b/>
              </w:rPr>
              <w:t>6.00 am and 9.00 pm</w:t>
            </w:r>
            <w:r>
              <w:t>, Saturday and Sunday (clause 13.1(b)).</w:t>
            </w:r>
          </w:p>
        </w:tc>
      </w:tr>
      <w:tr>
        <w:tc>
          <w:tcPr>
            <w:tcW w:type="dxa" w:w="4320"/>
          </w:tcPr>
          <w:p>
            <w:r/>
            <w:r>
              <w:rPr>
                <w:b/>
              </w:rPr>
              <w:t>iv. Maximum amount of work hours on any one day</w:t>
            </w:r>
          </w:p>
        </w:tc>
        <w:tc>
          <w:tcPr>
            <w:tcW w:type="dxa" w:w="4320"/>
          </w:tcPr>
          <w:p>
            <w:r/>
            <w:r>
              <w:rPr>
                <w:b/>
              </w:rPr>
              <w:t>10 hours</w:t>
            </w:r>
            <w:r>
              <w:t xml:space="preserve"> on any one day (clause 13.3).</w:t>
            </w:r>
          </w:p>
        </w:tc>
      </w:tr>
    </w:tbl>
    <w:p/>
    <w:p>
      <w:pPr>
        <w:pStyle w:val="Heading3"/>
      </w:pPr>
      <w:r>
        <w:t>b. Identify the minimum weekly rate for each of the following employee classification levels (clause 15.1, full-time adult employee).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Classification level</w:t>
            </w:r>
          </w:p>
        </w:tc>
        <w:tc>
          <w:tcPr>
            <w:tcW w:type="dxa" w:w="2880"/>
          </w:tcPr>
          <w:p>
            <w:r>
              <w:rPr>
                <w:b/>
              </w:rPr>
            </w:r>
            <w:r>
              <w:rPr>
                <w:b/>
              </w:rPr>
              <w:t>Minimum weekly rate</w:t>
            </w:r>
          </w:p>
        </w:tc>
        <w:tc>
          <w:tcPr>
            <w:tcW w:type="dxa" w:w="2880"/>
          </w:tcPr>
          <w:p>
            <w:r>
              <w:rPr>
                <w:b/>
              </w:rPr>
            </w:r>
            <w:r>
              <w:rPr>
                <w:b/>
              </w:rPr>
              <w:t>(Minimum hourly rate)</w:t>
            </w:r>
          </w:p>
        </w:tc>
      </w:tr>
      <w:tr>
        <w:tc>
          <w:tcPr>
            <w:tcW w:type="dxa" w:w="2880"/>
          </w:tcPr>
          <w:p>
            <w:r/>
            <w:r>
              <w:rPr>
                <w:b/>
              </w:rPr>
              <w:t>i. Level 1</w:t>
            </w:r>
          </w:p>
        </w:tc>
        <w:tc>
          <w:tcPr>
            <w:tcW w:type="dxa" w:w="2880"/>
          </w:tcPr>
          <w:p>
            <w:r/>
            <w:r>
              <w:rPr>
                <w:b/>
              </w:rPr>
              <w:t>$978.10</w:t>
            </w:r>
          </w:p>
        </w:tc>
        <w:tc>
          <w:tcPr>
            <w:tcW w:type="dxa" w:w="2880"/>
          </w:tcPr>
          <w:p>
            <w:r/>
            <w:r>
              <w:t>$25.74</w:t>
            </w:r>
          </w:p>
        </w:tc>
      </w:tr>
      <w:tr>
        <w:tc>
          <w:tcPr>
            <w:tcW w:type="dxa" w:w="2880"/>
          </w:tcPr>
          <w:p>
            <w:r/>
            <w:r>
              <w:rPr>
                <w:b/>
              </w:rPr>
              <w:t>ii. Level 2</w:t>
            </w:r>
          </w:p>
        </w:tc>
        <w:tc>
          <w:tcPr>
            <w:tcW w:type="dxa" w:w="2880"/>
          </w:tcPr>
          <w:p>
            <w:r/>
            <w:r>
              <w:rPr>
                <w:b/>
              </w:rPr>
              <w:t>$1,004.90</w:t>
            </w:r>
          </w:p>
        </w:tc>
        <w:tc>
          <w:tcPr>
            <w:tcW w:type="dxa" w:w="2880"/>
          </w:tcPr>
          <w:p>
            <w:r/>
            <w:r>
              <w:t>$26.44</w:t>
            </w:r>
          </w:p>
        </w:tc>
      </w:tr>
      <w:tr>
        <w:tc>
          <w:tcPr>
            <w:tcW w:type="dxa" w:w="2880"/>
          </w:tcPr>
          <w:p>
            <w:r/>
            <w:r>
              <w:rPr>
                <w:b/>
              </w:rPr>
              <w:t>iii. Level 3</w:t>
            </w:r>
          </w:p>
        </w:tc>
        <w:tc>
          <w:tcPr>
            <w:tcW w:type="dxa" w:w="2880"/>
          </w:tcPr>
          <w:p>
            <w:r/>
            <w:r>
              <w:rPr>
                <w:b/>
              </w:rPr>
              <w:t>$1,062.90</w:t>
            </w:r>
          </w:p>
        </w:tc>
        <w:tc>
          <w:tcPr>
            <w:tcW w:type="dxa" w:w="2880"/>
          </w:tcPr>
          <w:p>
            <w:r/>
            <w:r>
              <w:t>$27.97</w:t>
            </w:r>
          </w:p>
        </w:tc>
      </w:tr>
    </w:tbl>
    <w:p/>
    <w:p>
      <w:pPr>
        <w:pStyle w:val="Heading3"/>
      </w:pPr>
      <w:r>
        <w:t>c. Identify the three acceptable methods that wages are to be paid by an employer (clause 16.2).</w:t>
      </w:r>
    </w:p>
    <w:p>
      <w:pPr>
        <w:jc w:val="left"/>
      </w:pPr>
      <w:r>
        <w:rPr>
          <w:b/>
        </w:rPr>
        <w:t>i.</w:t>
      </w:r>
      <w:r>
        <w:t xml:space="preserve"> </w:t>
      </w:r>
      <w:r>
        <w:rPr>
          <w:b/>
        </w:rPr>
        <w:t>Cash</w:t>
      </w:r>
    </w:p>
    <w:p>
      <w:pPr>
        <w:jc w:val="left"/>
      </w:pPr>
      <w:r>
        <w:rPr>
          <w:b/>
        </w:rPr>
        <w:t>ii.</w:t>
      </w:r>
      <w:r>
        <w:t xml:space="preserve"> </w:t>
      </w:r>
      <w:r>
        <w:rPr>
          <w:b/>
        </w:rPr>
        <w:t>Cheque</w:t>
      </w:r>
    </w:p>
    <w:p>
      <w:pPr>
        <w:jc w:val="left"/>
      </w:pPr>
      <w:r>
        <w:rPr>
          <w:b/>
        </w:rPr>
        <w:t>iii.</w:t>
      </w:r>
      <w:r>
        <w:t xml:space="preserve"> </w:t>
      </w:r>
      <w:r>
        <w:rPr>
          <w:b/>
        </w:rPr>
        <w:t>Electronic funds transfer</w:t>
      </w:r>
      <w:r>
        <w:t xml:space="preserve"> into the bank or financial institution account nominated by the employee</w:t>
      </w:r>
    </w:p>
    <w:p>
      <w:pPr>
        <w:jc w:val="left"/>
      </w:pPr>
      <w:r>
        <w:rPr>
          <w:i/>
        </w:rPr>
        <w:t>(The method is determined by the employer. Under clause 16.1, wages must be paid weekly or fortnightly, or monthly by agreement with the majority of employees.)</w:t>
      </w:r>
    </w:p>
    <w:p>
      <w:pPr>
        <w:pStyle w:val="Heading3"/>
      </w:pPr>
      <w:r>
        <w:t>d. Outline the three types of time worked by a regular employee that is considered overtime (clause 19.1).</w:t>
      </w:r>
    </w:p>
    <w:p>
      <w:pPr>
        <w:jc w:val="left"/>
      </w:pPr>
      <w:r>
        <w:rPr>
          <w:b/>
        </w:rPr>
        <w:t>i.</w:t>
      </w:r>
      <w:r>
        <w:t xml:space="preserve"> All time worked </w:t>
      </w:r>
      <w:r>
        <w:rPr>
          <w:b/>
        </w:rPr>
        <w:t>outside the spread of ordinary hours</w:t>
      </w:r>
      <w:r>
        <w:t xml:space="preserve"> prescribed in clause 13.1 (that is, before 5.00 am or after 11.00 pm Monday to Friday, or before 6.00 am or after 9.00 pm on Saturday and Sunday).</w:t>
      </w:r>
    </w:p>
    <w:p>
      <w:pPr>
        <w:jc w:val="left"/>
      </w:pPr>
      <w:r>
        <w:rPr>
          <w:b/>
        </w:rPr>
        <w:t>ii.</w:t>
      </w:r>
      <w:r>
        <w:t xml:space="preserve"> All time worked </w:t>
      </w:r>
      <w:r>
        <w:rPr>
          <w:b/>
        </w:rPr>
        <w:t>in excess of an average of 38 hours per week over a period of 4 weeks</w:t>
      </w:r>
      <w:r>
        <w:t>.</w:t>
      </w:r>
    </w:p>
    <w:p>
      <w:pPr>
        <w:jc w:val="left"/>
      </w:pPr>
      <w:r>
        <w:rPr>
          <w:b/>
        </w:rPr>
        <w:t>iii.</w:t>
      </w:r>
      <w:r>
        <w:t xml:space="preserve"> All time worked </w:t>
      </w:r>
      <w:r>
        <w:rPr>
          <w:b/>
        </w:rPr>
        <w:t>in excess of 10 hours on any one day</w:t>
      </w:r>
      <w:r>
        <w:t>.</w:t>
      </w:r>
    </w:p>
    <w:p>
      <w:pPr>
        <w:jc w:val="left"/>
      </w:pPr>
      <w:r>
        <w:rPr>
          <w:i/>
        </w:rPr>
        <w:t>(For part-time employees, all time worked in excess of their agreed hours is also overtime. Overtime is paid at 150% of the minimum hourly rate for the first 2 hours and 200% after that Monday to Saturday, and 200% on Sunday.)</w:t>
      </w:r>
    </w:p>
    <w:p>
      <w:pPr>
        <w:pStyle w:val="Heading3"/>
      </w:pPr>
      <w:r>
        <w:t>e. Outline the three steps an employer must undertake if they are to make a definite decision to make major changes in production, program, organisation, structure or technology that are likely to have significant effect on employees (clause 27.1).</w:t>
      </w:r>
    </w:p>
    <w:p>
      <w:pPr>
        <w:jc w:val="left"/>
      </w:pPr>
      <w:r>
        <w:rPr>
          <w:b/>
        </w:rPr>
        <w:t>i.</w:t>
      </w:r>
      <w:r>
        <w:t xml:space="preserve"> </w:t>
      </w:r>
      <w:r>
        <w:rPr>
          <w:b/>
        </w:rPr>
        <w:t>Give notice of the changes</w:t>
      </w:r>
      <w:r>
        <w:t xml:space="preserve"> to all employees who may be affected by them and to their representatives (if any).</w:t>
      </w:r>
    </w:p>
    <w:p>
      <w:pPr>
        <w:jc w:val="left"/>
      </w:pPr>
      <w:r>
        <w:rPr>
          <w:b/>
        </w:rPr>
        <w:t>ii.</w:t>
      </w:r>
      <w:r>
        <w:t xml:space="preserve"> </w:t>
      </w:r>
      <w:r>
        <w:rPr>
          <w:b/>
        </w:rPr>
        <w:t>Discuss the changes with the affected employees and their representatives</w:t>
      </w:r>
      <w:r>
        <w:t xml:space="preserve">, covering the introduction of the changes, their likely effect on employees, and the measures that will be taken to avoid or reduce any adverse effects on employees — and give those employees and representatives, </w:t>
      </w:r>
      <w:r>
        <w:rPr>
          <w:b/>
        </w:rPr>
        <w:t>in writing</w:t>
      </w:r>
      <w:r>
        <w:t>, all relevant information about the changes, including their nature, their expected effect on employees and any other matters likely to affect employees.</w:t>
      </w:r>
    </w:p>
    <w:p>
      <w:pPr>
        <w:jc w:val="left"/>
      </w:pPr>
      <w:r>
        <w:rPr>
          <w:b/>
        </w:rPr>
        <w:t>iii.</w:t>
      </w:r>
      <w:r>
        <w:t xml:space="preserve"> </w:t>
      </w:r>
      <w:r>
        <w:rPr>
          <w:b/>
        </w:rPr>
        <w:t>Commence the discussions as soon as practicable after the definite decision has been made</w:t>
      </w:r>
      <w:r>
        <w:t>, and promptly consider any matters raised by the employees or their representatives during those discussions.</w:t>
      </w:r>
    </w:p>
    <w:p>
      <w:pPr>
        <w:pStyle w:val="Heading2"/>
      </w:pPr>
      <w:r>
        <w:t>Question 6</w:t>
      </w:r>
    </w:p>
    <w:p>
      <w:pPr>
        <w:pStyle w:val="Heading3"/>
      </w:pPr>
      <w:r>
        <w:t>a. Briefly explain how to conduct each step of the risk management process.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Risk Management Process</w:t>
            </w:r>
          </w:p>
        </w:tc>
        <w:tc>
          <w:tcPr>
            <w:tcW w:type="dxa" w:w="4320"/>
          </w:tcPr>
          <w:p>
            <w:r>
              <w:rPr>
                <w:b/>
              </w:rPr>
            </w:r>
            <w:r>
              <w:rPr>
                <w:b/>
              </w:rPr>
              <w:t>Explanation of How to Conduct Each Step of the Risk Management Process</w:t>
            </w:r>
          </w:p>
        </w:tc>
      </w:tr>
      <w:tr>
        <w:tc>
          <w:tcPr>
            <w:tcW w:type="dxa" w:w="4320"/>
          </w:tcPr>
          <w:p>
            <w:r/>
            <w:r>
              <w:rPr>
                <w:b/>
              </w:rPr>
              <w:t>i. Identify risks</w:t>
            </w:r>
          </w:p>
        </w:tc>
        <w:tc>
          <w:tcPr>
            <w:tcW w:type="dxa" w:w="4320"/>
          </w:tcPr>
          <w:p>
            <w:r/>
            <w:r>
              <w:t>Work systematically through each business activity and work process — sales, marketing, finance, accounting, customer service and human resources — and ask what could go wrong, where and when it could happen, who and what would be affected, and why it might occur. Separate internal risks (human-factor, technological and physical) from external risks (economic, social, political, legal, regulatory, environmental, supply chain and stakeholder factors). Gather the information by inspecting the workplace and work processes, reviewing incident reports, audit findings and historical data, consulting workers, managers and external experts, considering similar events in the industry, and thinking through the worst-case scenario. Record every risk found in a risk register so nothing is lost.</w:t>
            </w:r>
          </w:p>
        </w:tc>
      </w:tr>
      <w:tr>
        <w:tc>
          <w:tcPr>
            <w:tcW w:type="dxa" w:w="4320"/>
          </w:tcPr>
          <w:p>
            <w:r/>
            <w:r>
              <w:rPr>
                <w:b/>
              </w:rPr>
              <w:t>ii. Analyse risks</w:t>
            </w:r>
          </w:p>
        </w:tc>
        <w:tc>
          <w:tcPr>
            <w:tcW w:type="dxa" w:w="4320"/>
          </w:tcPr>
          <w:p>
            <w:r/>
            <w:r>
              <w:t xml:space="preserve">For each risk in the register, work out </w:t>
            </w:r>
            <w:r>
              <w:rPr>
                <w:b/>
              </w:rPr>
              <w:t>how likely</w:t>
            </w:r>
            <w:r>
              <w:t xml:space="preserve"> it is to occur and </w:t>
            </w:r>
            <w:r>
              <w:rPr>
                <w:b/>
              </w:rPr>
              <w:t>how severe</w:t>
            </w:r>
            <w:r>
              <w:t xml:space="preserve"> the consequences would be if it did. Use historical data, expert opinion and predictive or simulation techniques to rate likelihood on a scale from Rare (&lt;5%) through Unlikely, Possible and Likely to Almost Certain (&gt;90%), and rate the impact from Insignificant through Minor, Moderate and Major to Severe using clear descriptors (for example, impact measured as a percentage of budget). Also identify the existing controls that are already in place and how effective they are, because the analysis should reflect the residual risk that remains after those controls.</w:t>
            </w:r>
          </w:p>
        </w:tc>
      </w:tr>
      <w:tr>
        <w:tc>
          <w:tcPr>
            <w:tcW w:type="dxa" w:w="4320"/>
          </w:tcPr>
          <w:p>
            <w:r/>
            <w:r>
              <w:rPr>
                <w:b/>
              </w:rPr>
              <w:t>iii. Evaluate risks</w:t>
            </w:r>
          </w:p>
        </w:tc>
        <w:tc>
          <w:tcPr>
            <w:tcW w:type="dxa" w:w="4320"/>
          </w:tcPr>
          <w:p>
            <w:r/>
            <w:r>
              <w:t>Plot the likelihood rating against the impact rating on a risk matrix or risk heat map to arrive at a risk level or risk rating (for example, Risk Level = Impact × Likelihood, giving a score between 1 and 25, expressed as Minimum, Low, Moderate, High or Critical). Compare each rating with the organisation's predetermined risk acceptance threshold to decide which risks are acceptable and which must be treated, then rank the risks in priority order so that the most severe and most likely risks are dealt with first and resources are not wasted on negligible risks.</w:t>
            </w:r>
          </w:p>
        </w:tc>
      </w:tr>
      <w:tr>
        <w:tc>
          <w:tcPr>
            <w:tcW w:type="dxa" w:w="4320"/>
          </w:tcPr>
          <w:p>
            <w:r/>
            <w:r>
              <w:rPr>
                <w:b/>
              </w:rPr>
              <w:t>iv. Treat risks</w:t>
            </w:r>
          </w:p>
        </w:tc>
        <w:tc>
          <w:tcPr>
            <w:tcW w:type="dxa" w:w="4320"/>
          </w:tcPr>
          <w:p>
            <w:r/>
            <w:r>
              <w:t>For each risk requiring treatment, evaluate the available treatment options — avoid, reduce, transfer or accept — and decide which is the most suitable and affordable given the business's current circumstances. Document the decision in a risk treatment plan that records the risk, the treatment option and action chosen, the personnel responsible, the target date for implementation and the expected outcome. Then implement the treatment, applying the hierarchy of controls where the risk is a WHS hazard, and making any necessary adjustments to business structure, finances, resourcing and stakeholder communication to support it.</w:t>
            </w:r>
          </w:p>
        </w:tc>
      </w:tr>
      <w:tr>
        <w:tc>
          <w:tcPr>
            <w:tcW w:type="dxa" w:w="4320"/>
          </w:tcPr>
          <w:p>
            <w:r/>
            <w:r>
              <w:rPr>
                <w:b/>
              </w:rPr>
              <w:t>v. Monitoring and reviewing risks</w:t>
            </w:r>
          </w:p>
        </w:tc>
        <w:tc>
          <w:tcPr>
            <w:tcW w:type="dxa" w:w="4320"/>
          </w:tcPr>
          <w:p>
            <w:r/>
            <w:r>
              <w:t>Put a monitoring scheme in place that keeps the treated risk under observation, and check at scheduled intervals whether the treatment has actually controlled or eliminated the risk, whether the risk has changed or recurred, and whether new risks have emerged. Use audits, inspections, incident reports and consultation with staff as monitoring tools. If a control has not reduced the risk to an acceptable level, select and implement a different treatment. Update the risk register and risk treatment plan with the results, and review the whole process whenever legislation, business activities, technology or the operating environment change.</w:t>
            </w:r>
          </w:p>
        </w:tc>
      </w:tr>
    </w:tbl>
    <w:p/>
    <w:p>
      <w:pPr>
        <w:pStyle w:val="Heading3"/>
      </w:pPr>
      <w:r>
        <w:t>b. Briefly explain how each option for treating risk is applied in the workplace.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Risk Treatment Options</w:t>
            </w:r>
          </w:p>
        </w:tc>
        <w:tc>
          <w:tcPr>
            <w:tcW w:type="dxa" w:w="4320"/>
          </w:tcPr>
          <w:p>
            <w:r>
              <w:rPr>
                <w:b/>
              </w:rPr>
            </w:r>
            <w:r>
              <w:rPr>
                <w:b/>
              </w:rPr>
              <w:t>Explanation of How Each Option is Applied in the Workplace</w:t>
            </w:r>
          </w:p>
        </w:tc>
      </w:tr>
      <w:tr>
        <w:tc>
          <w:tcPr>
            <w:tcW w:type="dxa" w:w="4320"/>
          </w:tcPr>
          <w:p>
            <w:r/>
            <w:r>
              <w:rPr>
                <w:b/>
              </w:rPr>
              <w:t>i. Avoid risk</w:t>
            </w:r>
          </w:p>
        </w:tc>
        <w:tc>
          <w:tcPr>
            <w:tcW w:type="dxa" w:w="4320"/>
          </w:tcPr>
          <w:p>
            <w:r/>
            <w:r>
              <w:t>The business decides not to undertake, or to stop undertaking, the activity that creates the risk, because the risk is unnecessary or outweighs the benefit. In practice this means having enough information and business know-how to say "no" to an opportunity — for example, declining to launch a new product line, refusing to enter an unproven interstate market, choosing not to store hazardous chemicals on site, or withdrawing a piece of equipment or a service that cannot be operated safely. It eliminates the risk entirely, but it also gives up the potential benefit, so the decision must be based on the assessed probability and severity of the risk.</w:t>
            </w:r>
          </w:p>
        </w:tc>
      </w:tr>
      <w:tr>
        <w:tc>
          <w:tcPr>
            <w:tcW w:type="dxa" w:w="4320"/>
          </w:tcPr>
          <w:p>
            <w:r/>
            <w:r>
              <w:rPr>
                <w:b/>
              </w:rPr>
              <w:t>ii. Reduce risks</w:t>
            </w:r>
          </w:p>
        </w:tc>
        <w:tc>
          <w:tcPr>
            <w:tcW w:type="dxa" w:w="4320"/>
          </w:tcPr>
          <w:p>
            <w:r/>
            <w:r>
              <w:t>The business keeps the activity but puts control measures in place to lower the likelihood of the risk occurring, the severity of its consequences, or both. In a WHS context this is done by working through the hierarchy of controls — eliminate the hazard if possible, then substitute, isolate or use engineering controls, then administrative controls such as safe work procedures, signage, rostering and staff training, and personal protective equipment as the last line of defence. Other examples include preventative maintenance schedules, backing up data and running antivirus software, credit checks on new customers, quality assurance checks, and business continuity planning.</w:t>
            </w:r>
          </w:p>
        </w:tc>
      </w:tr>
      <w:tr>
        <w:tc>
          <w:tcPr>
            <w:tcW w:type="dxa" w:w="4320"/>
          </w:tcPr>
          <w:p>
            <w:r/>
            <w:r>
              <w:rPr>
                <w:b/>
              </w:rPr>
              <w:t>iii. Transfer risk</w:t>
            </w:r>
          </w:p>
        </w:tc>
        <w:tc>
          <w:tcPr>
            <w:tcW w:type="dxa" w:w="4320"/>
          </w:tcPr>
          <w:p>
            <w:r/>
            <w:r>
              <w:t xml:space="preserve">The business shifts some or all of the financial consequence of the risk to a third party, most commonly through </w:t>
            </w:r>
            <w:r>
              <w:rPr>
                <w:b/>
              </w:rPr>
              <w:t>insurance</w:t>
            </w:r>
            <w:r>
              <w:t xml:space="preserve"> or </w:t>
            </w:r>
            <w:r>
              <w:rPr>
                <w:b/>
              </w:rPr>
              <w:t>outsourcing/contracting</w:t>
            </w:r>
            <w:r>
              <w:t>. The business identifies the exposures it cannot afford to carry and takes out appropriate cover — public liability, professional indemnity, income protection, workers compensation, product liability, property and business interruption insurance — or contracts the risky work out to a specialist provider and uses contract terms such as indemnity and warranty clauses to allocate liability. The risk still exists; only the cost of it is shared with the insurer or contractor, so premiums, excesses and contract terms must be checked with a solicitor, insurance broker or accountant.</w:t>
            </w:r>
          </w:p>
        </w:tc>
      </w:tr>
      <w:tr>
        <w:tc>
          <w:tcPr>
            <w:tcW w:type="dxa" w:w="4320"/>
          </w:tcPr>
          <w:p>
            <w:r/>
            <w:r>
              <w:rPr>
                <w:b/>
              </w:rPr>
              <w:t>iv. Accept risk</w:t>
            </w:r>
          </w:p>
        </w:tc>
        <w:tc>
          <w:tcPr>
            <w:tcW w:type="dxa" w:w="4320"/>
          </w:tcPr>
          <w:p>
            <w:r/>
            <w:r>
              <w:t>The business makes a deliberate, documented decision to retain the risk and deal with the consequences as they arise, because the risk is small and infrequent and the cost of treating it would exceed the benefit. Acceptance is applied by recording the decision in the risk register, confirming that the business has the financial capacity to absorb the consequence (for example, by setting aside a contingency fund or accepting a higher insurance excess), assigning someone to keep monitoring the risk, and setting a review date so that the decision is revisited if the likelihood or impact changes.</w:t>
            </w:r>
          </w:p>
        </w:tc>
      </w:tr>
    </w:tbl>
    <w:p/>
    <w:p>
      <w:pPr>
        <w:pStyle w:val="Heading3"/>
      </w:pPr>
      <w:r>
        <w:t>c. Outline the six requirements that you must include in a risk treatment plan.</w:t>
      </w:r>
    </w:p>
    <w:p>
      <w:pPr>
        <w:jc w:val="left"/>
      </w:pPr>
      <w:r>
        <w:rPr>
          <w:b/>
        </w:rPr>
        <w:t>i.</w:t>
      </w:r>
      <w:r>
        <w:t xml:space="preserve"> The </w:t>
      </w:r>
      <w:r>
        <w:rPr>
          <w:b/>
        </w:rPr>
        <w:t>identified potential risk</w:t>
      </w:r>
      <w:r>
        <w:t xml:space="preserve"> within the business — a clear description of the risk and where in the business it arises.</w:t>
      </w:r>
    </w:p>
    <w:p>
      <w:pPr>
        <w:jc w:val="left"/>
      </w:pPr>
      <w:r>
        <w:rPr>
          <w:b/>
        </w:rPr>
        <w:t>ii.</w:t>
      </w:r>
      <w:r>
        <w:t xml:space="preserve"> The </w:t>
      </w:r>
      <w:r>
        <w:rPr>
          <w:b/>
        </w:rPr>
        <w:t>risk treatment option</w:t>
      </w:r>
      <w:r>
        <w:t xml:space="preserve"> applicable to that risk — avoidance, reduction, transfer or acceptance.</w:t>
      </w:r>
    </w:p>
    <w:p>
      <w:pPr>
        <w:jc w:val="left"/>
      </w:pPr>
      <w:r>
        <w:rPr>
          <w:b/>
        </w:rPr>
        <w:t>iii.</w:t>
      </w:r>
      <w:r>
        <w:t xml:space="preserve"> The </w:t>
      </w:r>
      <w:r>
        <w:rPr>
          <w:b/>
        </w:rPr>
        <w:t>risk treatment action</w:t>
      </w:r>
      <w:r>
        <w:t xml:space="preserve"> decided on — the specific, best-suited action to be implemented to control the risk.</w:t>
      </w:r>
    </w:p>
    <w:p>
      <w:pPr>
        <w:jc w:val="left"/>
      </w:pPr>
      <w:r>
        <w:rPr>
          <w:b/>
        </w:rPr>
        <w:t>iv.</w:t>
      </w:r>
      <w:r>
        <w:t xml:space="preserve"> The </w:t>
      </w:r>
      <w:r>
        <w:rPr>
          <w:b/>
        </w:rPr>
        <w:t>personnel responsible</w:t>
      </w:r>
      <w:r>
        <w:t xml:space="preserve"> for implementing the treatment and for dealing with the risk.</w:t>
      </w:r>
    </w:p>
    <w:p>
      <w:pPr>
        <w:jc w:val="left"/>
      </w:pPr>
      <w:r>
        <w:rPr>
          <w:b/>
        </w:rPr>
        <w:t>v.</w:t>
      </w:r>
      <w:r>
        <w:t xml:space="preserve"> The </w:t>
      </w:r>
      <w:r>
        <w:rPr>
          <w:b/>
        </w:rPr>
        <w:t>target date of implementation</w:t>
      </w:r>
      <w:r>
        <w:t xml:space="preserve"> — when the risk treatment is to be put in place.</w:t>
      </w:r>
    </w:p>
    <w:p>
      <w:pPr>
        <w:jc w:val="left"/>
      </w:pPr>
      <w:r>
        <w:rPr>
          <w:b/>
        </w:rPr>
        <w:t>vi.</w:t>
      </w:r>
      <w:r>
        <w:t xml:space="preserve"> The </w:t>
      </w:r>
      <w:r>
        <w:rPr>
          <w:b/>
        </w:rPr>
        <w:t>expected outcomes</w:t>
      </w:r>
      <w:r>
        <w:t xml:space="preserve"> from implementing the treatment — the result the business expects to achieve, which is used to measure the treatment's effectiveness during monitoring and review.</w:t>
      </w:r>
    </w:p>
    <w:p>
      <w:pPr>
        <w:pStyle w:val="Heading2"/>
      </w:pPr>
      <w:r>
        <w:t>Question 7</w:t>
      </w:r>
    </w:p>
    <w:p>
      <w:pPr>
        <w:pStyle w:val="Heading3"/>
      </w:pPr>
      <w:r>
        <w:t>Briefly describe each taxation principle outlined in the table below.</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Taxation Principle</w:t>
            </w:r>
          </w:p>
        </w:tc>
        <w:tc>
          <w:tcPr>
            <w:tcW w:type="dxa" w:w="4320"/>
          </w:tcPr>
          <w:p>
            <w:r>
              <w:rPr>
                <w:b/>
              </w:rPr>
            </w:r>
            <w:r>
              <w:rPr>
                <w:b/>
              </w:rPr>
              <w:t>Description</w:t>
            </w:r>
          </w:p>
        </w:tc>
      </w:tr>
      <w:tr>
        <w:tc>
          <w:tcPr>
            <w:tcW w:type="dxa" w:w="4320"/>
          </w:tcPr>
          <w:p>
            <w:r/>
            <w:r>
              <w:rPr>
                <w:b/>
              </w:rPr>
              <w:t>i. Canon of Equity</w:t>
            </w:r>
          </w:p>
        </w:tc>
        <w:tc>
          <w:tcPr>
            <w:tcW w:type="dxa" w:w="4320"/>
          </w:tcPr>
          <w:p>
            <w:r/>
            <w:r>
              <w:t xml:space="preserve">Tax should be paid according to the taxpayer's </w:t>
            </w:r>
            <w:r>
              <w:rPr>
                <w:b/>
              </w:rPr>
              <w:t>ability to pay</w:t>
            </w:r>
            <w:r>
              <w:t>. An organisation settles its taxes in proportion to the income or revenue it generates, so that those who earn more contribute more and the burden is shared fairly across businesses and individuals. In practice this is reflected in progressive tax scales and in taxing business profit rather than turnover.</w:t>
            </w:r>
          </w:p>
        </w:tc>
      </w:tr>
      <w:tr>
        <w:tc>
          <w:tcPr>
            <w:tcW w:type="dxa" w:w="4320"/>
          </w:tcPr>
          <w:p>
            <w:r/>
            <w:r>
              <w:rPr>
                <w:b/>
              </w:rPr>
              <w:t>ii. Canon of Certainty</w:t>
            </w:r>
          </w:p>
        </w:tc>
        <w:tc>
          <w:tcPr>
            <w:tcW w:type="dxa" w:w="4320"/>
          </w:tcPr>
          <w:p>
            <w:r/>
            <w:r>
              <w:t xml:space="preserve">The factors required to comply with taxation must be </w:t>
            </w:r>
            <w:r>
              <w:rPr>
                <w:b/>
              </w:rPr>
              <w:t>clear, precise and known in advance</w:t>
            </w:r>
            <w:r>
              <w:t xml:space="preserve"> to the people responsible for paying. The taxpayer should be certain of how much tax is payable, how it is calculated, when it must be paid and in what manner, so the business can budget for its liability and is not exposed to arbitrary demands.</w:t>
            </w:r>
          </w:p>
        </w:tc>
      </w:tr>
      <w:tr>
        <w:tc>
          <w:tcPr>
            <w:tcW w:type="dxa" w:w="4320"/>
          </w:tcPr>
          <w:p>
            <w:r/>
            <w:r>
              <w:rPr>
                <w:b/>
              </w:rPr>
              <w:t>iii. Canon of Convenience</w:t>
            </w:r>
          </w:p>
        </w:tc>
        <w:tc>
          <w:tcPr>
            <w:tcW w:type="dxa" w:w="4320"/>
          </w:tcPr>
          <w:p>
            <w:r/>
            <w:r>
              <w:t xml:space="preserve">The </w:t>
            </w:r>
            <w:r>
              <w:rPr>
                <w:b/>
              </w:rPr>
              <w:t>manner and timing of paying tax must be convenient</w:t>
            </w:r>
            <w:r>
              <w:t xml:space="preserve"> for the taxpayer. Tax should be collected at a time and in a form that suits the way the business earns its income — for example, PAYG instalments and withholding paid as income is earned, quarterly BAS cycles aligned to trading activity, and electronic lodgment and payment options through the ATO's online services.</w:t>
            </w:r>
          </w:p>
        </w:tc>
      </w:tr>
      <w:tr>
        <w:tc>
          <w:tcPr>
            <w:tcW w:type="dxa" w:w="4320"/>
          </w:tcPr>
          <w:p>
            <w:r/>
            <w:r>
              <w:rPr>
                <w:b/>
              </w:rPr>
              <w:t>iv. Canon of Economy</w:t>
            </w:r>
          </w:p>
        </w:tc>
        <w:tc>
          <w:tcPr>
            <w:tcW w:type="dxa" w:w="4320"/>
          </w:tcPr>
          <w:p>
            <w:r/>
            <w:r>
              <w:t xml:space="preserve">The cost of collecting and complying with tax should be </w:t>
            </w:r>
            <w:r>
              <w:rPr>
                <w:b/>
              </w:rPr>
              <w:t>as small as possible</w:t>
            </w:r>
            <w:r>
              <w:t xml:space="preserve"> relative to the revenue raised. Tax requirements should be clear and concise and not open to interpretation, so that neither the government nor the business wastes money on administration, disputes and unnecessary compliance work — the greater part of what is collected should reach the public revenue rather than being consumed by the cost of collection.</w:t>
            </w:r>
          </w:p>
        </w:tc>
      </w:tr>
    </w:tbl>
    <w:p/>
    <w:p>
      <w:pPr>
        <w:pStyle w:val="Heading2"/>
      </w:pPr>
      <w:r>
        <w:t>Question 8</w:t>
      </w:r>
    </w:p>
    <w:p>
      <w:pPr>
        <w:pStyle w:val="Heading3"/>
      </w:pPr>
      <w:r>
        <w:t>a. Identify two reasons why each of the following documents must be maintained by an organisation.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Documentation that must be maintained</w:t>
            </w:r>
          </w:p>
        </w:tc>
        <w:tc>
          <w:tcPr>
            <w:tcW w:type="dxa" w:w="4320"/>
          </w:tcPr>
          <w:p>
            <w:r>
              <w:rPr>
                <w:b/>
              </w:rPr>
            </w:r>
            <w:r>
              <w:rPr>
                <w:b/>
              </w:rPr>
              <w:t>Reason Why Documentation Must be Maintained</w:t>
            </w:r>
          </w:p>
        </w:tc>
      </w:tr>
      <w:tr>
        <w:tc>
          <w:tcPr>
            <w:tcW w:type="dxa" w:w="4320"/>
          </w:tcPr>
          <w:p>
            <w:r/>
            <w:r>
              <w:rPr>
                <w:b/>
              </w:rPr>
              <w:t>i. Planning documentation including business cases, project plans and related correspondence, including approvals</w:t>
            </w:r>
          </w:p>
        </w:tc>
        <w:tc>
          <w:tcPr>
            <w:tcW w:type="dxa" w:w="4320"/>
          </w:tcPr>
          <w:p>
            <w:r/>
            <w:r>
              <w:rPr>
                <w:b/>
              </w:rPr>
              <w:t>1.</w:t>
            </w:r>
            <w:r>
              <w:t xml:space="preserve"> It provides a permanent record of the project parameters, the digitisation or business approach adopted, and the authorisations and approvals given for the action taken — showing who approved what, on what basis and when, which is essential evidence of accountability and due diligence if the decision is later questioned or audited.</w:t>
            </w:r>
          </w:p>
          <w:p/>
          <w:p>
            <w:r>
              <w:rPr>
                <w:b/>
              </w:rPr>
              <w:t>2.</w:t>
            </w:r>
            <w:r>
              <w:t xml:space="preserve"> It provides the documented basis for later decisions about the selection, retention and disposal of records, so that staff working on the project in future can understand and justify why particular records were selected, digitised or destroyed.</w:t>
            </w:r>
          </w:p>
        </w:tc>
      </w:tr>
      <w:tr>
        <w:tc>
          <w:tcPr>
            <w:tcW w:type="dxa" w:w="4320"/>
          </w:tcPr>
          <w:p>
            <w:r/>
            <w:r>
              <w:rPr>
                <w:b/>
              </w:rPr>
              <w:t>ii. Benchmarks agreed upon (including technical specifications, metadata and quality assurance) and supporting assessments (including identification of risk, levels of risk and assessments against standards)</w:t>
            </w:r>
          </w:p>
        </w:tc>
        <w:tc>
          <w:tcPr>
            <w:tcW w:type="dxa" w:w="4320"/>
          </w:tcPr>
          <w:p>
            <w:r/>
            <w:r>
              <w:rPr>
                <w:b/>
              </w:rPr>
              <w:t>1.</w:t>
            </w:r>
            <w:r>
              <w:t xml:space="preserve"> It provides assurance that the agreed quality standards actually suit the nature of the records — that the benchmarks capture the essential characteristics of the records and are fit for purpose, and that any enhancement techniques applied do not substantially alter the record and compromise its authenticity or integrity.</w:t>
            </w:r>
          </w:p>
          <w:p/>
          <w:p>
            <w:r>
              <w:rPr>
                <w:b/>
              </w:rPr>
              <w:t>2.</w:t>
            </w:r>
            <w:r>
              <w:t xml:space="preserve"> It is the reference point for identifying and mitigating risk and for demonstrating compliance — the documented risk identification, risk levels and assessments against standards allow the organisation to show that quality assurance was carried out and that the resulting records are authentic, complete and accessible.</w:t>
            </w:r>
          </w:p>
        </w:tc>
      </w:tr>
      <w:tr>
        <w:tc>
          <w:tcPr>
            <w:tcW w:type="dxa" w:w="4320"/>
          </w:tcPr>
          <w:p>
            <w:r/>
            <w:r>
              <w:rPr>
                <w:b/>
              </w:rPr>
              <w:t>iii. Assessments carried out of any business or legal requirements to retain records in their original format</w:t>
            </w:r>
          </w:p>
        </w:tc>
        <w:tc>
          <w:tcPr>
            <w:tcW w:type="dxa" w:w="4320"/>
          </w:tcPr>
          <w:p>
            <w:r/>
            <w:r>
              <w:rPr>
                <w:b/>
              </w:rPr>
              <w:t>1.</w:t>
            </w:r>
            <w:r>
              <w:t xml:space="preserve"> It demonstrates that the conditions attached to destroying original records in the general retention and disposal authority have been met, and that no business, legal or evidentiary requirement to keep the record in its original format was overlooked — which is what makes any subsequent destruction lawful and defensible.</w:t>
            </w:r>
          </w:p>
          <w:p/>
          <w:p>
            <w:r>
              <w:rPr>
                <w:b/>
              </w:rPr>
              <w:t>2.</w:t>
            </w:r>
            <w:r>
              <w:t xml:space="preserve"> It records the organisation's assessment of the risks of not keeping records in their original form, so that any residual risk has been consciously identified, accepted at the appropriate level of authority and documented for future reference and audit.</w:t>
            </w:r>
          </w:p>
        </w:tc>
      </w:tr>
    </w:tbl>
    <w:p/>
    <w:p>
      <w:pPr>
        <w:pStyle w:val="Heading3"/>
      </w:pPr>
      <w:r>
        <w:t>b. Identify two requirements for each type of paper record-based action that must be done once documents are updated into digitised versions.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Actions on Original Paper Records</w:t>
            </w:r>
          </w:p>
        </w:tc>
        <w:tc>
          <w:tcPr>
            <w:tcW w:type="dxa" w:w="4320"/>
          </w:tcPr>
          <w:p>
            <w:r>
              <w:rPr>
                <w:b/>
              </w:rPr>
            </w:r>
            <w:r>
              <w:rPr>
                <w:b/>
              </w:rPr>
              <w:t>Requirements for Original Paper Records</w:t>
            </w:r>
          </w:p>
        </w:tc>
      </w:tr>
      <w:tr>
        <w:tc>
          <w:tcPr>
            <w:tcW w:type="dxa" w:w="4320"/>
          </w:tcPr>
          <w:p>
            <w:r/>
            <w:r>
              <w:rPr>
                <w:b/>
              </w:rPr>
              <w:t>i. To be destroyed</w:t>
            </w:r>
          </w:p>
        </w:tc>
        <w:tc>
          <w:tcPr>
            <w:tcW w:type="dxa" w:w="4320"/>
          </w:tcPr>
          <w:p>
            <w:r/>
            <w:r>
              <w:rPr>
                <w:b/>
              </w:rPr>
              <w:t>i.a</w:t>
            </w:r>
            <w:r>
              <w:t xml:space="preserve"> They must be </w:t>
            </w:r>
            <w:r>
              <w:rPr>
                <w:b/>
              </w:rPr>
              <w:t>covered by an authorised retention and disposal authority and have been internally approved for destruction</w:t>
            </w:r>
            <w:r>
              <w:t>, and authentic, complete and accessible digital copies must have been made and become the official record, kept for the authorised minimum retention period.</w:t>
            </w:r>
          </w:p>
          <w:p/>
          <w:p>
            <w:r>
              <w:rPr>
                <w:b/>
              </w:rPr>
              <w:t>i.b</w:t>
            </w:r>
            <w:r>
              <w:t xml:space="preserve"> They must be </w:t>
            </w:r>
            <w:r>
              <w:rPr>
                <w:b/>
              </w:rPr>
              <w:t>retained for a predetermined length of time for quality assurance checks before any destruction takes place</w:t>
            </w:r>
            <w:r>
              <w:t>, and then disposed of in accordance with the organisation's records management policy and procedures and State Records' requirements (including secure destruction and documenting the destruction).</w:t>
            </w:r>
          </w:p>
        </w:tc>
      </w:tr>
      <w:tr>
        <w:tc>
          <w:tcPr>
            <w:tcW w:type="dxa" w:w="4320"/>
          </w:tcPr>
          <w:p>
            <w:r/>
            <w:r>
              <w:rPr>
                <w:b/>
              </w:rPr>
              <w:t>ii. To be retained by your organisation and used as evidence of business</w:t>
            </w:r>
          </w:p>
        </w:tc>
        <w:tc>
          <w:tcPr>
            <w:tcW w:type="dxa" w:w="4320"/>
          </w:tcPr>
          <w:p>
            <w:r/>
            <w:r>
              <w:rPr>
                <w:b/>
              </w:rPr>
              <w:t>ii.a</w:t>
            </w:r>
            <w:r>
              <w:t xml:space="preserve"> If they were disassembled for digitisation, they must be </w:t>
            </w:r>
            <w:r>
              <w:rPr>
                <w:b/>
              </w:rPr>
              <w:t>reconstructed into their original order</w:t>
            </w:r>
            <w:r>
              <w:t xml:space="preserve"> according to organisational procedures, so that their integrity and context as evidence are preserved.</w:t>
            </w:r>
          </w:p>
          <w:p/>
          <w:p>
            <w:r>
              <w:rPr>
                <w:b/>
              </w:rPr>
              <w:t>ii.b</w:t>
            </w:r>
            <w:r>
              <w:t xml:space="preserve"> They must be </w:t>
            </w:r>
            <w:r>
              <w:rPr>
                <w:b/>
              </w:rPr>
              <w:t>placed back into suitable, secure storage and managed in accordance with the organisation's records management policy</w:t>
            </w:r>
            <w:r>
              <w:t xml:space="preserve"> — registered in the recordkeeping system, protected from damage, retrievable when needed, and kept for their full retention period.</w:t>
            </w:r>
          </w:p>
        </w:tc>
      </w:tr>
      <w:tr>
        <w:tc>
          <w:tcPr>
            <w:tcW w:type="dxa" w:w="4320"/>
          </w:tcPr>
          <w:p>
            <w:r/>
            <w:r>
              <w:rPr>
                <w:b/>
              </w:rPr>
              <w:t>iii. To be transferred to State Records as State archives</w:t>
            </w:r>
          </w:p>
        </w:tc>
        <w:tc>
          <w:tcPr>
            <w:tcW w:type="dxa" w:w="4320"/>
          </w:tcPr>
          <w:p>
            <w:r/>
            <w:r>
              <w:rPr>
                <w:b/>
              </w:rPr>
              <w:t>iii.a</w:t>
            </w:r>
            <w:r>
              <w:t xml:space="preserve"> They must be </w:t>
            </w:r>
            <w:r>
              <w:rPr>
                <w:b/>
              </w:rPr>
              <w:t>boxed, listed and transferred in accordance with the archives authority's procedures for transferring records as State archives</w:t>
            </w:r>
            <w:r>
              <w:t xml:space="preserve"> (in NSW, Museums of History NSW), remaining in good order and in their original arrangement until the transfer takes place.</w:t>
            </w:r>
          </w:p>
          <w:p/>
          <w:p>
            <w:r>
              <w:rPr>
                <w:b/>
              </w:rPr>
              <w:t>iii.b</w:t>
            </w:r>
            <w:r>
              <w:t xml:space="preserve"> The organisation's </w:t>
            </w:r>
            <w:r>
              <w:rPr>
                <w:b/>
              </w:rPr>
              <w:t>control records must be updated to record the transfer and the existence of the digital images</w:t>
            </w:r>
            <w:r>
              <w:t>, and the transfer should occur once the records are no longer required for current official business (with digital State archives transferred when the source records are 25 years old).</w:t>
            </w:r>
          </w:p>
        </w:tc>
      </w:tr>
    </w:tbl>
    <w:p/>
    <w:p>
      <w:pPr>
        <w:pStyle w:val="Heading2"/>
      </w:pPr>
      <w:r>
        <w:t>Question 9</w:t>
      </w:r>
    </w:p>
    <w:p>
      <w:pPr>
        <w:jc w:val="left"/>
      </w:pPr>
      <w:r>
        <w:rPr>
          <w:i/>
        </w:rPr>
        <w:t>Review the Competition and Consumer Act 2010.</w:t>
      </w:r>
    </w:p>
    <w:p>
      <w:pPr>
        <w:pStyle w:val="Heading3"/>
      </w:pPr>
      <w:r>
        <w:t>a. Briefly explain the function of the Competition and Consumer Act 2010.</w:t>
      </w:r>
    </w:p>
    <w:p>
      <w:pPr>
        <w:jc w:val="left"/>
      </w:pPr>
      <w:r>
        <w:t xml:space="preserve">The </w:t>
      </w:r>
      <w:r>
        <w:rPr>
          <w:i/>
        </w:rPr>
        <w:t>Competition and Consumer Act 2010</w:t>
      </w:r>
      <w:r>
        <w:t xml:space="preserve"> (Cth) is the principal national law regulating how businesses deal with their competitors, suppliers and customers. Its function is to </w:t>
      </w:r>
      <w:r>
        <w:rPr>
          <w:b/>
        </w:rPr>
        <w:t>protect consumers and promote fair trading and competition among businesses providing similar products and services</w:t>
      </w:r>
      <w:r>
        <w:t>. It does this by regulating the relationships between suppliers, wholesalers, retailers and consumers — prohibiting anti-competitive conduct such as price fixing, cartels and misuse of market power, and prohibiting unfair practices such as misleading or deceptive conduct, false representations and unconscionable conduct.</w:t>
      </w:r>
    </w:p>
    <w:p>
      <w:pPr>
        <w:jc w:val="left"/>
      </w:pPr>
      <w:r>
        <w:t xml:space="preserve">Schedule 2 of the Act contains the </w:t>
      </w:r>
      <w:r>
        <w:rPr>
          <w:b/>
        </w:rPr>
        <w:t>Australian Consumer Law</w:t>
      </w:r>
      <w:r>
        <w:t>, which sets out consumer guarantees, product safety rules, unfair contract term protections and remedies (repair, replacement or refund) that apply nationally. The Act is administered by the Australian Competition and Consumer Commission (ACCC), together with state and territory fair trading agencies such as NSW Fair Trading, which can investigate breaches and seek penalties, injunctions and compensation.</w:t>
      </w:r>
    </w:p>
    <w:p>
      <w:pPr>
        <w:pStyle w:val="Heading3"/>
      </w:pPr>
      <w:r>
        <w:t>b. Outline the five areas of consumer rights that the Competition and Consumer Act protects.</w:t>
      </w:r>
    </w:p>
    <w:p>
      <w:pPr>
        <w:jc w:val="left"/>
      </w:pPr>
      <w:r>
        <w:rPr>
          <w:b/>
        </w:rPr>
        <w:t>i.</w:t>
      </w:r>
      <w:r>
        <w:t xml:space="preserve"> </w:t>
      </w:r>
      <w:r>
        <w:rPr>
          <w:b/>
        </w:rPr>
        <w:t>Unfair contract terms</w:t>
      </w:r>
      <w:r>
        <w:t>, covering standard form consumer contracts.</w:t>
      </w:r>
    </w:p>
    <w:p>
      <w:pPr>
        <w:jc w:val="left"/>
      </w:pPr>
      <w:r>
        <w:rPr>
          <w:b/>
        </w:rPr>
        <w:t>ii.</w:t>
      </w:r>
      <w:r>
        <w:t xml:space="preserve"> </w:t>
      </w:r>
      <w:r>
        <w:rPr>
          <w:b/>
        </w:rPr>
        <w:t>Consumer rights when buying goods and services</w:t>
      </w:r>
      <w:r>
        <w:t xml:space="preserve"> (the consumer guarantees and the remedies that apply when they are not met).</w:t>
      </w:r>
    </w:p>
    <w:p>
      <w:pPr>
        <w:jc w:val="left"/>
      </w:pPr>
      <w:r>
        <w:rPr>
          <w:b/>
        </w:rPr>
        <w:t>iii.</w:t>
      </w:r>
      <w:r>
        <w:t xml:space="preserve"> </w:t>
      </w:r>
      <w:r>
        <w:rPr>
          <w:b/>
        </w:rPr>
        <w:t>Product safety</w:t>
      </w:r>
      <w:r>
        <w:t xml:space="preserve"> — including safety standards, bans and mandatory recall and reporting obligations.</w:t>
      </w:r>
    </w:p>
    <w:p>
      <w:pPr>
        <w:jc w:val="left"/>
      </w:pPr>
      <w:r>
        <w:rPr>
          <w:b/>
        </w:rPr>
        <w:t>iv.</w:t>
      </w:r>
      <w:r>
        <w:t xml:space="preserve"> </w:t>
      </w:r>
      <w:r>
        <w:rPr>
          <w:b/>
        </w:rPr>
        <w:t>Unsolicited consumer agreements</w:t>
      </w:r>
      <w:r>
        <w:t>, covering door-to-door sales and telephone sales.</w:t>
      </w:r>
    </w:p>
    <w:p>
      <w:pPr>
        <w:jc w:val="left"/>
      </w:pPr>
      <w:r>
        <w:rPr>
          <w:b/>
        </w:rPr>
        <w:t>v.</w:t>
      </w:r>
      <w:r>
        <w:t xml:space="preserve"> </w:t>
      </w:r>
      <w:r>
        <w:rPr>
          <w:b/>
        </w:rPr>
        <w:t>Lay-by agreements.</w:t>
      </w:r>
    </w:p>
    <w:p>
      <w:pPr>
        <w:pStyle w:val="Heading3"/>
      </w:pPr>
      <w:r>
        <w:t>c. Outline three guarantees of a consumer that apply to goods that are sold through trade or commerce.</w:t>
      </w:r>
    </w:p>
    <w:p>
      <w:pPr>
        <w:jc w:val="left"/>
      </w:pPr>
      <w:r>
        <w:rPr>
          <w:b/>
        </w:rPr>
        <w:t>i.</w:t>
      </w:r>
      <w:r>
        <w:t xml:space="preserve"> Suppliers and manufacturers guarantee that the </w:t>
      </w:r>
      <w:r>
        <w:rPr>
          <w:b/>
        </w:rPr>
        <w:t>goods are of acceptable quality</w:t>
      </w:r>
      <w:r>
        <w:t xml:space="preserve"> when sold to a consumer — that is, safe, durable, free from defects, acceptable in appearance and finish, and fit for all the purposes for which goods of that kind are commonly supplied.</w:t>
      </w:r>
    </w:p>
    <w:p>
      <w:pPr>
        <w:jc w:val="left"/>
      </w:pPr>
      <w:r>
        <w:rPr>
          <w:b/>
        </w:rPr>
        <w:t>ii.</w:t>
      </w:r>
      <w:r>
        <w:t xml:space="preserve"> Suppliers and manufacturers guarantee that their </w:t>
      </w:r>
      <w:r>
        <w:rPr>
          <w:b/>
        </w:rPr>
        <w:t>description of the goods is accurate</w:t>
      </w:r>
      <w:r>
        <w:t xml:space="preserve"> (for example, in a catalogue, on packaging or in a television commercial), and that the goods will </w:t>
      </w:r>
      <w:r>
        <w:rPr>
          <w:b/>
        </w:rPr>
        <w:t>satisfy any extra promises made about them</w:t>
      </w:r>
      <w:r>
        <w:t xml:space="preserve"> (express warranties).</w:t>
      </w:r>
    </w:p>
    <w:p>
      <w:pPr>
        <w:jc w:val="left"/>
      </w:pPr>
      <w:r>
        <w:rPr>
          <w:b/>
        </w:rPr>
        <w:t>iii.</w:t>
      </w:r>
      <w:r>
        <w:t xml:space="preserve"> A supplier guarantees that they have the </w:t>
      </w:r>
      <w:r>
        <w:rPr>
          <w:b/>
        </w:rPr>
        <w:t>right to sell the goods (clear title)</w:t>
      </w:r>
      <w:r>
        <w:t xml:space="preserve"> unless the consumer was alerted before the sale that they had limited title, that no one will try to repossess or take back the goods or prevent the consumer using them except in certain circumstances, and that the goods are </w:t>
      </w:r>
      <w:r>
        <w:rPr>
          <w:b/>
        </w:rPr>
        <w:t>free of any hidden securities or charges</w:t>
      </w:r>
      <w:r>
        <w:t xml:space="preserve"> and will remain so, except in certain circumstances.</w:t>
      </w:r>
    </w:p>
    <w:p>
      <w:pPr>
        <w:jc w:val="left"/>
      </w:pPr>
      <w:r>
        <w:rPr>
          <w:i/>
        </w:rPr>
        <w:t>(Other guarantees include that the goods will match any sample or demonstration model and any description provided, and that manufacturers or importers will take reasonable steps to provide spare parts and repair facilities for a reasonable time after purchase.)</w:t>
      </w:r>
    </w:p>
    <w:p>
      <w:pPr>
        <w:pStyle w:val="Heading2"/>
      </w:pPr>
      <w:r>
        <w:t>Sources used</w:t>
      </w:r>
    </w:p>
    <w:p>
      <w:pPr>
        <w:pStyle w:val="ListBullet"/>
      </w:pPr>
      <w:r>
        <w:t xml:space="preserve">BSBESB402 </w:t>
      </w:r>
      <w:r>
        <w:rPr>
          <w:i/>
        </w:rPr>
        <w:t>Establish legal and risk management requirements of new business ventures</w:t>
      </w:r>
      <w:r>
        <w:t xml:space="preserve"> Learner Guide V1 02.21 (Lexis Training)</w:t>
      </w:r>
    </w:p>
    <w:p>
      <w:pPr>
        <w:pStyle w:val="ListBullet"/>
      </w:pPr>
      <w:r>
        <w:rPr>
          <w:i/>
        </w:rPr>
        <w:t>Corporations Act 2001</w:t>
      </w:r>
      <w:r>
        <w:t xml:space="preserve"> (Cth), Part 1.5 (Small Business Guide), Divisions 1 and 8; ss 124, 249D, 249F, 249N, 249P, 516, 588G — legislation.gov.au; ASIC, "Shareholder rights and responsibilities"</w:t>
      </w:r>
    </w:p>
    <w:p>
      <w:pPr>
        <w:pStyle w:val="ListBullet"/>
      </w:pPr>
      <w:r>
        <w:rPr>
          <w:i/>
        </w:rPr>
        <w:t>Associations Incorporation Act 2009</w:t>
      </w:r>
      <w:r>
        <w:t xml:space="preserve"> (NSW); NSW Fair Trading, "About incorporated associations" and "Running an incorporated association"</w:t>
      </w:r>
    </w:p>
    <w:p>
      <w:pPr>
        <w:pStyle w:val="ListBullet"/>
      </w:pPr>
      <w:r>
        <w:rPr>
          <w:i/>
        </w:rPr>
        <w:t>Work Health and Safety Act 2011</w:t>
      </w:r>
      <w:r>
        <w:t xml:space="preserve"> (NSW) and </w:t>
      </w:r>
      <w:r>
        <w:rPr>
          <w:i/>
        </w:rPr>
        <w:t>Work Health and Safety Regulation 2025</w:t>
      </w:r>
      <w:r>
        <w:t xml:space="preserve"> (NSW) (which replaced the </w:t>
      </w:r>
      <w:r>
        <w:rPr>
          <w:i/>
        </w:rPr>
        <w:t>WHS Regulation 2017</w:t>
      </w:r>
      <w:r>
        <w:t xml:space="preserve"> (NSW) on 22 August 2025); SafeWork NSW; Safe Work Australia, "Confined spaces"</w:t>
      </w:r>
    </w:p>
    <w:p>
      <w:pPr>
        <w:pStyle w:val="ListBullet"/>
      </w:pPr>
      <w:r>
        <w:t>Australian Taxation Office — Business activity statements and GST reporting methods; Options for reporting and paying GST; When you can claim a GST credit; Calculating your FBT; Keeping records for fringe benefits tax; FBT rates and thresholds</w:t>
      </w:r>
    </w:p>
    <w:p>
      <w:pPr>
        <w:pStyle w:val="ListBullet"/>
      </w:pPr>
      <w:r>
        <w:rPr>
          <w:i/>
        </w:rPr>
        <w:t>Fitness Industry Award 2020</w:t>
      </w:r>
      <w:r>
        <w:t xml:space="preserve"> [MA000094], clauses 13, 15, 16, 19 and 27 — Fair Work Ombudsman / Fair Work Commission (rates current as at 1 July 2026)</w:t>
      </w:r>
    </w:p>
    <w:p>
      <w:pPr>
        <w:pStyle w:val="ListBullet"/>
      </w:pPr>
      <w:r>
        <w:t xml:space="preserve">State Records NSW — "Managing original paper records", "Assessing original records for destruction after digitisation", and GA51 </w:t>
      </w:r>
      <w:r>
        <w:rPr>
          <w:i/>
        </w:rPr>
        <w:t>Original or source records that have been copied</w:t>
      </w:r>
    </w:p>
    <w:p>
      <w:pPr>
        <w:pStyle w:val="ListBullet"/>
      </w:pPr>
      <w:r>
        <w:rPr>
          <w:i/>
        </w:rPr>
        <w:t>Competition and Consumer Act 2010</w:t>
      </w:r>
      <w:r>
        <w:t xml:space="preserve"> (Cth), including Schedule 2 (Australian Consumer Law) — legislation.gov.au; ACCC</w:t>
      </w:r>
    </w:p>
    <w:p>
      <w:pPr>
        <w:pStyle w:val="IntenseQuote"/>
      </w:pPr>
      <w:r>
        <w:rPr>
          <w:b/>
        </w:rPr>
        <w:t>Note on currency of figures:</w:t>
      </w:r>
      <w:r>
        <w:t xml:space="preserve"> award pay rates change on 1 July each year, and FBT/GST rates and thresholds are reviewed annually. The rates quoted are current as at the date of this submission (Fitness Industry Award rates operative from 1 July 2026; FBT rate 47%, type 1 gross-up 2.0802, type 2 gross-up 1.8868 for FBT years ending 31 March 2023 to 31 March 2027). Check the Fair Work Ombudsman and ATO websites for the rates applying at the time you submit.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