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1257E" w14:textId="3FC5BA54" w:rsidR="006B0096" w:rsidRPr="000463A1" w:rsidRDefault="001019D3">
      <w:pPr>
        <w:rPr>
          <w:rFonts w:ascii="Times New Roman" w:hAnsi="Times New Roman" w:cs="Times New Roman"/>
        </w:rPr>
      </w:pPr>
      <w:r w:rsidRPr="000463A1">
        <w:rPr>
          <w:rFonts w:ascii="Times New Roman" w:hAnsi="Times New Roman" w:cs="Times New Roman"/>
        </w:rPr>
        <w:t>Q3 Report</w:t>
      </w:r>
    </w:p>
    <w:p w14:paraId="4A6D2907" w14:textId="77777777" w:rsidR="00757EBF" w:rsidRPr="00757EBF" w:rsidRDefault="00757EBF" w:rsidP="00757EBF">
      <w:pPr>
        <w:rPr>
          <w:rFonts w:ascii="Times New Roman" w:hAnsi="Times New Roman" w:cs="Times New Roman"/>
          <w:b/>
          <w:bCs/>
        </w:rPr>
      </w:pPr>
      <w:r w:rsidRPr="00757EBF">
        <w:rPr>
          <w:rFonts w:ascii="Times New Roman" w:hAnsi="Times New Roman" w:cs="Times New Roman"/>
          <w:b/>
          <w:bCs/>
        </w:rPr>
        <w:t>Analysis of Cluster Merging and Mean Squared Error (MSE) Change in Hierarchical Clustering</w:t>
      </w:r>
    </w:p>
    <w:p w14:paraId="58CBCCE1" w14:textId="77777777" w:rsidR="00757EBF" w:rsidRPr="00757EBF" w:rsidRDefault="00757EBF" w:rsidP="00757EBF">
      <w:pPr>
        <w:rPr>
          <w:rFonts w:ascii="Times New Roman" w:hAnsi="Times New Roman" w:cs="Times New Roman"/>
          <w:b/>
          <w:bCs/>
        </w:rPr>
      </w:pPr>
      <w:r w:rsidRPr="00757EBF">
        <w:rPr>
          <w:rFonts w:ascii="Times New Roman" w:hAnsi="Times New Roman" w:cs="Times New Roman"/>
          <w:b/>
          <w:bCs/>
        </w:rPr>
        <w:t>1. Total MSE Before Merging</w:t>
      </w:r>
    </w:p>
    <w:p w14:paraId="1D7FBDB0" w14:textId="77777777" w:rsidR="00757EBF" w:rsidRPr="00757EBF" w:rsidRDefault="00757EBF" w:rsidP="00757EBF">
      <w:pPr>
        <w:rPr>
          <w:rFonts w:ascii="Times New Roman" w:hAnsi="Times New Roman" w:cs="Times New Roman"/>
        </w:rPr>
      </w:pPr>
      <w:r w:rsidRPr="00757EBF">
        <w:rPr>
          <w:rFonts w:ascii="Times New Roman" w:hAnsi="Times New Roman" w:cs="Times New Roman"/>
        </w:rPr>
        <w:t>The total mean squared error (MSE) in hierarchical clustering is a measure of how spread out the data points are within each cluster. Initially, when each point is considered its own cluster, the total MSE is zero. As clustering progresses, the total MSE changes depending on how clusters are merged.</w:t>
      </w:r>
    </w:p>
    <w:p w14:paraId="489CDCA2" w14:textId="77777777" w:rsidR="00757EBF" w:rsidRPr="00757EBF" w:rsidRDefault="00757EBF" w:rsidP="00757EBF">
      <w:pPr>
        <w:rPr>
          <w:rFonts w:ascii="Times New Roman" w:hAnsi="Times New Roman" w:cs="Times New Roman"/>
        </w:rPr>
      </w:pPr>
      <w:r w:rsidRPr="00757EBF">
        <w:rPr>
          <w:rFonts w:ascii="Times New Roman" w:hAnsi="Times New Roman" w:cs="Times New Roman"/>
        </w:rPr>
        <w:t>In our implementation, we track the total MSE at each step of the merging process using:</w:t>
      </w:r>
    </w:p>
    <w:p w14:paraId="44C90892" w14:textId="77777777" w:rsidR="00757EBF" w:rsidRPr="00757EBF" w:rsidRDefault="00757EBF" w:rsidP="00757EBF">
      <w:pPr>
        <w:numPr>
          <w:ilvl w:val="0"/>
          <w:numId w:val="2"/>
        </w:numPr>
        <w:rPr>
          <w:rFonts w:ascii="Times New Roman" w:hAnsi="Times New Roman" w:cs="Times New Roman"/>
        </w:rPr>
      </w:pPr>
      <w:r w:rsidRPr="00757EBF">
        <w:rPr>
          <w:rFonts w:ascii="Times New Roman" w:hAnsi="Times New Roman" w:cs="Times New Roman"/>
        </w:rPr>
        <w:t>The sum of the MSEs of all existing clusters before a merge.</w:t>
      </w:r>
    </w:p>
    <w:p w14:paraId="6F5A9B15" w14:textId="77777777" w:rsidR="00757EBF" w:rsidRPr="00757EBF" w:rsidRDefault="00757EBF" w:rsidP="00757EBF">
      <w:pPr>
        <w:numPr>
          <w:ilvl w:val="0"/>
          <w:numId w:val="2"/>
        </w:numPr>
        <w:rPr>
          <w:rFonts w:ascii="Times New Roman" w:hAnsi="Times New Roman" w:cs="Times New Roman"/>
        </w:rPr>
      </w:pPr>
      <w:r w:rsidRPr="00757EBF">
        <w:rPr>
          <w:rFonts w:ascii="Times New Roman" w:hAnsi="Times New Roman" w:cs="Times New Roman"/>
        </w:rPr>
        <w:t>The new MSE calculated after merging two clusters.</w:t>
      </w:r>
    </w:p>
    <w:p w14:paraId="01FC70DD" w14:textId="77777777" w:rsidR="00757EBF" w:rsidRPr="00F63999" w:rsidRDefault="00757EBF" w:rsidP="00757EBF">
      <w:pPr>
        <w:rPr>
          <w:rFonts w:ascii="Times New Roman" w:hAnsi="Times New Roman" w:cs="Times New Roman"/>
        </w:rPr>
      </w:pPr>
      <w:r w:rsidRPr="00757EBF">
        <w:rPr>
          <w:rFonts w:ascii="Times New Roman" w:hAnsi="Times New Roman" w:cs="Times New Roman"/>
        </w:rPr>
        <w:t>At each step, the MSE before merging is computed as:</w:t>
      </w:r>
    </w:p>
    <w:p w14:paraId="7ED6F8AD" w14:textId="4976F416" w:rsidR="00757EBF" w:rsidRPr="00F63999" w:rsidRDefault="00757EBF" w:rsidP="00757EBF">
      <w:pPr>
        <w:rPr>
          <w:rFonts w:ascii="Times New Roman" w:hAnsi="Times New Roman" w:cs="Times New Roman"/>
        </w:rPr>
      </w:pPr>
      <w:r w:rsidRPr="00F63999">
        <w:rPr>
          <w:rFonts w:ascii="Times New Roman" w:hAnsi="Times New Roman" w:cs="Times New Roman"/>
        </w:rPr>
        <w:drawing>
          <wp:inline distT="0" distB="0" distL="0" distR="0" wp14:anchorId="737ED1B2" wp14:editId="633F9478">
            <wp:extent cx="2578233" cy="476274"/>
            <wp:effectExtent l="0" t="0" r="0" b="0"/>
            <wp:docPr id="1475209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209173" name=""/>
                    <pic:cNvPicPr/>
                  </pic:nvPicPr>
                  <pic:blipFill>
                    <a:blip r:embed="rId5"/>
                    <a:stretch>
                      <a:fillRect/>
                    </a:stretch>
                  </pic:blipFill>
                  <pic:spPr>
                    <a:xfrm>
                      <a:off x="0" y="0"/>
                      <a:ext cx="2578233" cy="476274"/>
                    </a:xfrm>
                    <a:prstGeom prst="rect">
                      <a:avLst/>
                    </a:prstGeom>
                  </pic:spPr>
                </pic:pic>
              </a:graphicData>
            </a:graphic>
          </wp:inline>
        </w:drawing>
      </w:r>
    </w:p>
    <w:p w14:paraId="563459EC" w14:textId="7DB684BF" w:rsidR="00757EBF" w:rsidRDefault="00F63999" w:rsidP="00757EBF">
      <w:pPr>
        <w:rPr>
          <w:rFonts w:ascii="Times New Roman" w:hAnsi="Times New Roman" w:cs="Times New Roman"/>
        </w:rPr>
      </w:pPr>
      <w:r w:rsidRPr="00F63999">
        <w:rPr>
          <w:rFonts w:ascii="Times New Roman" w:hAnsi="Times New Roman" w:cs="Times New Roman"/>
        </w:rPr>
        <w:lastRenderedPageBreak/>
        <w:drawing>
          <wp:inline distT="0" distB="0" distL="0" distR="0" wp14:anchorId="5E0F84D4" wp14:editId="14679328">
            <wp:extent cx="4597636" cy="5543835"/>
            <wp:effectExtent l="0" t="0" r="0" b="0"/>
            <wp:docPr id="1920282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282699" name=""/>
                    <pic:cNvPicPr/>
                  </pic:nvPicPr>
                  <pic:blipFill>
                    <a:blip r:embed="rId6"/>
                    <a:stretch>
                      <a:fillRect/>
                    </a:stretch>
                  </pic:blipFill>
                  <pic:spPr>
                    <a:xfrm>
                      <a:off x="0" y="0"/>
                      <a:ext cx="4597636" cy="5543835"/>
                    </a:xfrm>
                    <a:prstGeom prst="rect">
                      <a:avLst/>
                    </a:prstGeom>
                  </pic:spPr>
                </pic:pic>
              </a:graphicData>
            </a:graphic>
          </wp:inline>
        </w:drawing>
      </w:r>
    </w:p>
    <w:p w14:paraId="64113162" w14:textId="77777777" w:rsidR="00F63999" w:rsidRPr="00757EBF" w:rsidRDefault="00F63999" w:rsidP="00757EBF">
      <w:pPr>
        <w:rPr>
          <w:rFonts w:ascii="Times New Roman" w:hAnsi="Times New Roman" w:cs="Times New Roman" w:hint="eastAsia"/>
        </w:rPr>
      </w:pPr>
    </w:p>
    <w:p w14:paraId="10B13BCD" w14:textId="77777777" w:rsidR="00757EBF" w:rsidRPr="00757EBF" w:rsidRDefault="00757EBF" w:rsidP="00757EBF">
      <w:pPr>
        <w:rPr>
          <w:rFonts w:ascii="Times New Roman" w:hAnsi="Times New Roman" w:cs="Times New Roman"/>
          <w:b/>
          <w:bCs/>
        </w:rPr>
      </w:pPr>
      <w:r w:rsidRPr="00757EBF">
        <w:rPr>
          <w:rFonts w:ascii="Times New Roman" w:hAnsi="Times New Roman" w:cs="Times New Roman"/>
          <w:b/>
          <w:bCs/>
        </w:rPr>
        <w:t>2. MSE of the New Cluster After Merging</w:t>
      </w:r>
    </w:p>
    <w:p w14:paraId="7A4FE5BC" w14:textId="77777777" w:rsidR="00757EBF" w:rsidRPr="00757EBF" w:rsidRDefault="00757EBF" w:rsidP="00757EBF">
      <w:pPr>
        <w:rPr>
          <w:rFonts w:ascii="Times New Roman" w:hAnsi="Times New Roman" w:cs="Times New Roman"/>
        </w:rPr>
      </w:pPr>
      <w:r w:rsidRPr="00757EBF">
        <w:rPr>
          <w:rFonts w:ascii="Times New Roman" w:hAnsi="Times New Roman" w:cs="Times New Roman"/>
        </w:rPr>
        <w:t>After merging two clusters C1C_1 and C2C_2, the new cluster's MSE is determined using:</w:t>
      </w:r>
    </w:p>
    <w:p w14:paraId="3CA986A0" w14:textId="77777777" w:rsidR="00F63999" w:rsidRDefault="00F63999" w:rsidP="00757EBF">
      <w:pPr>
        <w:rPr>
          <w:rFonts w:ascii="Times New Roman" w:hAnsi="Times New Roman" w:cs="Times New Roman"/>
        </w:rPr>
      </w:pPr>
      <w:r w:rsidRPr="00F63999">
        <w:rPr>
          <w:rFonts w:ascii="Times New Roman" w:hAnsi="Times New Roman" w:cs="Times New Roman"/>
        </w:rPr>
        <w:drawing>
          <wp:inline distT="0" distB="0" distL="0" distR="0" wp14:anchorId="5A3C11F7" wp14:editId="4D8A1F8D">
            <wp:extent cx="3905451" cy="990651"/>
            <wp:effectExtent l="0" t="0" r="0" b="0"/>
            <wp:docPr id="1995145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145071" name=""/>
                    <pic:cNvPicPr/>
                  </pic:nvPicPr>
                  <pic:blipFill>
                    <a:blip r:embed="rId7"/>
                    <a:stretch>
                      <a:fillRect/>
                    </a:stretch>
                  </pic:blipFill>
                  <pic:spPr>
                    <a:xfrm>
                      <a:off x="0" y="0"/>
                      <a:ext cx="3905451" cy="990651"/>
                    </a:xfrm>
                    <a:prstGeom prst="rect">
                      <a:avLst/>
                    </a:prstGeom>
                  </pic:spPr>
                </pic:pic>
              </a:graphicData>
            </a:graphic>
          </wp:inline>
        </w:drawing>
      </w:r>
    </w:p>
    <w:p w14:paraId="75156D12" w14:textId="7BE01A57" w:rsidR="00757EBF" w:rsidRPr="00757EBF" w:rsidRDefault="00757EBF" w:rsidP="00757EBF">
      <w:pPr>
        <w:rPr>
          <w:rFonts w:ascii="Times New Roman" w:hAnsi="Times New Roman" w:cs="Times New Roman"/>
        </w:rPr>
      </w:pPr>
      <w:r w:rsidRPr="00757EBF">
        <w:rPr>
          <w:rFonts w:ascii="Times New Roman" w:hAnsi="Times New Roman" w:cs="Times New Roman"/>
        </w:rPr>
        <w:t>where μ</w:t>
      </w:r>
      <w:r w:rsidR="00F63999">
        <w:rPr>
          <w:rFonts w:ascii="Times New Roman" w:hAnsi="Times New Roman" w:cs="Times New Roman" w:hint="eastAsia"/>
        </w:rPr>
        <w:t>(</w:t>
      </w:r>
      <w:r w:rsidRPr="00757EBF">
        <w:rPr>
          <w:rFonts w:ascii="Times New Roman" w:hAnsi="Times New Roman" w:cs="Times New Roman"/>
        </w:rPr>
        <w:t>new</w:t>
      </w:r>
      <w:r w:rsidR="00F63999">
        <w:rPr>
          <w:rFonts w:ascii="Times New Roman" w:hAnsi="Times New Roman" w:cs="Times New Roman" w:hint="eastAsia"/>
        </w:rPr>
        <w:t>)</w:t>
      </w:r>
      <w:r w:rsidRPr="00757EBF">
        <w:rPr>
          <w:rFonts w:ascii="Times New Roman" w:hAnsi="Times New Roman" w:cs="Times New Roman"/>
        </w:rPr>
        <w:t xml:space="preserve"> is the centroid of the newly merged cluster.</w:t>
      </w:r>
    </w:p>
    <w:p w14:paraId="52063749" w14:textId="77777777" w:rsidR="00757EBF" w:rsidRPr="00757EBF" w:rsidRDefault="00757EBF" w:rsidP="00757EBF">
      <w:pPr>
        <w:rPr>
          <w:rFonts w:ascii="Times New Roman" w:hAnsi="Times New Roman" w:cs="Times New Roman"/>
        </w:rPr>
      </w:pPr>
      <w:r w:rsidRPr="00757EBF">
        <w:rPr>
          <w:rFonts w:ascii="Times New Roman" w:hAnsi="Times New Roman" w:cs="Times New Roman"/>
        </w:rPr>
        <w:t>We calculate this value in the code by merging the points from both clusters and computing their new centroid and MSE.</w:t>
      </w:r>
    </w:p>
    <w:p w14:paraId="5383CD26" w14:textId="77777777" w:rsidR="00757EBF" w:rsidRPr="00757EBF" w:rsidRDefault="00757EBF" w:rsidP="00757EBF">
      <w:pPr>
        <w:rPr>
          <w:rFonts w:ascii="Times New Roman" w:hAnsi="Times New Roman" w:cs="Times New Roman"/>
          <w:b/>
          <w:bCs/>
        </w:rPr>
      </w:pPr>
      <w:r w:rsidRPr="00757EBF">
        <w:rPr>
          <w:rFonts w:ascii="Times New Roman" w:hAnsi="Times New Roman" w:cs="Times New Roman"/>
          <w:b/>
          <w:bCs/>
        </w:rPr>
        <w:lastRenderedPageBreak/>
        <w:t>3. Relationship Between MSE Change and Distance Between Centers</w:t>
      </w:r>
    </w:p>
    <w:p w14:paraId="02621EA6" w14:textId="77777777" w:rsidR="00757EBF" w:rsidRPr="00757EBF" w:rsidRDefault="00757EBF" w:rsidP="00757EBF">
      <w:pPr>
        <w:rPr>
          <w:rFonts w:ascii="Times New Roman" w:hAnsi="Times New Roman" w:cs="Times New Roman"/>
        </w:rPr>
      </w:pPr>
      <w:r w:rsidRPr="00757EBF">
        <w:rPr>
          <w:rFonts w:ascii="Times New Roman" w:hAnsi="Times New Roman" w:cs="Times New Roman"/>
        </w:rPr>
        <w:t>The change in total MSE after a merge is given by:</w:t>
      </w:r>
    </w:p>
    <w:p w14:paraId="093E72BE" w14:textId="73A74522" w:rsidR="00757EBF" w:rsidRPr="00757EBF" w:rsidRDefault="003003D0" w:rsidP="00757EBF">
      <w:pPr>
        <w:rPr>
          <w:rFonts w:ascii="Times New Roman" w:hAnsi="Times New Roman" w:cs="Times New Roman"/>
        </w:rPr>
      </w:pPr>
      <w:r w:rsidRPr="003003D0">
        <w:rPr>
          <w:rFonts w:ascii="Times New Roman" w:hAnsi="Times New Roman" w:cs="Times New Roman"/>
        </w:rPr>
        <w:drawing>
          <wp:inline distT="0" distB="0" distL="0" distR="0" wp14:anchorId="73141B64" wp14:editId="1F230ED5">
            <wp:extent cx="5274310" cy="458470"/>
            <wp:effectExtent l="0" t="0" r="2540" b="0"/>
            <wp:docPr id="1633615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615623" name=""/>
                    <pic:cNvPicPr/>
                  </pic:nvPicPr>
                  <pic:blipFill>
                    <a:blip r:embed="rId8"/>
                    <a:stretch>
                      <a:fillRect/>
                    </a:stretch>
                  </pic:blipFill>
                  <pic:spPr>
                    <a:xfrm>
                      <a:off x="0" y="0"/>
                      <a:ext cx="5274310" cy="458470"/>
                    </a:xfrm>
                    <a:prstGeom prst="rect">
                      <a:avLst/>
                    </a:prstGeom>
                  </pic:spPr>
                </pic:pic>
              </a:graphicData>
            </a:graphic>
          </wp:inline>
        </w:drawing>
      </w:r>
    </w:p>
    <w:p w14:paraId="3BC48B7D" w14:textId="77777777" w:rsidR="00757EBF" w:rsidRPr="00757EBF" w:rsidRDefault="00757EBF" w:rsidP="00757EBF">
      <w:pPr>
        <w:rPr>
          <w:rFonts w:ascii="Times New Roman" w:hAnsi="Times New Roman" w:cs="Times New Roman"/>
        </w:rPr>
      </w:pPr>
      <w:r w:rsidRPr="00757EBF">
        <w:rPr>
          <w:rFonts w:ascii="Times New Roman" w:hAnsi="Times New Roman" w:cs="Times New Roman"/>
        </w:rPr>
        <w:t>A key observation is that the change in MSE is related to the distance between the centroids of the merging clusters. As the centroid distance increases, the new cluster's variance increases, leading to a higher MSE.</w:t>
      </w:r>
    </w:p>
    <w:p w14:paraId="7E28082C" w14:textId="77777777" w:rsidR="00757EBF" w:rsidRDefault="00757EBF" w:rsidP="00757EBF">
      <w:pPr>
        <w:rPr>
          <w:rFonts w:ascii="Times New Roman" w:hAnsi="Times New Roman" w:cs="Times New Roman"/>
        </w:rPr>
      </w:pPr>
      <w:r w:rsidRPr="00757EBF">
        <w:rPr>
          <w:rFonts w:ascii="Times New Roman" w:hAnsi="Times New Roman" w:cs="Times New Roman"/>
        </w:rPr>
        <w:t>In our visualization, we plot ΔMSE\Delta MSE against the merge distance (from the linkage matrix) and observe a positive correlation. This indicates that merging distant clusters leads to a larger increase in MSE.</w:t>
      </w:r>
    </w:p>
    <w:p w14:paraId="63002135" w14:textId="3E9E60A2" w:rsidR="003003D0" w:rsidRDefault="003003D0" w:rsidP="00757EBF">
      <w:pPr>
        <w:rPr>
          <w:rFonts w:ascii="Times New Roman" w:hAnsi="Times New Roman" w:cs="Times New Roman" w:hint="eastAsia"/>
        </w:rPr>
      </w:pPr>
      <w:r w:rsidRPr="003003D0">
        <w:rPr>
          <w:rFonts w:ascii="Times New Roman" w:hAnsi="Times New Roman" w:cs="Times New Roman" w:hint="eastAsia"/>
        </w:rPr>
        <w:drawing>
          <wp:inline distT="0" distB="0" distL="0" distR="0" wp14:anchorId="047E2B4D" wp14:editId="49186E2D">
            <wp:extent cx="5274310" cy="2646680"/>
            <wp:effectExtent l="0" t="0" r="2540" b="1270"/>
            <wp:docPr id="1547838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646680"/>
                    </a:xfrm>
                    <a:prstGeom prst="rect">
                      <a:avLst/>
                    </a:prstGeom>
                    <a:noFill/>
                    <a:ln>
                      <a:noFill/>
                    </a:ln>
                  </pic:spPr>
                </pic:pic>
              </a:graphicData>
            </a:graphic>
          </wp:inline>
        </w:drawing>
      </w:r>
    </w:p>
    <w:p w14:paraId="7C8CF77D" w14:textId="21225F3C" w:rsidR="003003D0" w:rsidRPr="00757EBF" w:rsidRDefault="003003D0" w:rsidP="00757EBF">
      <w:pPr>
        <w:rPr>
          <w:rFonts w:ascii="Times New Roman" w:hAnsi="Times New Roman" w:cs="Times New Roman" w:hint="eastAsia"/>
        </w:rPr>
      </w:pPr>
      <w:r w:rsidRPr="003003D0">
        <w:rPr>
          <w:rFonts w:ascii="Times New Roman" w:hAnsi="Times New Roman" w:cs="Times New Roman"/>
        </w:rPr>
        <w:lastRenderedPageBreak/>
        <w:drawing>
          <wp:inline distT="0" distB="0" distL="0" distR="0" wp14:anchorId="3EAC492E" wp14:editId="0E32ACB6">
            <wp:extent cx="5274310" cy="4948555"/>
            <wp:effectExtent l="0" t="0" r="2540" b="4445"/>
            <wp:docPr id="907153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5354" name=""/>
                    <pic:cNvPicPr/>
                  </pic:nvPicPr>
                  <pic:blipFill>
                    <a:blip r:embed="rId10"/>
                    <a:stretch>
                      <a:fillRect/>
                    </a:stretch>
                  </pic:blipFill>
                  <pic:spPr>
                    <a:xfrm>
                      <a:off x="0" y="0"/>
                      <a:ext cx="5274310" cy="4948555"/>
                    </a:xfrm>
                    <a:prstGeom prst="rect">
                      <a:avLst/>
                    </a:prstGeom>
                  </pic:spPr>
                </pic:pic>
              </a:graphicData>
            </a:graphic>
          </wp:inline>
        </w:drawing>
      </w:r>
    </w:p>
    <w:p w14:paraId="60CE85BB" w14:textId="77777777" w:rsidR="00757EBF" w:rsidRPr="00757EBF" w:rsidRDefault="00757EBF" w:rsidP="00757EBF">
      <w:pPr>
        <w:rPr>
          <w:rFonts w:ascii="Times New Roman" w:hAnsi="Times New Roman" w:cs="Times New Roman"/>
          <w:b/>
          <w:bCs/>
        </w:rPr>
      </w:pPr>
      <w:r w:rsidRPr="00757EBF">
        <w:rPr>
          <w:rFonts w:ascii="Times New Roman" w:hAnsi="Times New Roman" w:cs="Times New Roman"/>
          <w:b/>
          <w:bCs/>
        </w:rPr>
        <w:t>4. Physical Meaning Explanation</w:t>
      </w:r>
    </w:p>
    <w:p w14:paraId="6DED399D" w14:textId="77777777" w:rsidR="00757EBF" w:rsidRPr="00757EBF" w:rsidRDefault="00757EBF" w:rsidP="00757EBF">
      <w:pPr>
        <w:rPr>
          <w:rFonts w:ascii="Times New Roman" w:hAnsi="Times New Roman" w:cs="Times New Roman"/>
        </w:rPr>
      </w:pPr>
      <w:r w:rsidRPr="00757EBF">
        <w:rPr>
          <w:rFonts w:ascii="Times New Roman" w:hAnsi="Times New Roman" w:cs="Times New Roman"/>
        </w:rPr>
        <w:t>The physical interpretation of these observations is as follows:</w:t>
      </w:r>
    </w:p>
    <w:p w14:paraId="40C81E57" w14:textId="77777777" w:rsidR="00757EBF" w:rsidRPr="00757EBF" w:rsidRDefault="00757EBF" w:rsidP="00757EBF">
      <w:pPr>
        <w:numPr>
          <w:ilvl w:val="0"/>
          <w:numId w:val="3"/>
        </w:numPr>
        <w:rPr>
          <w:rFonts w:ascii="Times New Roman" w:hAnsi="Times New Roman" w:cs="Times New Roman"/>
        </w:rPr>
      </w:pPr>
      <w:r w:rsidRPr="00757EBF">
        <w:rPr>
          <w:rFonts w:ascii="Times New Roman" w:hAnsi="Times New Roman" w:cs="Times New Roman"/>
          <w:b/>
          <w:bCs/>
        </w:rPr>
        <w:t>Merging clusters that are too far apart</w:t>
      </w:r>
      <w:r w:rsidRPr="00757EBF">
        <w:rPr>
          <w:rFonts w:ascii="Times New Roman" w:hAnsi="Times New Roman" w:cs="Times New Roman"/>
        </w:rPr>
        <w:t xml:space="preserve"> introduces significant new variance, increasing the overall MSE.</w:t>
      </w:r>
    </w:p>
    <w:p w14:paraId="5840D56F" w14:textId="77777777" w:rsidR="00757EBF" w:rsidRPr="00757EBF" w:rsidRDefault="00757EBF" w:rsidP="00757EBF">
      <w:pPr>
        <w:numPr>
          <w:ilvl w:val="0"/>
          <w:numId w:val="3"/>
        </w:numPr>
        <w:rPr>
          <w:rFonts w:ascii="Times New Roman" w:hAnsi="Times New Roman" w:cs="Times New Roman"/>
        </w:rPr>
      </w:pPr>
      <w:r w:rsidRPr="00757EBF">
        <w:rPr>
          <w:rFonts w:ascii="Times New Roman" w:hAnsi="Times New Roman" w:cs="Times New Roman"/>
          <w:b/>
          <w:bCs/>
        </w:rPr>
        <w:t>Merging clusters that are close together</w:t>
      </w:r>
      <w:r w:rsidRPr="00757EBF">
        <w:rPr>
          <w:rFonts w:ascii="Times New Roman" w:hAnsi="Times New Roman" w:cs="Times New Roman"/>
        </w:rPr>
        <w:t xml:space="preserve"> results in a smaller increase (or even a decrease) in MSE, as the data points are already relatively compact.</w:t>
      </w:r>
    </w:p>
    <w:p w14:paraId="4A48D765" w14:textId="77777777" w:rsidR="00757EBF" w:rsidRPr="00757EBF" w:rsidRDefault="00757EBF" w:rsidP="00757EBF">
      <w:pPr>
        <w:numPr>
          <w:ilvl w:val="0"/>
          <w:numId w:val="3"/>
        </w:numPr>
        <w:rPr>
          <w:rFonts w:ascii="Times New Roman" w:hAnsi="Times New Roman" w:cs="Times New Roman"/>
        </w:rPr>
      </w:pPr>
      <w:r w:rsidRPr="00757EBF">
        <w:rPr>
          <w:rFonts w:ascii="Times New Roman" w:hAnsi="Times New Roman" w:cs="Times New Roman"/>
          <w:b/>
          <w:bCs/>
        </w:rPr>
        <w:t>The impact of cluster sizes</w:t>
      </w:r>
      <w:r w:rsidRPr="00757EBF">
        <w:rPr>
          <w:rFonts w:ascii="Times New Roman" w:hAnsi="Times New Roman" w:cs="Times New Roman"/>
        </w:rPr>
        <w:t xml:space="preserve"> is also significant: merging a small and large cluster tends to increase MSE more than merging two similarly sized clusters.</w:t>
      </w:r>
    </w:p>
    <w:p w14:paraId="677C0FE3" w14:textId="77777777" w:rsidR="00757EBF" w:rsidRPr="00757EBF" w:rsidRDefault="00757EBF" w:rsidP="00757EBF">
      <w:pPr>
        <w:rPr>
          <w:rFonts w:ascii="Times New Roman" w:hAnsi="Times New Roman" w:cs="Times New Roman"/>
          <w:b/>
          <w:bCs/>
        </w:rPr>
      </w:pPr>
      <w:r w:rsidRPr="00757EBF">
        <w:rPr>
          <w:rFonts w:ascii="Times New Roman" w:hAnsi="Times New Roman" w:cs="Times New Roman"/>
          <w:b/>
          <w:bCs/>
        </w:rPr>
        <w:t>Key Takeaways</w:t>
      </w:r>
    </w:p>
    <w:p w14:paraId="1D7A5B46" w14:textId="77777777" w:rsidR="00757EBF" w:rsidRPr="00757EBF" w:rsidRDefault="00757EBF" w:rsidP="00757EBF">
      <w:pPr>
        <w:numPr>
          <w:ilvl w:val="0"/>
          <w:numId w:val="4"/>
        </w:numPr>
        <w:rPr>
          <w:rFonts w:ascii="Times New Roman" w:hAnsi="Times New Roman" w:cs="Times New Roman"/>
        </w:rPr>
      </w:pPr>
      <w:r w:rsidRPr="00757EBF">
        <w:rPr>
          <w:rFonts w:ascii="Times New Roman" w:hAnsi="Times New Roman" w:cs="Times New Roman"/>
          <w:b/>
          <w:bCs/>
        </w:rPr>
        <w:t>Merging distant clusters is suboptimal</w:t>
      </w:r>
      <w:r w:rsidRPr="00757EBF">
        <w:rPr>
          <w:rFonts w:ascii="Times New Roman" w:hAnsi="Times New Roman" w:cs="Times New Roman"/>
        </w:rPr>
        <w:t xml:space="preserve"> if the goal is to minimize MSE, as it introduces high variance.</w:t>
      </w:r>
    </w:p>
    <w:p w14:paraId="7A0C3DCE" w14:textId="77777777" w:rsidR="00757EBF" w:rsidRPr="00757EBF" w:rsidRDefault="00757EBF" w:rsidP="00757EBF">
      <w:pPr>
        <w:numPr>
          <w:ilvl w:val="0"/>
          <w:numId w:val="4"/>
        </w:numPr>
        <w:rPr>
          <w:rFonts w:ascii="Times New Roman" w:hAnsi="Times New Roman" w:cs="Times New Roman"/>
        </w:rPr>
      </w:pPr>
      <w:r w:rsidRPr="00757EBF">
        <w:rPr>
          <w:rFonts w:ascii="Times New Roman" w:hAnsi="Times New Roman" w:cs="Times New Roman"/>
          <w:b/>
          <w:bCs/>
        </w:rPr>
        <w:t>The Ward method</w:t>
      </w:r>
      <w:r w:rsidRPr="00757EBF">
        <w:rPr>
          <w:rFonts w:ascii="Times New Roman" w:hAnsi="Times New Roman" w:cs="Times New Roman"/>
        </w:rPr>
        <w:t xml:space="preserve"> (used in our implementation) seeks to minimize the increase in </w:t>
      </w:r>
      <w:r w:rsidRPr="00757EBF">
        <w:rPr>
          <w:rFonts w:ascii="Times New Roman" w:hAnsi="Times New Roman" w:cs="Times New Roman"/>
        </w:rPr>
        <w:lastRenderedPageBreak/>
        <w:t>total variance at each step, making it a preferred choice for hierarchical clustering.</w:t>
      </w:r>
    </w:p>
    <w:p w14:paraId="42ABFC93" w14:textId="77777777" w:rsidR="00757EBF" w:rsidRPr="00757EBF" w:rsidRDefault="00757EBF" w:rsidP="00757EBF">
      <w:pPr>
        <w:numPr>
          <w:ilvl w:val="0"/>
          <w:numId w:val="4"/>
        </w:numPr>
        <w:rPr>
          <w:rFonts w:ascii="Times New Roman" w:hAnsi="Times New Roman" w:cs="Times New Roman"/>
        </w:rPr>
      </w:pPr>
      <w:r w:rsidRPr="00757EBF">
        <w:rPr>
          <w:rFonts w:ascii="Times New Roman" w:hAnsi="Times New Roman" w:cs="Times New Roman"/>
          <w:b/>
          <w:bCs/>
        </w:rPr>
        <w:t>Tracking MSE changes provides insights</w:t>
      </w:r>
      <w:r w:rsidRPr="00757EBF">
        <w:rPr>
          <w:rFonts w:ascii="Times New Roman" w:hAnsi="Times New Roman" w:cs="Times New Roman"/>
        </w:rPr>
        <w:t xml:space="preserve"> into the structure of the data and helps refine clustering strategies.</w:t>
      </w:r>
    </w:p>
    <w:p w14:paraId="5B056D3D" w14:textId="77777777" w:rsidR="00757EBF" w:rsidRPr="00757EBF" w:rsidRDefault="00757EBF" w:rsidP="00757EBF">
      <w:pPr>
        <w:rPr>
          <w:rFonts w:ascii="Times New Roman" w:hAnsi="Times New Roman" w:cs="Times New Roman"/>
        </w:rPr>
      </w:pPr>
      <w:r w:rsidRPr="00757EBF">
        <w:rPr>
          <w:rFonts w:ascii="Times New Roman" w:hAnsi="Times New Roman" w:cs="Times New Roman"/>
        </w:rPr>
        <w:t>By analyzing these MSE variations, we can make informed decisions about choosing appropriate cluster merging strategies in hierarchical clustering.</w:t>
      </w:r>
    </w:p>
    <w:p w14:paraId="2FC8EA03" w14:textId="77777777" w:rsidR="001019D3" w:rsidRPr="00F63999" w:rsidRDefault="001019D3" w:rsidP="00757EBF">
      <w:pPr>
        <w:rPr>
          <w:rFonts w:ascii="Times New Roman" w:hAnsi="Times New Roman" w:cs="Times New Roman"/>
        </w:rPr>
      </w:pPr>
    </w:p>
    <w:sectPr w:rsidR="001019D3" w:rsidRPr="00F639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708E1"/>
    <w:multiLevelType w:val="multilevel"/>
    <w:tmpl w:val="8856D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4654B2"/>
    <w:multiLevelType w:val="multilevel"/>
    <w:tmpl w:val="0718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690951"/>
    <w:multiLevelType w:val="multilevel"/>
    <w:tmpl w:val="4DB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42796F"/>
    <w:multiLevelType w:val="hybridMultilevel"/>
    <w:tmpl w:val="F7726D9A"/>
    <w:lvl w:ilvl="0" w:tplc="1AD23D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35160776">
    <w:abstractNumId w:val="3"/>
  </w:num>
  <w:num w:numId="2" w16cid:durableId="639265290">
    <w:abstractNumId w:val="2"/>
  </w:num>
  <w:num w:numId="3" w16cid:durableId="447817894">
    <w:abstractNumId w:val="1"/>
  </w:num>
  <w:num w:numId="4" w16cid:durableId="1573811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96"/>
    <w:rsid w:val="000463A1"/>
    <w:rsid w:val="001019D3"/>
    <w:rsid w:val="003003D0"/>
    <w:rsid w:val="004E0B84"/>
    <w:rsid w:val="00525BFA"/>
    <w:rsid w:val="006B0096"/>
    <w:rsid w:val="00757EBF"/>
    <w:rsid w:val="00882B21"/>
    <w:rsid w:val="00BD7F20"/>
    <w:rsid w:val="00E11585"/>
    <w:rsid w:val="00F63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8B3878"/>
  <w15:chartTrackingRefBased/>
  <w15:docId w15:val="{000811E0-C0A1-43BA-A3EA-CA74F22CF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B009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6B009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6B009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B009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6B009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6B0096"/>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6B009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B009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B009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009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6B009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6B009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B0096"/>
    <w:rPr>
      <w:rFonts w:cstheme="majorBidi"/>
      <w:color w:val="2F5496" w:themeColor="accent1" w:themeShade="BF"/>
      <w:sz w:val="28"/>
      <w:szCs w:val="28"/>
    </w:rPr>
  </w:style>
  <w:style w:type="character" w:customStyle="1" w:styleId="50">
    <w:name w:val="标题 5 字符"/>
    <w:basedOn w:val="a0"/>
    <w:link w:val="5"/>
    <w:uiPriority w:val="9"/>
    <w:semiHidden/>
    <w:rsid w:val="006B0096"/>
    <w:rPr>
      <w:rFonts w:cstheme="majorBidi"/>
      <w:color w:val="2F5496" w:themeColor="accent1" w:themeShade="BF"/>
      <w:sz w:val="24"/>
    </w:rPr>
  </w:style>
  <w:style w:type="character" w:customStyle="1" w:styleId="60">
    <w:name w:val="标题 6 字符"/>
    <w:basedOn w:val="a0"/>
    <w:link w:val="6"/>
    <w:uiPriority w:val="9"/>
    <w:semiHidden/>
    <w:rsid w:val="006B0096"/>
    <w:rPr>
      <w:rFonts w:cstheme="majorBidi"/>
      <w:b/>
      <w:bCs/>
      <w:color w:val="2F5496" w:themeColor="accent1" w:themeShade="BF"/>
    </w:rPr>
  </w:style>
  <w:style w:type="character" w:customStyle="1" w:styleId="70">
    <w:name w:val="标题 7 字符"/>
    <w:basedOn w:val="a0"/>
    <w:link w:val="7"/>
    <w:uiPriority w:val="9"/>
    <w:semiHidden/>
    <w:rsid w:val="006B0096"/>
    <w:rPr>
      <w:rFonts w:cstheme="majorBidi"/>
      <w:b/>
      <w:bCs/>
      <w:color w:val="595959" w:themeColor="text1" w:themeTint="A6"/>
    </w:rPr>
  </w:style>
  <w:style w:type="character" w:customStyle="1" w:styleId="80">
    <w:name w:val="标题 8 字符"/>
    <w:basedOn w:val="a0"/>
    <w:link w:val="8"/>
    <w:uiPriority w:val="9"/>
    <w:semiHidden/>
    <w:rsid w:val="006B0096"/>
    <w:rPr>
      <w:rFonts w:cstheme="majorBidi"/>
      <w:color w:val="595959" w:themeColor="text1" w:themeTint="A6"/>
    </w:rPr>
  </w:style>
  <w:style w:type="character" w:customStyle="1" w:styleId="90">
    <w:name w:val="标题 9 字符"/>
    <w:basedOn w:val="a0"/>
    <w:link w:val="9"/>
    <w:uiPriority w:val="9"/>
    <w:semiHidden/>
    <w:rsid w:val="006B0096"/>
    <w:rPr>
      <w:rFonts w:eastAsiaTheme="majorEastAsia" w:cstheme="majorBidi"/>
      <w:color w:val="595959" w:themeColor="text1" w:themeTint="A6"/>
    </w:rPr>
  </w:style>
  <w:style w:type="paragraph" w:styleId="a3">
    <w:name w:val="Title"/>
    <w:basedOn w:val="a"/>
    <w:next w:val="a"/>
    <w:link w:val="a4"/>
    <w:uiPriority w:val="10"/>
    <w:qFormat/>
    <w:rsid w:val="006B009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B00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B009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B00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B0096"/>
    <w:pPr>
      <w:spacing w:before="160"/>
      <w:jc w:val="center"/>
    </w:pPr>
    <w:rPr>
      <w:i/>
      <w:iCs/>
      <w:color w:val="404040" w:themeColor="text1" w:themeTint="BF"/>
    </w:rPr>
  </w:style>
  <w:style w:type="character" w:customStyle="1" w:styleId="a8">
    <w:name w:val="引用 字符"/>
    <w:basedOn w:val="a0"/>
    <w:link w:val="a7"/>
    <w:uiPriority w:val="29"/>
    <w:rsid w:val="006B0096"/>
    <w:rPr>
      <w:i/>
      <w:iCs/>
      <w:color w:val="404040" w:themeColor="text1" w:themeTint="BF"/>
    </w:rPr>
  </w:style>
  <w:style w:type="paragraph" w:styleId="a9">
    <w:name w:val="List Paragraph"/>
    <w:basedOn w:val="a"/>
    <w:uiPriority w:val="34"/>
    <w:qFormat/>
    <w:rsid w:val="006B0096"/>
    <w:pPr>
      <w:ind w:left="720"/>
      <w:contextualSpacing/>
    </w:pPr>
  </w:style>
  <w:style w:type="character" w:styleId="aa">
    <w:name w:val="Intense Emphasis"/>
    <w:basedOn w:val="a0"/>
    <w:uiPriority w:val="21"/>
    <w:qFormat/>
    <w:rsid w:val="006B0096"/>
    <w:rPr>
      <w:i/>
      <w:iCs/>
      <w:color w:val="2F5496" w:themeColor="accent1" w:themeShade="BF"/>
    </w:rPr>
  </w:style>
  <w:style w:type="paragraph" w:styleId="ab">
    <w:name w:val="Intense Quote"/>
    <w:basedOn w:val="a"/>
    <w:next w:val="a"/>
    <w:link w:val="ac"/>
    <w:uiPriority w:val="30"/>
    <w:qFormat/>
    <w:rsid w:val="006B00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B0096"/>
    <w:rPr>
      <w:i/>
      <w:iCs/>
      <w:color w:val="2F5496" w:themeColor="accent1" w:themeShade="BF"/>
    </w:rPr>
  </w:style>
  <w:style w:type="character" w:styleId="ad">
    <w:name w:val="Intense Reference"/>
    <w:basedOn w:val="a0"/>
    <w:uiPriority w:val="32"/>
    <w:qFormat/>
    <w:rsid w:val="006B00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923774">
      <w:bodyDiv w:val="1"/>
      <w:marLeft w:val="0"/>
      <w:marRight w:val="0"/>
      <w:marTop w:val="0"/>
      <w:marBottom w:val="0"/>
      <w:divBdr>
        <w:top w:val="none" w:sz="0" w:space="0" w:color="auto"/>
        <w:left w:val="none" w:sz="0" w:space="0" w:color="auto"/>
        <w:bottom w:val="none" w:sz="0" w:space="0" w:color="auto"/>
        <w:right w:val="none" w:sz="0" w:space="0" w:color="auto"/>
      </w:divBdr>
    </w:div>
    <w:div w:id="900096475">
      <w:bodyDiv w:val="1"/>
      <w:marLeft w:val="0"/>
      <w:marRight w:val="0"/>
      <w:marTop w:val="0"/>
      <w:marBottom w:val="0"/>
      <w:divBdr>
        <w:top w:val="none" w:sz="0" w:space="0" w:color="auto"/>
        <w:left w:val="none" w:sz="0" w:space="0" w:color="auto"/>
        <w:bottom w:val="none" w:sz="0" w:space="0" w:color="auto"/>
        <w:right w:val="none" w:sz="0" w:space="0" w:color="auto"/>
      </w:divBdr>
    </w:div>
    <w:div w:id="1494221634">
      <w:bodyDiv w:val="1"/>
      <w:marLeft w:val="0"/>
      <w:marRight w:val="0"/>
      <w:marTop w:val="0"/>
      <w:marBottom w:val="0"/>
      <w:divBdr>
        <w:top w:val="none" w:sz="0" w:space="0" w:color="auto"/>
        <w:left w:val="none" w:sz="0" w:space="0" w:color="auto"/>
        <w:bottom w:val="none" w:sz="0" w:space="0" w:color="auto"/>
        <w:right w:val="none" w:sz="0" w:space="0" w:color="auto"/>
      </w:divBdr>
    </w:div>
    <w:div w:id="213123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419</Words>
  <Characters>2176</Characters>
  <Application>Microsoft Office Word</Application>
  <DocSecurity>0</DocSecurity>
  <Lines>49</Lines>
  <Paragraphs>26</Paragraphs>
  <ScaleCrop>false</ScaleCrop>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子芾 陶</dc:creator>
  <cp:keywords/>
  <dc:description/>
  <cp:lastModifiedBy>子芾 陶</cp:lastModifiedBy>
  <cp:revision>7</cp:revision>
  <cp:lastPrinted>2025-03-27T06:42:00Z</cp:lastPrinted>
  <dcterms:created xsi:type="dcterms:W3CDTF">2025-03-26T11:07:00Z</dcterms:created>
  <dcterms:modified xsi:type="dcterms:W3CDTF">2025-03-27T06:43:00Z</dcterms:modified>
</cp:coreProperties>
</file>