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E3A5F"/>
          <w:sz w:val="52"/>
          <w:szCs w:val="52"/>
        </w:rPr>
        <w:t xml:space="preserve">BABA — OĞUL — ÜSTAT</w:t>
      </w:r>
    </w:p>
    <w:p>
      <w:pPr>
        <w:spacing w:after="60"/>
        <w:jc w:val="center"/>
      </w:pPr>
      <w:r>
        <w:rPr>
          <w:rFonts w:ascii="Arial" w:cs="Arial" w:eastAsia="Arial" w:hAnsi="Arial"/>
          <w:color w:val="6B7280"/>
          <w:sz w:val="28"/>
          <w:szCs w:val="28"/>
        </w:rPr>
        <w:t xml:space="preserve">Vadeli Piyasa Algoritmik İşlem Sistemi</w:t>
      </w:r>
    </w:p>
    <w:p>
      <w:pPr>
        <w:spacing w:after="200"/>
      </w:pPr>
    </w:p>
    <w:p>
      <w:pPr>
        <w:spacing w:after="40"/>
        <w:jc w:val="center"/>
      </w:pPr>
      <w:r>
        <w:rPr>
          <w:rFonts w:ascii="Arial" w:cs="Arial" w:eastAsia="Arial" w:hAnsi="Arial"/>
          <w:b/>
          <w:bCs/>
          <w:color w:val="991B1B"/>
          <w:sz w:val="36"/>
          <w:szCs w:val="36"/>
        </w:rPr>
        <w:t xml:space="preserve">ÜRETME ODAKLI YENİDEN TASARIM</w:t>
      </w:r>
    </w:p>
    <w:p>
      <w:pPr>
        <w:spacing w:after="40"/>
        <w:jc w:val="center"/>
      </w:pPr>
      <w:r>
        <w:rPr>
          <w:rFonts w:ascii="Arial" w:cs="Arial" w:eastAsia="Arial" w:hAnsi="Arial"/>
          <w:color w:val="6B7280"/>
          <w:sz w:val="22"/>
          <w:szCs w:val="22"/>
        </w:rPr>
        <w:t xml:space="preserve">v10.1 Vizyon Dokümanından Production-Ready Sisteme Geçiş Analizi</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Alan</w:t>
            </w:r>
          </w:p>
        </w:tc>
        <w:tc>
          <w:tcPr>
            <w:tcW w:type="dxa" w:w="60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Detay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Tarih</w:t>
            </w:r>
          </w:p>
        </w:tc>
        <w:tc>
          <w:tcPr>
            <w:tcW w:type="dxa" w:w="6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21 Şubat 2026</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Kapsam</w:t>
            </w:r>
          </w:p>
        </w:tc>
        <w:tc>
          <w:tcPr>
            <w:tcW w:type="dxa" w:w="6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v10.1 dokümanının gerçekçi üretim analizi ve yeniden tasarimi</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Hedef Piyasa</w:t>
            </w:r>
          </w:p>
        </w:tc>
        <w:tc>
          <w:tcPr>
            <w:tcW w:type="dxa" w:w="6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VİOP / XU030 (yalnızca)</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Broker</w:t>
            </w:r>
          </w:p>
        </w:tc>
        <w:tc>
          <w:tcPr>
            <w:tcW w:type="dxa" w:w="6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GCM Capital / MetaTrader 5</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Yaklaşım</w:t>
            </w:r>
          </w:p>
        </w:tc>
        <w:tc>
          <w:tcPr>
            <w:tcW w:type="dxa" w:w="6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Endüstri standartlarına dayalı, bağımsız uzman değerlendirmesi</w:t>
            </w:r>
          </w:p>
        </w:tc>
      </w:tr>
    </w:tbl>
    <w:p>
      <w:r>
        <w:br w:type="page"/>
      </w:r>
    </w:p>
    <w:p>
      <w:pPr>
        <w:pStyle w:val="Heading1"/>
        <w:spacing w:before="400" w:after="200"/>
      </w:pPr>
      <w:r>
        <w:rPr>
          <w:rFonts w:ascii="Arial" w:cs="Arial" w:eastAsia="Arial" w:hAnsi="Arial"/>
          <w:b/>
          <w:bCs/>
          <w:color w:val="1E3A5F"/>
          <w:sz w:val="32"/>
          <w:szCs w:val="32"/>
        </w:rPr>
        <w:t xml:space="preserve">BÖLÜM 1: MEVCUT DURUMUN DÜRÜST DEĞERLENDİRMESİ</w:t>
      </w:r>
    </w:p>
    <w:p>
      <w:pPr>
        <w:pStyle w:val="Heading2"/>
        <w:spacing w:before="300" w:after="150"/>
      </w:pPr>
      <w:r>
        <w:rPr>
          <w:rFonts w:ascii="Arial" w:cs="Arial" w:eastAsia="Arial" w:hAnsi="Arial"/>
          <w:b/>
          <w:bCs/>
          <w:color w:val="1E3A5F"/>
          <w:sz w:val="26"/>
          <w:szCs w:val="26"/>
        </w:rPr>
        <w:t xml:space="preserve">1.1 Vizyon ile Gerçeklik Arasındaki Açık</w:t>
      </w:r>
    </w:p>
    <w:p>
      <w:pPr>
        <w:spacing w:after="120" w:line="300"/>
        <w:jc w:val="both"/>
      </w:pPr>
      <w:r>
        <w:rPr>
          <w:rFonts w:ascii="Arial" w:cs="Arial" w:eastAsia="Arial" w:hAnsi="Arial"/>
          <w:i w:val="false"/>
          <w:iCs w:val="false"/>
          <w:color w:val="1F2937"/>
          <w:sz w:val="21"/>
          <w:szCs w:val="21"/>
        </w:rPr>
        <w:t xml:space="preserve">v10.1 dokümanı etkileyici bir vizyon belgesidir. Hiyerarşik tasarım, katmanlı risk yönetimi, evrimsel strateji yaklaşımı — bunların her biri akademik açıdan sağlam temellere dayanmaktadır. Ancak algoritmik işlem endüstrisinin acımasız bir gerçeği vardır: Kağıt üzerindeki sistemlerin %90’dan fazlası canlı piyasada başarısız olur. Bunun sebebi strateji değil, mühendislik, operasyon ve gerçekçilik eksikliğidir.</w:t>
      </w:r>
    </w:p>
    <w:p>
      <w:pPr>
        <w:spacing w:after="120" w:line="300"/>
        <w:jc w:val="both"/>
      </w:pPr>
      <w:r>
        <w:rPr>
          <w:rFonts w:ascii="Arial" w:cs="Arial" w:eastAsia="Arial" w:hAnsi="Arial"/>
          <w:i w:val="false"/>
          <w:iCs w:val="false"/>
          <w:color w:val="1F2937"/>
          <w:sz w:val="21"/>
          <w:szCs w:val="21"/>
        </w:rPr>
        <w:t xml:space="preserve">Aşağıdaki tablo, v10.1’deki her büyük bileşenin endüstri standartları karşısındaki durumunu göstermektedir: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826"/>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Bileşen</w:t>
            </w:r>
          </w:p>
        </w:tc>
        <w:tc>
          <w:tcPr>
            <w:tcW w:type="dxa" w:w="2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v10.1 Durumu</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Endüstri Gerçeği</w:t>
            </w:r>
          </w:p>
        </w:tc>
        <w:tc>
          <w:tcPr>
            <w:tcW w:type="dxa" w:w="18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Durum</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Ensemble RL (PPO+A2C+DDPG)</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 ajanın aynı anda çalışması</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Tek bir RL ajanını VİOP verisinde doğru eğitmek bile 3-6 ay sürer</w:t>
            </w:r>
          </w:p>
        </w:tc>
        <w:tc>
          <w:tcPr>
            <w:tcW w:type="dxa" w:w="18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Aşırı Karmaşık</w:t>
            </w:r>
            <w:r>
              <w:rPr>
                <w:rFonts w:ascii="Arial" w:cs="Arial" w:eastAsia="Arial" w:hAnsi="Arial"/>
                <w:color w:val="1F2937"/>
                <w:sz w:val="18"/>
                <w:szCs w:val="18"/>
              </w:rPr>
              <w:t xml:space="preserve"/>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HMM 4-State + XGBoost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Rejim algılama pipeline’ı</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HMM kalibrasyonu VİOP’un düşük veri hacmiyle sorunlu; state sayısı validation gerektirir</w:t>
            </w:r>
          </w:p>
        </w:tc>
        <w:tc>
          <w:tcPr>
            <w:tcW w:type="dxa" w:w="18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Geçerli Ama Erken</w:t>
            </w:r>
            <w:r>
              <w:rPr>
                <w:rFonts w:ascii="Arial" w:cs="Arial" w:eastAsia="Arial" w:hAnsi="Arial"/>
                <w:color w:val="1F2937"/>
                <w:sz w:val="18"/>
                <w:szCs w:val="18"/>
              </w:rPr>
              <w:t xml:space="preserve"/>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7 Katmanlı Fake Analiz</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Her işlemde real-time 7 katman</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Bu düzeyde bir analiz MQL5 içinde performans sorunu yaratır; 3 katman yeterli</w:t>
            </w:r>
          </w:p>
        </w:tc>
        <w:tc>
          <w:tcPr>
            <w:tcW w:type="dxa" w:w="18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Sadeleştir</w:t>
            </w:r>
            <w:r>
              <w:rPr>
                <w:rFonts w:ascii="Arial" w:cs="Arial" w:eastAsia="Arial" w:hAnsi="Arial"/>
                <w:color w:val="1F2937"/>
                <w:sz w:val="18"/>
                <w:szCs w:val="18"/>
              </w:rPr>
              <w:t xml:space="preserve"/>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GAN Sentetik Veri</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Erken faz veri artırımı</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Finansal GAN’lar henüz araştırma aşamasında; microstructure’ı yansıtmaz</w:t>
            </w:r>
          </w:p>
        </w:tc>
        <w:tc>
          <w:tcPr>
            <w:tcW w:type="dxa" w:w="18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Çıkar</w:t>
            </w:r>
            <w:r>
              <w:rPr>
                <w:rFonts w:ascii="Arial" w:cs="Arial" w:eastAsia="Arial" w:hAnsi="Arial"/>
                <w:color w:val="1F2937"/>
                <w:sz w:val="18"/>
                <w:szCs w:val="18"/>
              </w:rPr>
              <w:t xml:space="preserve"/>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LSTM-AE Anomaly</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Erken uyarı sistemi</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Basit istatistiksel anomali (z-score, IQR) daha güvenilir ve açıklanabilir</w:t>
            </w:r>
          </w:p>
        </w:tc>
        <w:tc>
          <w:tcPr>
            <w:tcW w:type="dxa" w:w="18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Basitleştir</w:t>
            </w:r>
            <w:r>
              <w:rPr>
                <w:rFonts w:ascii="Arial" w:cs="Arial" w:eastAsia="Arial" w:hAnsi="Arial"/>
                <w:color w:val="1F2937"/>
                <w:sz w:val="18"/>
                <w:szCs w:val="18"/>
              </w:rPr>
              <w:t xml:space="preserve"/>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Evrimsel Strateji Döngüsü</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GA + crossover + mutation</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500+ strateji hedefi data-mining biası yaratir; 10-20 strateji yeterli</w:t>
            </w:r>
          </w:p>
        </w:tc>
        <w:tc>
          <w:tcPr>
            <w:tcW w:type="dxa" w:w="18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Küçült</w:t>
            </w:r>
            <w:r>
              <w:rPr>
                <w:rFonts w:ascii="Arial" w:cs="Arial" w:eastAsia="Arial" w:hAnsi="Arial"/>
                <w:color w:val="1F2937"/>
                <w:sz w:val="18"/>
                <w:szCs w:val="18"/>
              </w:rPr>
              <w:t xml:space="preserve"/>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Otonom MQL5 Kod Üretimi</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LLM ile kod üretim pipeline’ı</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MQL5’te LLM hata oranı çok yüksek; şablon bazlı yaklaşım daha güvenilir</w:t>
            </w:r>
          </w:p>
        </w:tc>
        <w:tc>
          <w:tcPr>
            <w:tcW w:type="dxa" w:w="18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Yeniden Tasarla</w:t>
            </w:r>
            <w:r>
              <w:rPr>
                <w:rFonts w:ascii="Arial" w:cs="Arial" w:eastAsia="Arial" w:hAnsi="Arial"/>
                <w:color w:val="1F2937"/>
                <w:sz w:val="18"/>
                <w:szCs w:val="18"/>
              </w:rPr>
              <w:t xml:space="preserve"/>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49 Kontrat Genişleme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Kademeli 49 kontrat</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VİOP’ta XU030 dışında likit kontrat 4-5 tane; 49 gerçekçi değil</w:t>
            </w:r>
          </w:p>
        </w:tc>
        <w:tc>
          <w:tcPr>
            <w:tcW w:type="dxa" w:w="18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Vazgeç</w:t>
            </w:r>
            <w:r>
              <w:rPr>
                <w:rFonts w:ascii="Arial" w:cs="Arial" w:eastAsia="Arial" w:hAnsi="Arial"/>
                <w:color w:val="1F2937"/>
                <w:sz w:val="18"/>
                <w:szCs w:val="18"/>
              </w:rPr>
              <w:t xml:space="preserve"/>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24 Haftalık Yol Haritası</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Tam sistem 6 ayda hazır</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Bu karmaşıklıkta sistem solo developer için 18-24 ay</w:t>
            </w:r>
          </w:p>
        </w:tc>
        <w:tc>
          <w:tcPr>
            <w:tcW w:type="dxa" w:w="18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Uzat</w:t>
            </w:r>
            <w:r>
              <w:rPr>
                <w:rFonts w:ascii="Arial" w:cs="Arial" w:eastAsia="Arial" w:hAnsi="Arial"/>
                <w:color w:val="1F2937"/>
                <w:sz w:val="18"/>
                <w:szCs w:val="18"/>
              </w:rPr>
              <w:t xml:space="preserve"/>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91B1B" w:sz="12"/>
              <w:bottom w:val="none" w:sz="0"/>
              <w:right w:val="none" w:sz="0"/>
            </w:tcBorders>
            <w:shd w:fill="FEE2E2" w:val="clear"/>
            <w:tcMar>
              <w:top w:type="dxa" w:w="100"/>
              <w:left w:type="dxa" w:w="150"/>
              <w:bottom w:type="dxa" w:w="100"/>
              <w:right w:type="dxa" w:w="150"/>
            </w:tcMar>
          </w:tcPr>
          <w:p>
            <w:pPr>
              <w:spacing w:after="60"/>
            </w:pPr>
            <w:r>
              <w:rPr>
                <w:rFonts w:ascii="Arial" w:cs="Arial" w:eastAsia="Arial" w:hAnsi="Arial"/>
                <w:b/>
                <w:bCs/>
                <w:color w:val="991B1B"/>
                <w:sz w:val="20"/>
                <w:szCs w:val="20"/>
              </w:rPr>
              <w:t xml:space="preserve">TEMEL TESPIT</w:t>
            </w:r>
          </w:p>
          <w:p>
            <w:pPr>
              <w:spacing w:after="0"/>
            </w:pPr>
            <w:r>
              <w:rPr>
                <w:rFonts w:ascii="Arial" w:cs="Arial" w:eastAsia="Arial" w:hAnsi="Arial"/>
                <w:color w:val="991B1B"/>
                <w:sz w:val="19"/>
                <w:szCs w:val="19"/>
              </w:rPr>
              <w:t xml:space="preserve">v10.1 bir hedge fund quant ekibinin 12-18 aylık projesidir. Solo developer olarak bu vizyonun tamamını gerçekleştirmeye çalışmak, hiçbirini bitirememek anlamına gelir. Bu dokümanın amacı: vizyonu koruyarak, gerçekten çalışan bir sisteme dönüştürmektir.</w:t>
            </w:r>
          </w:p>
        </w:tc>
      </w:tr>
    </w:tbl>
    <w:p>
      <w:pPr>
        <w:spacing w:after="100"/>
      </w:pPr>
    </w:p>
    <w:p>
      <w:pPr>
        <w:pStyle w:val="Heading2"/>
        <w:spacing w:before="300" w:after="150"/>
      </w:pPr>
      <w:r>
        <w:rPr>
          <w:rFonts w:ascii="Arial" w:cs="Arial" w:eastAsia="Arial" w:hAnsi="Arial"/>
          <w:b/>
          <w:bCs/>
          <w:color w:val="1E3A5F"/>
          <w:sz w:val="26"/>
          <w:szCs w:val="26"/>
        </w:rPr>
        <w:t xml:space="preserve">1.2 Neden Algoritmik İşlem Sistemleri Başarısız Olur?</w:t>
      </w:r>
    </w:p>
    <w:p>
      <w:pPr>
        <w:spacing w:after="120" w:line="300"/>
        <w:jc w:val="both"/>
      </w:pPr>
      <w:r>
        <w:rPr>
          <w:rFonts w:ascii="Arial" w:cs="Arial" w:eastAsia="Arial" w:hAnsi="Arial"/>
          <w:i w:val="false"/>
          <w:iCs w:val="false"/>
          <w:color w:val="1F2937"/>
          <w:sz w:val="21"/>
          <w:szCs w:val="21"/>
        </w:rPr>
        <w:t xml:space="preserve">Algoritmik işlem endüstrisinde başarısızlığın kaynakları iyi bilinmektedir. Bu kaynakları anlamak, aynı hataları tekrarlamamak için kritiktir:</w:t>
      </w:r>
    </w:p>
    <w:p>
      <w:pPr>
        <w:spacing w:before="200" w:after="100"/>
      </w:pPr>
      <w:r>
        <w:rPr>
          <w:rFonts w:ascii="Arial" w:cs="Arial" w:eastAsia="Arial" w:hAnsi="Arial"/>
          <w:b/>
          <w:bCs/>
          <w:color w:val="1F2937"/>
          <w:sz w:val="22"/>
          <w:szCs w:val="22"/>
        </w:rPr>
        <w:t xml:space="preserve">1.2.1 Overfitting — En Büyük Düşman</w:t>
      </w:r>
    </w:p>
    <w:p>
      <w:pPr>
        <w:spacing w:after="120" w:line="300"/>
        <w:jc w:val="both"/>
      </w:pPr>
      <w:r>
        <w:rPr>
          <w:rFonts w:ascii="Arial" w:cs="Arial" w:eastAsia="Arial" w:hAnsi="Arial"/>
          <w:i w:val="false"/>
          <w:iCs w:val="false"/>
          <w:color w:val="1F2937"/>
          <w:sz w:val="21"/>
          <w:szCs w:val="21"/>
        </w:rPr>
        <w:t xml:space="preserve">Backtest’te harika görünen bir strateji canlıda neden başarısız olur? Çünkü geçmişe aşırı uyum sağlamıştır. Piyasa gerçeği: Geçmiş veride bulunan kalıpların çoğu gürültüdür, sinyal değildir. 500 strateji üretmek, bu gürültüyü stratejiye dönüştürme riskini katlanarak artırır. Endüstri standardı: Walk-forward analiz + Out-of-Sample test + Monte Carlo simülasyonu. Ancak bu bile garantili değildir; gerçek piyasa verisi ile çapraz doğrulama şarttır.</w:t>
      </w:r>
    </w:p>
    <w:p>
      <w:pPr>
        <w:spacing w:before="200" w:after="100"/>
      </w:pPr>
      <w:r>
        <w:rPr>
          <w:rFonts w:ascii="Arial" w:cs="Arial" w:eastAsia="Arial" w:hAnsi="Arial"/>
          <w:b/>
          <w:bCs/>
          <w:color w:val="1F2937"/>
          <w:sz w:val="22"/>
          <w:szCs w:val="22"/>
        </w:rPr>
        <w:t xml:space="preserve">1.2.2 Execution Maliyetleri — Görünmez Katil</w:t>
      </w:r>
    </w:p>
    <w:p>
      <w:pPr>
        <w:spacing w:after="120" w:line="300"/>
        <w:jc w:val="both"/>
      </w:pPr>
      <w:r>
        <w:rPr>
          <w:rFonts w:ascii="Arial" w:cs="Arial" w:eastAsia="Arial" w:hAnsi="Arial"/>
          <w:i w:val="false"/>
          <w:iCs w:val="false"/>
          <w:color w:val="1F2937"/>
          <w:sz w:val="21"/>
          <w:szCs w:val="21"/>
        </w:rPr>
        <w:t xml:space="preserve">Backtest’te komisyon ve slippage genellikle küçümsenir. VİOP XU030 gerçekleri: Komisyon her yönde yaklaşık 1-2 TL (broker ve kontrat büyüklüğüne göre). Slippage LIMIT emirlerde düşük ama MARKET emirlerde 2-5 puan olabilir. Spread XU030’da normal piyasada 5-15 puan, volatil dönemlerde 30+ puan. Yüksek frekanslı işlem yapan bir bot için bu maliyetler kârın önemli bir kısmını yiyebilir. Her strateji backtest’inde gerçekçi execution maliyeti modellemesi zorunludur.</w:t>
      </w:r>
    </w:p>
    <w:p>
      <w:pPr>
        <w:spacing w:before="200" w:after="100"/>
      </w:pPr>
      <w:r>
        <w:rPr>
          <w:rFonts w:ascii="Arial" w:cs="Arial" w:eastAsia="Arial" w:hAnsi="Arial"/>
          <w:b/>
          <w:bCs/>
          <w:color w:val="1F2937"/>
          <w:sz w:val="22"/>
          <w:szCs w:val="22"/>
        </w:rPr>
        <w:t xml:space="preserve">1.2.3 Rejim Değişimi — Piyasa Asla Aynı Kalmaz</w:t>
      </w:r>
    </w:p>
    <w:p>
      <w:pPr>
        <w:spacing w:after="120" w:line="300"/>
        <w:jc w:val="both"/>
      </w:pPr>
      <w:r>
        <w:rPr>
          <w:rFonts w:ascii="Arial" w:cs="Arial" w:eastAsia="Arial" w:hAnsi="Arial"/>
          <w:i w:val="false"/>
          <w:iCs w:val="false"/>
          <w:color w:val="1F2937"/>
          <w:sz w:val="21"/>
          <w:szCs w:val="21"/>
        </w:rPr>
        <w:t xml:space="preserve">Türk piyasasının özgün dinamikleri vardır: TCMB faiz kararları dakikalar içinde %5-10 fiyat hareketleri yaratabilir. Seçim dönemleri haftalarca süren belirsizlik ortamı oluşturur. Kur şokları endeks ile TL arasındaki korelasyonu aniden değiştirir. Yabancı yatırımcı akışları global risk iştahına duyarlıdır. Bu ortamda sabit parametreli herhangi bir model kısa ömürlüdür. Adaptasyon mekanizması şart ama bu adaptasyonun kendisi de overfit olabilir — bu paradoksu kabul etmek gerekir.</w:t>
      </w:r>
    </w:p>
    <w:p>
      <w:pPr>
        <w:spacing w:before="200" w:after="100"/>
      </w:pPr>
      <w:r>
        <w:rPr>
          <w:rFonts w:ascii="Arial" w:cs="Arial" w:eastAsia="Arial" w:hAnsi="Arial"/>
          <w:b/>
          <w:bCs/>
          <w:color w:val="1F2937"/>
          <w:sz w:val="22"/>
          <w:szCs w:val="22"/>
        </w:rPr>
        <w:t xml:space="preserve">1.2.4 VİOP’un Yapısal Kısıtları</w:t>
      </w:r>
    </w:p>
    <w:p>
      <w:pPr>
        <w:spacing w:after="120" w:line="300"/>
        <w:jc w:val="both"/>
      </w:pPr>
      <w:r>
        <w:rPr>
          <w:rFonts w:ascii="Arial" w:cs="Arial" w:eastAsia="Arial" w:hAnsi="Arial"/>
          <w:i w:val="false"/>
          <w:iCs w:val="false"/>
          <w:color w:val="1F2937"/>
          <w:sz w:val="21"/>
          <w:szCs w:val="21"/>
        </w:rPr>
        <w:t xml:space="preserve">VİOP, NYSE veya CME ile karşılaştırılamaz. Günlük işlem hacmi: XU030 vadeli işlemlerde günlük ortalama 200.000-400.000 kontrat civarındadır. Bu, algoritmik işlem için yeterli ama sınırlıdır. Diğer kontratlar: AKBNK, GARAN, THYAO dışında likidite çok düşüktür. Günde birkaç yüz lot işlem gören kontratlarda algoritmik trade yapmak spread maliyeti nedeniyle zararlıdır. Market impact: Büyük emirler (10+ lot) XU030’da bile fiyatı hareket ettirebilir. Pozisyon büyüklüğü hesabında likidite kısıtı mutlaka modellenmelidir. Seans yapısı: VİOP’ta işlem saatleri 09:30-18:10, gece seansı 19:00-23:00. Açılış ve kapanış zamanlarında spread genişler, hacim düşer.</w:t>
      </w:r>
    </w:p>
    <w:p>
      <w:r>
        <w:br w:type="page"/>
      </w:r>
    </w:p>
    <w:p>
      <w:pPr>
        <w:pStyle w:val="Heading1"/>
        <w:spacing w:before="400" w:after="200"/>
      </w:pPr>
      <w:r>
        <w:rPr>
          <w:rFonts w:ascii="Arial" w:cs="Arial" w:eastAsia="Arial" w:hAnsi="Arial"/>
          <w:b/>
          <w:bCs/>
          <w:color w:val="1E3A5F"/>
          <w:sz w:val="32"/>
          <w:szCs w:val="32"/>
        </w:rPr>
        <w:t xml:space="preserve">BÖLÜM 2: PRODUCTION-READY YENİDEN TASARIM</w:t>
      </w:r>
    </w:p>
    <w:p>
      <w:pPr>
        <w:spacing w:after="120" w:line="300"/>
        <w:jc w:val="both"/>
      </w:pPr>
      <w:r>
        <w:rPr>
          <w:rFonts w:ascii="Arial" w:cs="Arial" w:eastAsia="Arial" w:hAnsi="Arial"/>
          <w:i w:val="false"/>
          <w:iCs w:val="false"/>
          <w:color w:val="1F2937"/>
          <w:sz w:val="21"/>
          <w:szCs w:val="21"/>
        </w:rPr>
        <w:t xml:space="preserve">Aşağıdaki tasarım, v10.1’in felsefesini korur ama endüstri standartlarına uygun, gerçekten inşa edilebilir bir sisteme dönüştürür. Temel prensip: </w:t>
      </w:r>
      <w:r>
        <w:rPr>
          <w:rFonts w:ascii="Arial" w:cs="Arial" w:eastAsia="Arial" w:hAnsi="Arial"/>
          <w:b/>
          <w:bCs/>
          <w:color w:val="1F2937"/>
          <w:sz w:val="21"/>
          <w:szCs w:val="21"/>
        </w:rPr>
        <w:t xml:space="preserve">Önce çalışsın, sonra gelişsin.</w:t>
      </w:r>
      <w:r>
        <w:rPr>
          <w:rFonts w:ascii="Arial" w:cs="Arial" w:eastAsia="Arial" w:hAnsi="Arial"/>
          <w:i w:val="false"/>
          <w:iCs w:val="false"/>
          <w:color w:val="1F2937"/>
          <w:sz w:val="21"/>
          <w:szCs w:val="21"/>
        </w:rPr>
        <w:t xml:space="preserve"/>
      </w:r>
    </w:p>
    <w:p>
      <w:pPr>
        <w:pStyle w:val="Heading2"/>
        <w:spacing w:before="300" w:after="150"/>
      </w:pPr>
      <w:r>
        <w:rPr>
          <w:rFonts w:ascii="Arial" w:cs="Arial" w:eastAsia="Arial" w:hAnsi="Arial"/>
          <w:b/>
          <w:bCs/>
          <w:color w:val="1E3A5F"/>
          <w:sz w:val="26"/>
          <w:szCs w:val="26"/>
        </w:rPr>
        <w:t xml:space="preserve">2.1 Mimari — Karar: Python-Merkezli, MT5 Sadece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E3A5F" w:sz="12"/>
              <w:bottom w:val="none" w:sz="0"/>
              <w:right w:val="none" w:sz="0"/>
            </w:tcBorders>
            <w:shd w:fill="E8F0FE" w:val="clear"/>
            <w:tcMar>
              <w:top w:type="dxa" w:w="100"/>
              <w:left w:type="dxa" w:w="150"/>
              <w:bottom w:type="dxa" w:w="100"/>
              <w:right w:type="dxa" w:w="150"/>
            </w:tcMar>
          </w:tcPr>
          <w:p>
            <w:pPr>
              <w:spacing w:after="60"/>
            </w:pPr>
            <w:r>
              <w:rPr>
                <w:rFonts w:ascii="Arial" w:cs="Arial" w:eastAsia="Arial" w:hAnsi="Arial"/>
                <w:b/>
                <w:bCs/>
                <w:color w:val="1E3A5F"/>
                <w:sz w:val="20"/>
                <w:szCs w:val="20"/>
              </w:rPr>
              <w:t xml:space="preserve">MİMARİ KARAR</w:t>
            </w:r>
          </w:p>
          <w:p>
            <w:pPr>
              <w:spacing w:after="0"/>
            </w:pPr>
            <w:r>
              <w:rPr>
                <w:rFonts w:ascii="Arial" w:cs="Arial" w:eastAsia="Arial" w:hAnsi="Arial"/>
                <w:color w:val="1E3A5F"/>
                <w:sz w:val="19"/>
                <w:szCs w:val="19"/>
              </w:rPr>
              <w:t xml:space="preserve">v10.1’in en büyük belirsizliği Python ile MQL5 arasındaki sorumluluk dağılımıdır. Bu yeniden tasarım net bir karar verir: TÜM karar mekanizması Python’dadır. MT5 yalnızca emir gönderen, piyasa verisi alan bir terminal olarak kullanılır. EA mümkün olduğunca ince tutulur.</w:t>
            </w:r>
          </w:p>
        </w:tc>
      </w:tr>
    </w:tbl>
    <w:p>
      <w:pPr>
        <w:spacing w:after="80"/>
      </w:pPr>
    </w:p>
    <w:p>
      <w:pPr>
        <w:spacing w:after="120" w:line="300"/>
        <w:jc w:val="both"/>
      </w:pPr>
      <w:r>
        <w:rPr>
          <w:rFonts w:ascii="Arial" w:cs="Arial" w:eastAsia="Arial" w:hAnsi="Arial"/>
          <w:i w:val="false"/>
          <w:iCs w:val="false"/>
          <w:color w:val="1F2937"/>
          <w:sz w:val="21"/>
          <w:szCs w:val="21"/>
        </w:rPr>
        <w:t xml:space="preserve">Bunun gerekçesi: Python’da ml kütüphaneleri (scikit-learn, stable-baselines3, hmmlearn), veri işleme (pandas, numpy), loglama, test framework’leri zengindir. MQL5’te bunların hiçbiri yoktur. RL inference’ı, rejim algılama, risk hesaplaması gibi kritik işlemleri MQL5 içinde yapmaya çalışmak, hem geliştirme süresini hem hata riskini katlar.</w:t>
      </w:r>
    </w:p>
    <w:p>
      <w:pPr>
        <w:spacing w:before="200" w:after="100"/>
      </w:pPr>
      <w:r>
        <w:rPr>
          <w:rFonts w:ascii="Arial" w:cs="Arial" w:eastAsia="Arial" w:hAnsi="Arial"/>
          <w:b/>
          <w:bCs/>
          <w:color w:val="1F2937"/>
          <w:sz w:val="22"/>
          <w:szCs w:val="22"/>
        </w:rPr>
        <w:t xml:space="preserve">2.1.1 Katman Sorumlulukları (Yeniden Tanımlanmış)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626"/>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Katman</w:t>
            </w:r>
          </w:p>
        </w:tc>
        <w:tc>
          <w:tcPr>
            <w:tcW w:type="dxa" w:w="1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Ortam</w:t>
            </w:r>
          </w:p>
        </w:tc>
        <w:tc>
          <w:tcPr>
            <w:tcW w:type="dxa" w:w="3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Sorumluluk</w:t>
            </w:r>
          </w:p>
        </w:tc>
        <w:tc>
          <w:tcPr>
            <w:tcW w:type="dxa" w:w="26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v10.1’den Fark</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ÜSTAT (Strateji Yönetimi)</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Python / Masaüstü</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Strateji havuzu yönetimi, performans analizi, parametre optimizasyonu, günlük strateji seçimi</w:t>
            </w:r>
          </w:p>
        </w:tc>
        <w:tc>
          <w:tcPr>
            <w:tcW w:type="dxa" w:w="26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Değişmedi (GAN ve otonom kod üretimi çıkarıldı)</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BABA (Risk Yönetimi)</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Python / Aynı process</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Risk limitleri, pozisyon denetimi, fake sinyal analizi, acil müdahale</w:t>
            </w:r>
          </w:p>
        </w:tc>
        <w:tc>
          <w:tcPr>
            <w:tcW w:type="dxa" w:w="26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MQL5’ten Python’a taşındı; 7 katman → 4 katman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OĞUL (Sinyal + Execution)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Python (sinyal) + MQL5 EA (emir)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Piyasa verisi analizi, sinyal üretimi, emir iletimi</w:t>
            </w:r>
          </w:p>
        </w:tc>
        <w:tc>
          <w:tcPr>
            <w:tcW w:type="dxa" w:w="26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RL ensemble kaldırıldı; kural tabanlı + tek RL ajanı</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MT5 EA (Terminal)</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MQL5 (ince istemci)</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Emir gönderme/alma, tick veri akışı, pozisyon durumu</w:t>
            </w:r>
          </w:p>
        </w:tc>
        <w:tc>
          <w:tcPr>
            <w:tcW w:type="dxa" w:w="26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Karar mekanizması yok, sadece execution</w:t>
            </w:r>
          </w:p>
        </w:tc>
      </w:tr>
    </w:tbl>
    <w:p>
      <w:pPr>
        <w:spacing w:after="100"/>
      </w:pPr>
    </w:p>
    <w:p>
      <w:pPr>
        <w:spacing w:before="200" w:after="100"/>
      </w:pPr>
      <w:r>
        <w:rPr>
          <w:rFonts w:ascii="Arial" w:cs="Arial" w:eastAsia="Arial" w:hAnsi="Arial"/>
          <w:b/>
          <w:bCs/>
          <w:color w:val="1F2937"/>
          <w:sz w:val="22"/>
          <w:szCs w:val="22"/>
        </w:rPr>
        <w:t xml:space="preserve">2.1.2 İletişim Mimarisi</w:t>
      </w:r>
    </w:p>
    <w:p>
      <w:pPr>
        <w:spacing w:after="120" w:line="300"/>
        <w:jc w:val="both"/>
      </w:pPr>
      <w:r>
        <w:rPr>
          <w:rFonts w:ascii="Arial" w:cs="Arial" w:eastAsia="Arial" w:hAnsi="Arial"/>
          <w:i w:val="false"/>
          <w:iCs w:val="false"/>
          <w:color w:val="1F2937"/>
          <w:sz w:val="21"/>
          <w:szCs w:val="21"/>
        </w:rPr>
        <w:t xml:space="preserve">Python ↔ MT5 iletişimi için </w:t>
      </w:r>
      <w:r>
        <w:rPr>
          <w:rFonts w:ascii="Arial" w:cs="Arial" w:eastAsia="Arial" w:hAnsi="Arial"/>
          <w:b/>
          <w:bCs/>
          <w:color w:val="1F2937"/>
          <w:sz w:val="21"/>
          <w:szCs w:val="21"/>
        </w:rPr>
        <w:t xml:space="preserve">MetaTrader5 Python paketi</w:t>
      </w:r>
      <w:r>
        <w:rPr>
          <w:rFonts w:ascii="Arial" w:cs="Arial" w:eastAsia="Arial" w:hAnsi="Arial"/>
          <w:i w:val="false"/>
          <w:iCs w:val="false"/>
          <w:color w:val="1F2937"/>
          <w:sz w:val="21"/>
          <w:szCs w:val="21"/>
        </w:rPr>
        <w:t xml:space="preserve"> (resmi Py-MT5 köprüsü) kullanılır. Bu köprü, MT5 terminalına doğrudan bağlanır ve emir gönderme, veri alma, pozisyon sorgulama işlemlerini yapabilir. Latency yaklaşık 50-200ms’dir — VİOP’un seans yapısı göz önüne alındığında bu kabul edilebilir seviyededir. HFT yapmıyoruz.</w:t>
      </w:r>
    </w:p>
    <w:p>
      <w:pPr>
        <w:spacing w:after="120" w:line="300"/>
        <w:jc w:val="both"/>
      </w:pPr>
      <w:r>
        <w:rPr>
          <w:rFonts w:ascii="Arial" w:cs="Arial" w:eastAsia="Arial" w:hAnsi="Arial"/>
          <w:i w:val="false"/>
          <w:iCs w:val="false"/>
          <w:color w:val="1F2937"/>
          <w:sz w:val="21"/>
          <w:szCs w:val="21"/>
        </w:rPr>
        <w:t xml:space="preserve">Alternatif olarak, eğer Py-MT5 köprüsü yeterli performansı sağlamazsa, ZeroMQ veya Named Pipe ile MQL5 EA ↔ Python arasında düşük gecikmeli iletişim kurulabilir. Ancak bu ekstra karmaşıklık yalnızca gerekli olduğunda eklenmelidir.</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2400E" w:sz="12"/>
              <w:bottom w:val="none" w:sz="0"/>
              <w:right w:val="none" w:sz="0"/>
            </w:tcBorders>
            <w:shd w:fill="FEF3C7" w:val="clear"/>
            <w:tcMar>
              <w:top w:type="dxa" w:w="100"/>
              <w:left w:type="dxa" w:w="150"/>
              <w:bottom w:type="dxa" w:w="100"/>
              <w:right w:type="dxa" w:w="150"/>
            </w:tcMar>
          </w:tcPr>
          <w:p>
            <w:pPr>
              <w:spacing w:after="60"/>
            </w:pPr>
            <w:r>
              <w:rPr>
                <w:rFonts w:ascii="Arial" w:cs="Arial" w:eastAsia="Arial" w:hAnsi="Arial"/>
                <w:b/>
                <w:bCs/>
                <w:color w:val="92400E"/>
                <w:sz w:val="20"/>
                <w:szCs w:val="20"/>
              </w:rPr>
              <w:t xml:space="preserve">0ms İLETİŞİM İDDİASI HAKKINDA</w:t>
            </w:r>
          </w:p>
          <w:p>
            <w:pPr>
              <w:spacing w:after="0"/>
            </w:pPr>
            <w:r>
              <w:rPr>
                <w:rFonts w:ascii="Arial" w:cs="Arial" w:eastAsia="Arial" w:hAnsi="Arial"/>
                <w:color w:val="92400E"/>
                <w:sz w:val="19"/>
                <w:szCs w:val="19"/>
              </w:rPr>
              <w:t xml:space="preserve">v10.1 'Baba ve Oğul aynı EA içinde, 0ms iletişim' diyor. Gerçek: Eğer tüm karar mekanizması MQL5’te olsaydı bu doğru olurdu. Ancak RL, HMM, XGBoost gibi modeller MQL5’te çalıştırılamaz. Dolayısıyla Python köprüsü kaçınılmazdır ve 50-200ms latency kabul edilmelidir. Bu latency VİOP’ta sorun değildir — XU030’da tick aralığı genellikle 200-500ms’dir.</w:t>
            </w:r>
          </w:p>
        </w:tc>
      </w:tr>
    </w:tbl>
    <w:p>
      <w:pPr>
        <w:spacing w:after="100"/>
      </w:pPr>
    </w:p>
    <w:p>
      <w:pPr>
        <w:pStyle w:val="Heading2"/>
        <w:spacing w:before="300" w:after="150"/>
      </w:pPr>
      <w:r>
        <w:rPr>
          <w:rFonts w:ascii="Arial" w:cs="Arial" w:eastAsia="Arial" w:hAnsi="Arial"/>
          <w:b/>
          <w:bCs/>
          <w:color w:val="1E3A5F"/>
          <w:sz w:val="26"/>
          <w:szCs w:val="26"/>
        </w:rPr>
        <w:t xml:space="preserve">2.2 OĞUL — Sinyal Üretimi (Yeniden Tasarlanmış)</w:t>
      </w:r>
    </w:p>
    <w:p>
      <w:pPr>
        <w:spacing w:before="200" w:after="100"/>
      </w:pPr>
      <w:r>
        <w:rPr>
          <w:rFonts w:ascii="Arial" w:cs="Arial" w:eastAsia="Arial" w:hAnsi="Arial"/>
          <w:b/>
          <w:bCs/>
          <w:color w:val="1F2937"/>
          <w:sz w:val="22"/>
          <w:szCs w:val="22"/>
        </w:rPr>
        <w:t xml:space="preserve">2.2.1 Faz 1: Kural Tabanlı Sistem (İlk 6 Ay)</w:t>
      </w:r>
    </w:p>
    <w:p>
      <w:pPr>
        <w:spacing w:after="120" w:line="300"/>
        <w:jc w:val="both"/>
      </w:pPr>
      <w:r>
        <w:rPr>
          <w:rFonts w:ascii="Arial" w:cs="Arial" w:eastAsia="Arial" w:hAnsi="Arial"/>
          <w:i w:val="false"/>
          <w:iCs w:val="false"/>
          <w:color w:val="1F2937"/>
          <w:sz w:val="21"/>
          <w:szCs w:val="21"/>
        </w:rPr>
        <w:t xml:space="preserve">Ensemble RL ile başlamak yerine, önce </w:t>
      </w:r>
      <w:r>
        <w:rPr>
          <w:rFonts w:ascii="Arial" w:cs="Arial" w:eastAsia="Arial" w:hAnsi="Arial"/>
          <w:b/>
          <w:bCs/>
          <w:color w:val="1F2937"/>
          <w:sz w:val="21"/>
          <w:szCs w:val="21"/>
        </w:rPr>
        <w:t xml:space="preserve">kural tabanlı (rule-based)</w:t>
      </w:r>
      <w:r>
        <w:rPr>
          <w:rFonts w:ascii="Arial" w:cs="Arial" w:eastAsia="Arial" w:hAnsi="Arial"/>
          <w:i w:val="false"/>
          <w:iCs w:val="false"/>
          <w:color w:val="1F2937"/>
          <w:sz w:val="21"/>
          <w:szCs w:val="21"/>
        </w:rPr>
        <w:t xml:space="preserve"> bir sinyal sistemi kurulmalıdır. Bunun gerekçesi:</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Açıklanabilirlik:</w:t>
      </w:r>
      <w:r>
        <w:rPr>
          <w:rFonts w:ascii="Arial" w:cs="Arial" w:eastAsia="Arial" w:hAnsi="Arial"/>
          <w:color w:val="1F2937"/>
          <w:sz w:val="21"/>
          <w:szCs w:val="21"/>
        </w:rPr>
        <w:t xml:space="preserve"> Kural tabanlı sistem neden alım/satım yaptığını net olarak açıklayabilir. RL kara kutudur ve hata ayıklama çok zordur.</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Baseline oluşturma:</w:t>
      </w:r>
      <w:r>
        <w:rPr>
          <w:rFonts w:ascii="Arial" w:cs="Arial" w:eastAsia="Arial" w:hAnsi="Arial"/>
          <w:color w:val="1F2937"/>
          <w:sz w:val="21"/>
          <w:szCs w:val="21"/>
        </w:rPr>
        <w:t xml:space="preserve"> RL’in değerini ölçmek için önce kural tabanlı bir baseline gerekir. RL bu baseline’ı geçemiyorsa, RL eklemenin anlamı yoktur.</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Hızlı iterasyon:</w:t>
      </w:r>
      <w:r>
        <w:rPr>
          <w:rFonts w:ascii="Arial" w:cs="Arial" w:eastAsia="Arial" w:hAnsi="Arial"/>
          <w:color w:val="1F2937"/>
          <w:sz w:val="21"/>
          <w:szCs w:val="21"/>
        </w:rPr>
        <w:t xml:space="preserve"> Kural değiştirmek, RL modelini yeniden eğitmekten çok daha hızlıdır.</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VİOP’a uygunluk:</w:t>
      </w:r>
      <w:r>
        <w:rPr>
          <w:rFonts w:ascii="Arial" w:cs="Arial" w:eastAsia="Arial" w:hAnsi="Arial"/>
          <w:color w:val="1F2937"/>
          <w:sz w:val="21"/>
          <w:szCs w:val="21"/>
        </w:rPr>
        <w:t xml:space="preserve"> Düşük veri hacminde RL eğitmek zor; kural tabanlı sistem hemen çalışır.</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Manuel işlem tecrübesi:</w:t>
      </w:r>
      <w:r>
        <w:rPr>
          <w:rFonts w:ascii="Arial" w:cs="Arial" w:eastAsia="Arial" w:hAnsi="Arial"/>
          <w:color w:val="1F2937"/>
          <w:sz w:val="21"/>
          <w:szCs w:val="21"/>
        </w:rPr>
        <w:t xml:space="preserve"> %76.8 win rate’lik manuel geçmiş, zaten etkili kuralların var olduğunu gösterir. Bunları kodlamak ilk adımdır.</w:t>
      </w:r>
    </w:p>
    <w:p>
      <w:pPr>
        <w:spacing w:after="50"/>
      </w:pPr>
    </w:p>
    <w:p>
      <w:pPr>
        <w:spacing w:after="120" w:line="300"/>
        <w:jc w:val="both"/>
      </w:pPr>
      <w:r>
        <w:rPr>
          <w:rFonts w:ascii="Arial" w:cs="Arial" w:eastAsia="Arial" w:hAnsi="Arial"/>
          <w:i w:val="false"/>
          <w:iCs w:val="false"/>
          <w:color w:val="1F2937"/>
          <w:sz w:val="21"/>
          <w:szCs w:val="21"/>
        </w:rPr>
        <w:t xml:space="preserve"/>
      </w:r>
      <w:r>
        <w:rPr>
          <w:rFonts w:ascii="Arial" w:cs="Arial" w:eastAsia="Arial" w:hAnsi="Arial"/>
          <w:b/>
          <w:bCs/>
          <w:color w:val="1F2937"/>
          <w:sz w:val="21"/>
          <w:szCs w:val="21"/>
        </w:rPr>
        <w:t xml:space="preserve">Önerilen kural tabanlı sinyal seti:</w:t>
      </w:r>
      <w:r>
        <w:rPr>
          <w:rFonts w:ascii="Arial" w:cs="Arial" w:eastAsia="Arial" w:hAnsi="Arial"/>
          <w:i w:val="false"/>
          <w:iCs w:val="false"/>
          <w:color w:val="1F2937"/>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526"/>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Sinyal</w:t>
            </w:r>
          </w:p>
        </w:tc>
        <w:tc>
          <w:tcPr>
            <w:tcW w:type="dxa" w:w="3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Giriş Koşulu</w:t>
            </w:r>
          </w:p>
        </w:tc>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Stop Loss</w:t>
            </w:r>
          </w:p>
        </w:tc>
        <w:tc>
          <w:tcPr>
            <w:tcW w:type="dxa" w:w="25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Çıkış Koşulu</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TREND FOLLOW</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EMA(20) &gt; EMA(50) + ADX &gt; 25 + MACD histogram pozitif (3 bar üst üste)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1.5 × ATR(14) fiyatın altında</w:t>
            </w:r>
          </w:p>
        </w:tc>
        <w:tc>
          <w:tcPr>
            <w:tcW w:type="dxa" w:w="25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EMA(20) &lt; EMA(50) veya ADX &lt; 20 veya trailing stop (2 × ATR)</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MEAN REVERT</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RSI(14) &lt; 30 + Bollinger alt bant teması + ADX &lt; 20</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Bollinger alt bantının 1 ATR altında</w:t>
            </w:r>
          </w:p>
        </w:tc>
        <w:tc>
          <w:tcPr>
            <w:tcW w:type="dxa" w:w="25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RSI &gt; 50 veya Bollinger orta bandına ulaşma</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BREAKOUT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20 bar range kırılımı + hacim &gt; 20-bar ortalama × 1.5 + ATR genişleme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Range’in karşı kenarı</w:t>
            </w:r>
          </w:p>
        </w:tc>
        <w:tc>
          <w:tcPr>
            <w:tcW w:type="dxa" w:w="25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 × ATR kar veya range genişliğinin %80’i</w:t>
            </w:r>
          </w:p>
        </w:tc>
      </w:tr>
    </w:tbl>
    <w:p>
      <w:pPr>
        <w:spacing w:after="80"/>
      </w:pPr>
    </w:p>
    <w:p>
      <w:pPr>
        <w:spacing w:before="200" w:after="100"/>
      </w:pPr>
      <w:r>
        <w:rPr>
          <w:rFonts w:ascii="Arial" w:cs="Arial" w:eastAsia="Arial" w:hAnsi="Arial"/>
          <w:b/>
          <w:bCs/>
          <w:color w:val="1F2937"/>
          <w:sz w:val="22"/>
          <w:szCs w:val="22"/>
        </w:rPr>
        <w:t xml:space="preserve">2.2.2 Faz 2: Tek RL Ajanı Eklenmesi (6-12 Ay Sonrası)</w:t>
      </w:r>
    </w:p>
    <w:p>
      <w:pPr>
        <w:spacing w:after="120" w:line="300"/>
        <w:jc w:val="both"/>
      </w:pPr>
      <w:r>
        <w:rPr>
          <w:rFonts w:ascii="Arial" w:cs="Arial" w:eastAsia="Arial" w:hAnsi="Arial"/>
          <w:i w:val="false"/>
          <w:iCs w:val="false"/>
          <w:color w:val="1F2937"/>
          <w:sz w:val="21"/>
          <w:szCs w:val="21"/>
        </w:rPr>
        <w:t xml:space="preserve">Kural tabanlı sistem 6 ay canlıda çalışıp yeterli veri birikiminden sonra, </w:t>
      </w:r>
      <w:r>
        <w:rPr>
          <w:rFonts w:ascii="Arial" w:cs="Arial" w:eastAsia="Arial" w:hAnsi="Arial"/>
          <w:b/>
          <w:bCs/>
          <w:color w:val="1F2937"/>
          <w:sz w:val="21"/>
          <w:szCs w:val="21"/>
        </w:rPr>
        <w:t xml:space="preserve">tek bir PPO ajanı</w:t>
      </w:r>
      <w:r>
        <w:rPr>
          <w:rFonts w:ascii="Arial" w:cs="Arial" w:eastAsia="Arial" w:hAnsi="Arial"/>
          <w:i w:val="false"/>
          <w:iCs w:val="false"/>
          <w:color w:val="1F2937"/>
          <w:sz w:val="21"/>
          <w:szCs w:val="21"/>
        </w:rPr>
        <w:t xml:space="preserve"> eklenebilir. PPO’nun seçilme gerekçesi: En stabil RL algoritmasıdır, hyperparameter’lara duyarlılığı düşüktür, ve finansal RL literatüründe en çok test edilmiş olanıdır.</w:t>
      </w:r>
    </w:p>
    <w:p>
      <w:pPr>
        <w:spacing w:after="120" w:line="300"/>
        <w:jc w:val="both"/>
      </w:pPr>
      <w:r>
        <w:rPr>
          <w:rFonts w:ascii="Arial" w:cs="Arial" w:eastAsia="Arial" w:hAnsi="Arial"/>
          <w:i w:val="false"/>
          <w:iCs w:val="false"/>
          <w:color w:val="1F2937"/>
          <w:sz w:val="21"/>
          <w:szCs w:val="21"/>
        </w:rPr>
        <w:t xml:space="preserve">RL ajanının eklenmesi için önkoşullar:</w:t>
      </w:r>
    </w:p>
    <w:p>
      <w:pPr>
        <w:pStyle w:val="ListParagraph"/>
        <w:numPr>
          <w:ilvl w:val="0"/>
          <w:numId w:val="3"/>
        </w:numPr>
        <w:spacing w:after="80" w:line="280"/>
      </w:pPr>
      <w:r>
        <w:rPr>
          <w:rFonts w:ascii="Arial" w:cs="Arial" w:eastAsia="Arial" w:hAnsi="Arial"/>
          <w:color w:val="1F2937"/>
          <w:sz w:val="21"/>
          <w:szCs w:val="21"/>
        </w:rPr>
        <w:t xml:space="preserve">Kural tabanlı sistem en az 500 canlı işlem tamamlamış olmalı</w:t>
      </w:r>
    </w:p>
    <w:p>
      <w:pPr>
        <w:pStyle w:val="ListParagraph"/>
        <w:numPr>
          <w:ilvl w:val="0"/>
          <w:numId w:val="3"/>
        </w:numPr>
        <w:spacing w:after="80" w:line="280"/>
      </w:pPr>
      <w:r>
        <w:rPr>
          <w:rFonts w:ascii="Arial" w:cs="Arial" w:eastAsia="Arial" w:hAnsi="Arial"/>
          <w:color w:val="1F2937"/>
          <w:sz w:val="21"/>
          <w:szCs w:val="21"/>
        </w:rPr>
        <w:t xml:space="preserve">En az 6 aylık temiz, etiketlenmiş işlem verisi mevcut olmalı</w:t>
      </w:r>
    </w:p>
    <w:p>
      <w:pPr>
        <w:pStyle w:val="ListParagraph"/>
        <w:numPr>
          <w:ilvl w:val="0"/>
          <w:numId w:val="3"/>
        </w:numPr>
        <w:spacing w:after="80" w:line="280"/>
      </w:pPr>
      <w:r>
        <w:rPr>
          <w:rFonts w:ascii="Arial" w:cs="Arial" w:eastAsia="Arial" w:hAnsi="Arial"/>
          <w:color w:val="1F2937"/>
          <w:sz w:val="21"/>
          <w:szCs w:val="21"/>
        </w:rPr>
        <w:t xml:space="preserve">Kural tabanlı sistemin Sharpe Ratio’su baseline olarak kaydedilmiş olmalı</w:t>
      </w:r>
    </w:p>
    <w:p>
      <w:pPr>
        <w:pStyle w:val="ListParagraph"/>
        <w:numPr>
          <w:ilvl w:val="0"/>
          <w:numId w:val="3"/>
        </w:numPr>
        <w:spacing w:after="80" w:line="280"/>
      </w:pPr>
      <w:r>
        <w:rPr>
          <w:rFonts w:ascii="Arial" w:cs="Arial" w:eastAsia="Arial" w:hAnsi="Arial"/>
          <w:color w:val="1F2937"/>
          <w:sz w:val="21"/>
          <w:szCs w:val="21"/>
        </w:rPr>
        <w:t xml:space="preserve">RL ajanı OOS testinde baseline’ı en az %10 geçmeli</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2400E" w:sz="12"/>
              <w:bottom w:val="none" w:sz="0"/>
              <w:right w:val="none" w:sz="0"/>
            </w:tcBorders>
            <w:shd w:fill="FEF3C7" w:val="clear"/>
            <w:tcMar>
              <w:top w:type="dxa" w:w="100"/>
              <w:left w:type="dxa" w:w="150"/>
              <w:bottom w:type="dxa" w:w="100"/>
              <w:right w:type="dxa" w:w="150"/>
            </w:tcMar>
          </w:tcPr>
          <w:p>
            <w:pPr>
              <w:spacing w:after="60"/>
            </w:pPr>
            <w:r>
              <w:rPr>
                <w:rFonts w:ascii="Arial" w:cs="Arial" w:eastAsia="Arial" w:hAnsi="Arial"/>
                <w:b/>
                <w:bCs/>
                <w:color w:val="92400E"/>
                <w:sz w:val="20"/>
                <w:szCs w:val="20"/>
              </w:rPr>
              <w:t xml:space="preserve">ENSEMBLE RL HAKKINDA</w:t>
            </w:r>
          </w:p>
          <w:p>
            <w:pPr>
              <w:spacing w:after="0"/>
            </w:pPr>
            <w:r>
              <w:rPr>
                <w:rFonts w:ascii="Arial" w:cs="Arial" w:eastAsia="Arial" w:hAnsi="Arial"/>
                <w:color w:val="92400E"/>
                <w:sz w:val="19"/>
                <w:szCs w:val="19"/>
              </w:rPr>
              <w:t xml:space="preserve">PPO + A2C + DDPG ensemble’ı v10.1’in en iddialı bileşenidir ama en riskli olanıdır. Her RL ajanı ayrı eğitim, ayrı hyperparameter tuning, ayrı validation gerektirir. Meta-controller ile ağırlık öğrenme ise üçüncü bir karmaşıklık katmanı ekler. Öneri: Önce tek PPO, en az 12 ay başarılı çalışırsa A2C eklenmesi düşünülebilir. DDPG ise continuous action space için tasarlanmıştır — VİOP’ta lot büyüklüğü genellikle discrete’tir, dolayısıyla DDPG’nin katkısı sorgulanabilir.</w:t>
            </w:r>
          </w:p>
        </w:tc>
      </w:tr>
    </w:tbl>
    <w:p>
      <w:pPr>
        <w:spacing w:after="80"/>
      </w:pPr>
    </w:p>
    <w:p>
      <w:pPr>
        <w:spacing w:before="200" w:after="100"/>
      </w:pPr>
      <w:r>
        <w:rPr>
          <w:rFonts w:ascii="Arial" w:cs="Arial" w:eastAsia="Arial" w:hAnsi="Arial"/>
          <w:b/>
          <w:bCs/>
          <w:color w:val="1F2937"/>
          <w:sz w:val="22"/>
          <w:szCs w:val="22"/>
        </w:rPr>
        <w:t xml:space="preserve">2.2.3 Reward Fonksiyonu Tasarımı (v10.1’de Eksik)</w:t>
      </w:r>
    </w:p>
    <w:p>
      <w:pPr>
        <w:spacing w:after="120" w:line="300"/>
        <w:jc w:val="both"/>
      </w:pPr>
      <w:r>
        <w:rPr>
          <w:rFonts w:ascii="Arial" w:cs="Arial" w:eastAsia="Arial" w:hAnsi="Arial"/>
          <w:i w:val="false"/>
          <w:iCs w:val="false"/>
          <w:color w:val="1F2937"/>
          <w:sz w:val="21"/>
          <w:szCs w:val="21"/>
        </w:rPr>
        <w:t xml:space="preserve">v10.1 dokümanı RL reward fonksiyonunu detaylandırmamıştır. Bu, sistemin kalbinin eksik olması demektir. Aşağıda endüstri standardı bir reward tasarımı: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000"/>
        <w:gridCol w:w="3526"/>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Bileşen</w:t>
            </w:r>
          </w:p>
        </w:tc>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Formül</w:t>
            </w:r>
          </w:p>
        </w:tc>
        <w:tc>
          <w:tcPr>
            <w:tcW w:type="dxa" w:w="1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Ağırlık</w:t>
            </w:r>
          </w:p>
        </w:tc>
        <w:tc>
          <w:tcPr>
            <w:tcW w:type="dxa" w:w="35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Açıklama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Risk-Adjusted Return</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r_t / σ_t (differential Sharpe)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%40</w:t>
            </w:r>
          </w:p>
        </w:tc>
        <w:tc>
          <w:tcPr>
            <w:tcW w:type="dxa" w:w="35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Ham return yerine risk-adjusted return ödüllendirir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Drawdown Penaltı</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-λ × max(DD_t - DD_threshold, 0)²</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%25</w:t>
            </w:r>
          </w:p>
        </w:tc>
        <w:tc>
          <w:tcPr>
            <w:tcW w:type="dxa" w:w="35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Drawdown eşiğini aşma quadratic olarak cezalandırılır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Transaction Cost</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-c × |action_t - action_{t-1}|</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%15</w:t>
            </w:r>
          </w:p>
        </w:tc>
        <w:tc>
          <w:tcPr>
            <w:tcW w:type="dxa" w:w="35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Sık pozisyon değiştirmeyi cezalandırır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Holding Penalty</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-h × max(holding_time - T_max, 0)</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%10</w:t>
            </w:r>
          </w:p>
        </w:tc>
        <w:tc>
          <w:tcPr>
            <w:tcW w:type="dxa" w:w="35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Aşırı uzun pozisyon tutmayı cezalandırır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Win Rate Bonus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+w × I(r_t &gt; 0)</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%10</w:t>
            </w:r>
          </w:p>
        </w:tc>
        <w:tc>
          <w:tcPr>
            <w:tcW w:type="dxa" w:w="35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Pozitif işlemi ek olarak ödüllendirir</w:t>
            </w:r>
          </w:p>
        </w:tc>
      </w:tr>
    </w:tbl>
    <w:p>
      <w:pPr>
        <w:spacing w:after="80"/>
      </w:pPr>
    </w:p>
    <w:p>
      <w:pPr>
        <w:spacing w:before="200" w:after="100"/>
      </w:pPr>
      <w:r>
        <w:rPr>
          <w:rFonts w:ascii="Arial" w:cs="Arial" w:eastAsia="Arial" w:hAnsi="Arial"/>
          <w:b/>
          <w:bCs/>
          <w:color w:val="1F2937"/>
          <w:sz w:val="22"/>
          <w:szCs w:val="22"/>
        </w:rPr>
        <w:t xml:space="preserve">2.2.4 Feature Engineering (v10.1’de Eksik)</w:t>
      </w:r>
    </w:p>
    <w:p>
      <w:pPr>
        <w:spacing w:after="120" w:line="300"/>
        <w:jc w:val="both"/>
      </w:pPr>
      <w:r>
        <w:rPr>
          <w:rFonts w:ascii="Arial" w:cs="Arial" w:eastAsia="Arial" w:hAnsi="Arial"/>
          <w:i w:val="false"/>
          <w:iCs w:val="false"/>
          <w:color w:val="1F2937"/>
          <w:sz w:val="21"/>
          <w:szCs w:val="21"/>
        </w:rPr>
        <w:t xml:space="preserve">RL ajanına beslenecek feature’lar, modelin başarısının %50-70’ini belirler. Önerilen feature seti: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Kategori</w:t>
            </w:r>
          </w:p>
        </w:tc>
        <w:tc>
          <w:tcPr>
            <w:tcW w:type="dxa" w:w="40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Feature’lar</w:t>
            </w:r>
          </w:p>
        </w:tc>
        <w:tc>
          <w:tcPr>
            <w:tcW w:type="dxa" w:w="3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Hesaplama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Fiyat Aksiyonu</w:t>
            </w:r>
          </w:p>
        </w:tc>
        <w:tc>
          <w:tcPr>
            <w:tcW w:type="dxa" w:w="4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Return (1m, 5m, 15m, 1h), log return, realized volatility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Standart finansal hesaplamalar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Teknik İndikatörler</w:t>
            </w:r>
          </w:p>
        </w:tc>
        <w:tc>
          <w:tcPr>
            <w:tcW w:type="dxa" w:w="4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RSI(14), MACD(12,26,9), ADX(14), Bollinger Band %B, ATR(14)</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TA-Lib veya pandas_ta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Hacim</w:t>
            </w:r>
          </w:p>
        </w:tc>
        <w:tc>
          <w:tcPr>
            <w:tcW w:type="dxa" w:w="4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Normalize hacim (20-bar z-score), VWAP sapma, hacim trendı</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Hacim / 20-bar ortalama</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Spread &amp; Likidite</w:t>
            </w:r>
          </w:p>
        </w:tc>
        <w:tc>
          <w:tcPr>
            <w:tcW w:type="dxa" w:w="4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Bid-ask spread (z-score), spread genişleme oranı</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Canlı tick verisinden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Pozisyon Durumu</w:t>
            </w:r>
          </w:p>
        </w:tc>
        <w:tc>
          <w:tcPr>
            <w:tcW w:type="dxa" w:w="4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Açık pozisyon yönü, floating PnL, pozisyon süresi</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MT5 pozisyon verisi</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Zaman</w:t>
            </w:r>
          </w:p>
        </w:tc>
        <w:tc>
          <w:tcPr>
            <w:tcW w:type="dxa" w:w="4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Saat (sin/cos encode), haftagünü, ay</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Cyclical encoding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Rejim</w:t>
            </w:r>
          </w:p>
        </w:tc>
        <w:tc>
          <w:tcPr>
            <w:tcW w:type="dxa" w:w="4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HMM state probabilities (4 değer)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HMM \u00E7ıktısı</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E3A5F" w:sz="12"/>
              <w:bottom w:val="none" w:sz="0"/>
              <w:right w:val="none" w:sz="0"/>
            </w:tcBorders>
            <w:shd w:fill="E8F0FE" w:val="clear"/>
            <w:tcMar>
              <w:top w:type="dxa" w:w="100"/>
              <w:left w:type="dxa" w:w="150"/>
              <w:bottom w:type="dxa" w:w="100"/>
              <w:right w:type="dxa" w:w="150"/>
            </w:tcMar>
          </w:tcPr>
          <w:p>
            <w:pPr>
              <w:spacing w:after="60"/>
            </w:pPr>
            <w:r>
              <w:rPr>
                <w:rFonts w:ascii="Arial" w:cs="Arial" w:eastAsia="Arial" w:hAnsi="Arial"/>
                <w:b/>
                <w:bCs/>
                <w:color w:val="1E3A5F"/>
                <w:sz w:val="20"/>
                <w:szCs w:val="20"/>
              </w:rPr>
              <w:t xml:space="preserve">FEATURE NORMALIZASYONU KRITIK</w:t>
            </w:r>
          </w:p>
          <w:p>
            <w:pPr>
              <w:spacing w:after="0"/>
            </w:pPr>
            <w:r>
              <w:rPr>
                <w:rFonts w:ascii="Arial" w:cs="Arial" w:eastAsia="Arial" w:hAnsi="Arial"/>
                <w:color w:val="1E3A5F"/>
                <w:sz w:val="19"/>
                <w:szCs w:val="19"/>
              </w:rPr>
              <w:t xml:space="preserve">Tüm feature’lar [-1, 1] veya [0, 1] aralığına normalize edilmelidir. Finansal veride outlier’lar yaygındır; robust scaler (median/IQR bazlı) veya winsorization kullanılmalıdır. Standard scaler tek başına yeterli değildir.</w:t>
            </w:r>
          </w:p>
        </w:tc>
      </w:tr>
    </w:tbl>
    <w:p>
      <w:r>
        <w:br w:type="page"/>
      </w:r>
    </w:p>
    <w:p>
      <w:pPr>
        <w:pStyle w:val="Heading1"/>
        <w:spacing w:before="400" w:after="200"/>
      </w:pPr>
      <w:r>
        <w:rPr>
          <w:rFonts w:ascii="Arial" w:cs="Arial" w:eastAsia="Arial" w:hAnsi="Arial"/>
          <w:b/>
          <w:bCs/>
          <w:color w:val="1E3A5F"/>
          <w:sz w:val="32"/>
          <w:szCs w:val="32"/>
        </w:rPr>
        <w:t xml:space="preserve">BÖLÜM 3: BABA — RİSK YÖNETİMİ (Yeniden Tasarlanmış)</w:t>
      </w:r>
    </w:p>
    <w:p>
      <w:pPr>
        <w:pStyle w:val="Heading2"/>
        <w:spacing w:before="300" w:after="150"/>
      </w:pPr>
      <w:r>
        <w:rPr>
          <w:rFonts w:ascii="Arial" w:cs="Arial" w:eastAsia="Arial" w:hAnsi="Arial"/>
          <w:b/>
          <w:bCs/>
          <w:color w:val="1E3A5F"/>
          <w:sz w:val="26"/>
          <w:szCs w:val="26"/>
        </w:rPr>
        <w:t xml:space="preserve">3.1 Fake Sinyal Analizi: 7 Katmandan 4 Katmana</w:t>
      </w:r>
    </w:p>
    <w:p>
      <w:pPr>
        <w:spacing w:after="120" w:line="300"/>
        <w:jc w:val="both"/>
      </w:pPr>
      <w:r>
        <w:rPr>
          <w:rFonts w:ascii="Arial" w:cs="Arial" w:eastAsia="Arial" w:hAnsi="Arial"/>
          <w:i w:val="false"/>
          <w:iCs w:val="false"/>
          <w:color w:val="1F2937"/>
          <w:sz w:val="21"/>
          <w:szCs w:val="21"/>
        </w:rPr>
        <w:t xml:space="preserve">v10.1’in 7 katmanlı fake sinyal analizi kavramsal olarak güçlüdür. Ancak gerçek zamanlı piyasada 7 katmanı her tick’te çalıştırmak hem performans hem bakım açısından sorunludur. Endüstri pratiği: Az ama etkili filtreler, çok ama zayıf filtrelerden üstündür.</w:t>
      </w:r>
    </w:p>
    <w:p>
      <w:pPr>
        <w:spacing w:after="120" w:line="300"/>
        <w:jc w:val="both"/>
      </w:pPr>
      <w:r>
        <w:rPr>
          <w:rFonts w:ascii="Arial" w:cs="Arial" w:eastAsia="Arial" w:hAnsi="Arial"/>
          <w:i w:val="false"/>
          <w:iCs w:val="false"/>
          <w:color w:val="1F2937"/>
          <w:sz w:val="21"/>
          <w:szCs w:val="21"/>
        </w:rPr>
        <w:t xml:space="preserve"/>
      </w:r>
      <w:r>
        <w:rPr>
          <w:rFonts w:ascii="Arial" w:cs="Arial" w:eastAsia="Arial" w:hAnsi="Arial"/>
          <w:b/>
          <w:bCs/>
          <w:color w:val="1F2937"/>
          <w:sz w:val="21"/>
          <w:szCs w:val="21"/>
        </w:rPr>
        <w:t xml:space="preserve">Önerilen 4 katmanlı sistem:</w:t>
      </w:r>
      <w:r>
        <w:rPr>
          <w:rFonts w:ascii="Arial" w:cs="Arial" w:eastAsia="Arial" w:hAnsi="Arial"/>
          <w:i w:val="false"/>
          <w:iCs w:val="false"/>
          <w:color w:val="1F2937"/>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826"/>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Katman</w:t>
            </w:r>
          </w:p>
        </w:tc>
        <w:tc>
          <w:tcPr>
            <w:tcW w:type="dxa" w:w="2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Kontrol</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Neden Kritik</w:t>
            </w:r>
          </w:p>
        </w:tc>
        <w:tc>
          <w:tcPr>
            <w:tcW w:type="dxa" w:w="18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Eşik</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 Hacim Doğrulama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İşlem hacmi / 20-bar ortalama</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Düşük hacimde kırılımlar genellikle sahtedir; bu tek başına fake sinyallerin %40-50'sini yakalar</w:t>
            </w:r>
          </w:p>
        </w:tc>
        <w:tc>
          <w:tcPr>
            <w:tcW w:type="dxa" w:w="18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Hacim oranı &lt; 0.7 → FAKE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 Spread Kontrolü</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Mevcut spread / 20-bar ortalama spread</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Anormal spread = düşük likidite veya manipülasyon; VİOP’ta bu çok yaygın</w:t>
            </w:r>
          </w:p>
        </w:tc>
        <w:tc>
          <w:tcPr>
            <w:tcW w:type="dxa" w:w="18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Spread oranı &gt; 2.5 → FAKE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 Multi-TF Uyum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M5, M15, H1 yön uyumu</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Tek timeframe’de sinyal görüp diğerlerinde çelişki = gürültü</w:t>
            </w:r>
          </w:p>
        </w:tc>
        <w:tc>
          <w:tcPr>
            <w:tcW w:type="dxa" w:w="18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En az 2/3 TF aynı yön olmalı</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4. Momentum Tükenmesi</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RSI aşırı bölge + MACD diverjans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Tükenmiş momentumda açılan işlem = dönüş riski yüksek</w:t>
            </w:r>
          </w:p>
        </w:tc>
        <w:tc>
          <w:tcPr>
            <w:tcW w:type="dxa" w:w="18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RSI &gt; 75 veya &lt; 25 + diverjans → FAKE</w:t>
            </w:r>
          </w:p>
        </w:tc>
      </w:tr>
    </w:tbl>
    <w:p>
      <w:pPr>
        <w:spacing w:after="80"/>
      </w:pPr>
    </w:p>
    <w:p>
      <w:pPr>
        <w:spacing w:after="120" w:line="300"/>
        <w:jc w:val="both"/>
      </w:pPr>
      <w:r>
        <w:rPr>
          <w:rFonts w:ascii="Arial" w:cs="Arial" w:eastAsia="Arial" w:hAnsi="Arial"/>
          <w:i w:val="false"/>
          <w:iCs w:val="false"/>
          <w:color w:val="1F2937"/>
          <w:sz w:val="21"/>
          <w:szCs w:val="21"/>
        </w:rPr>
        <w:t xml:space="preserve"/>
      </w:r>
      <w:r>
        <w:rPr>
          <w:rFonts w:ascii="Arial" w:cs="Arial" w:eastAsia="Arial" w:hAnsi="Arial"/>
          <w:b/>
          <w:bCs/>
          <w:color w:val="1F2937"/>
          <w:sz w:val="21"/>
          <w:szCs w:val="21"/>
        </w:rPr>
        <w:t xml:space="preserve">Kaldırılan katmanlar ve gerekçesi:</w:t>
      </w:r>
      <w:r>
        <w:rPr>
          <w:rFonts w:ascii="Arial" w:cs="Arial" w:eastAsia="Arial" w:hAnsi="Arial"/>
          <w:i w:val="false"/>
          <w:iCs w:val="false"/>
          <w:color w:val="1F2937"/>
          <w:sz w:val="21"/>
          <w:szCs w:val="21"/>
        </w:rPr>
        <w:t xml:space="preserve"/>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Trend (EMA sıralaması):</w:t>
      </w:r>
      <w:r>
        <w:rPr>
          <w:rFonts w:ascii="Arial" w:cs="Arial" w:eastAsia="Arial" w:hAnsi="Arial"/>
          <w:color w:val="1F2937"/>
          <w:sz w:val="21"/>
          <w:szCs w:val="21"/>
        </w:rPr>
        <w:t xml:space="preserve"> Bu zaten sinyal üretiminde kullanılıyor; BABA’da tekrar etmek gereksiz.</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Diverjans (ayrı katman):</w:t>
      </w:r>
      <w:r>
        <w:rPr>
          <w:rFonts w:ascii="Arial" w:cs="Arial" w:eastAsia="Arial" w:hAnsi="Arial"/>
          <w:color w:val="1F2937"/>
          <w:sz w:val="21"/>
          <w:szCs w:val="21"/>
        </w:rPr>
        <w:t xml:space="preserve"> Momentum tükenmesi katmanına entegre edildi.</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Emir Akışı (gövde/gölge analizi):</w:t>
      </w:r>
      <w:r>
        <w:rPr>
          <w:rFonts w:ascii="Arial" w:cs="Arial" w:eastAsia="Arial" w:hAnsi="Arial"/>
          <w:color w:val="1F2937"/>
          <w:sz w:val="21"/>
          <w:szCs w:val="21"/>
        </w:rPr>
        <w:t xml:space="preserve"> VİOP’ta bar bazlı gölge analizi güvenilir değil; tick bazlı order flow verisi gerekir ki bu mevcut değil.</w:t>
      </w:r>
    </w:p>
    <w:p>
      <w:pPr>
        <w:spacing w:after="50"/>
      </w:pPr>
    </w:p>
    <w:p>
      <w:pPr>
        <w:pStyle w:val="Heading2"/>
        <w:spacing w:before="300" w:after="150"/>
      </w:pPr>
      <w:r>
        <w:rPr>
          <w:rFonts w:ascii="Arial" w:cs="Arial" w:eastAsia="Arial" w:hAnsi="Arial"/>
          <w:b/>
          <w:bCs/>
          <w:color w:val="1E3A5F"/>
          <w:sz w:val="26"/>
          <w:szCs w:val="26"/>
        </w:rPr>
        <w:t xml:space="preserve">3.2 Risk Limitleri (Gerçekçi Düzenleme)</w:t>
      </w:r>
    </w:p>
    <w:p>
      <w:pPr>
        <w:spacing w:after="120" w:line="300"/>
        <w:jc w:val="both"/>
      </w:pPr>
      <w:r>
        <w:rPr>
          <w:rFonts w:ascii="Arial" w:cs="Arial" w:eastAsia="Arial" w:hAnsi="Arial"/>
          <w:i w:val="false"/>
          <w:iCs w:val="false"/>
          <w:color w:val="1F2937"/>
          <w:sz w:val="21"/>
          <w:szCs w:val="21"/>
        </w:rPr>
        <w:t xml:space="preserve">v10.1’in risk limitleri genel olarak sağlam ama bazı değerler VİOP gerçekliğiyle uyumlu hale getirilmelidir: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3926"/>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Limit</w:t>
            </w:r>
          </w:p>
        </w:tc>
        <w:tc>
          <w:tcPr>
            <w:tcW w:type="dxa" w:w="1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v10.1 Değeri</w:t>
            </w:r>
          </w:p>
        </w:tc>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Önerilen</w:t>
            </w:r>
          </w:p>
        </w:tc>
        <w:tc>
          <w:tcPr>
            <w:tcW w:type="dxa" w:w="39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Gerekçe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Günlük Zarar</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 equity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%2 equity</w:t>
            </w:r>
            <w:r>
              <w:rPr>
                <w:rFonts w:ascii="Arial" w:cs="Arial" w:eastAsia="Arial" w:hAnsi="Arial"/>
                <w:color w:val="1F2937"/>
                <w:sz w:val="18"/>
                <w:szCs w:val="18"/>
              </w:rPr>
              <w:t xml:space="preserve"/>
            </w:r>
          </w:p>
        </w:tc>
        <w:tc>
          <w:tcPr>
            <w:tcW w:type="dxa" w:w="39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Faz 0-1 için %3 çok yüksek; micro lot’ta bile 3 kötü işlem %3’e ulaşabilir</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Haftalık Zarar</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%7 equity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%5 equity</w:t>
            </w:r>
            <w:r>
              <w:rPr>
                <w:rFonts w:ascii="Arial" w:cs="Arial" w:eastAsia="Arial" w:hAnsi="Arial"/>
                <w:color w:val="1F2937"/>
                <w:sz w:val="18"/>
                <w:szCs w:val="18"/>
              </w:rPr>
              <w:t xml:space="preserve"/>
            </w:r>
          </w:p>
        </w:tc>
        <w:tc>
          <w:tcPr>
            <w:tcW w:type="dxa" w:w="39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Haftalık %7 zarar, aylık %28 potansiyel zarar demek — kabul edilemez</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Aylık Zarar</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%12 equity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%8 equity</w:t>
            </w:r>
            <w:r>
              <w:rPr>
                <w:rFonts w:ascii="Arial" w:cs="Arial" w:eastAsia="Arial" w:hAnsi="Arial"/>
                <w:color w:val="1F2937"/>
                <w:sz w:val="18"/>
                <w:szCs w:val="18"/>
              </w:rPr>
              <w:t xml:space="preserve"/>
            </w:r>
          </w:p>
        </w:tc>
        <w:tc>
          <w:tcPr>
            <w:tcW w:type="dxa" w:w="39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Aylık %12 zarar sonrası psikolojik ve finansal toparlanma çok zor</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Max Drawdown</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%10 equity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%10 equity</w:t>
            </w:r>
            <w:r>
              <w:rPr>
                <w:rFonts w:ascii="Arial" w:cs="Arial" w:eastAsia="Arial" w:hAnsi="Arial"/>
                <w:color w:val="1F2937"/>
                <w:sz w:val="18"/>
                <w:szCs w:val="18"/>
              </w:rPr>
              <w:t xml:space="preserve"> (değişmedi)</w:t>
            </w:r>
          </w:p>
        </w:tc>
        <w:tc>
          <w:tcPr>
            <w:tcW w:type="dxa" w:w="39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Bu değer makul; hard stop %15 de uygun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Üst Üste Kayıp</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5 işlem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3 işlem</w:t>
            </w:r>
            <w:r>
              <w:rPr>
                <w:rFonts w:ascii="Arial" w:cs="Arial" w:eastAsia="Arial" w:hAnsi="Arial"/>
                <w:color w:val="1F2937"/>
                <w:sz w:val="18"/>
                <w:szCs w:val="18"/>
              </w:rPr>
              <w:t xml:space="preserve"/>
            </w:r>
          </w:p>
        </w:tc>
        <w:tc>
          <w:tcPr>
            <w:tcW w:type="dxa" w:w="39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VİOP’ta 5 üst üste kayıp ciddi bir sinyal; 3’te müdahale daha güvenli</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Floating Loss</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 equity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%1.5 equity</w:t>
            </w:r>
            <w:r>
              <w:rPr>
                <w:rFonts w:ascii="Arial" w:cs="Arial" w:eastAsia="Arial" w:hAnsi="Arial"/>
                <w:color w:val="1F2937"/>
                <w:sz w:val="18"/>
                <w:szCs w:val="18"/>
              </w:rPr>
              <w:t xml:space="preserve"/>
            </w:r>
          </w:p>
        </w:tc>
        <w:tc>
          <w:tcPr>
            <w:tcW w:type="dxa" w:w="39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Açık pozisyon kaybı equity’nin %2’sine ulaştıysa risk yönetimi devreye girmeli</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Günlük Max İşlem</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Belirsiz</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5 işlem</w:t>
            </w:r>
            <w:r>
              <w:rPr>
                <w:rFonts w:ascii="Arial" w:cs="Arial" w:eastAsia="Arial" w:hAnsi="Arial"/>
                <w:color w:val="1F2937"/>
                <w:sz w:val="18"/>
                <w:szCs w:val="18"/>
              </w:rPr>
              <w:t xml:space="preserve"/>
            </w:r>
          </w:p>
        </w:tc>
        <w:tc>
          <w:tcPr>
            <w:tcW w:type="dxa" w:w="39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Over-trading en yaygın bot hatası; günlük limit şart</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Cool-down Süresi</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 saat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4 saat</w:t>
            </w:r>
            <w:r>
              <w:rPr>
                <w:rFonts w:ascii="Arial" w:cs="Arial" w:eastAsia="Arial" w:hAnsi="Arial"/>
                <w:color w:val="1F2937"/>
                <w:sz w:val="18"/>
                <w:szCs w:val="18"/>
              </w:rPr>
              <w:t xml:space="preserve"/>
            </w:r>
          </w:p>
        </w:tc>
        <w:tc>
          <w:tcPr>
            <w:tcW w:type="dxa" w:w="39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Üst üste kayıp sonrası piyasanın sakinleşmesi için 4 saat daha uygun</w:t>
            </w:r>
          </w:p>
        </w:tc>
      </w:tr>
    </w:tbl>
    <w:p>
      <w:pPr>
        <w:spacing w:after="80"/>
      </w:pPr>
    </w:p>
    <w:p>
      <w:pPr>
        <w:pStyle w:val="Heading2"/>
        <w:spacing w:before="300" w:after="150"/>
      </w:pPr>
      <w:r>
        <w:rPr>
          <w:rFonts w:ascii="Arial" w:cs="Arial" w:eastAsia="Arial" w:hAnsi="Arial"/>
          <w:b/>
          <w:bCs/>
          <w:color w:val="1E3A5F"/>
          <w:sz w:val="26"/>
          <w:szCs w:val="26"/>
        </w:rPr>
        <w:t xml:space="preserve">3.3 Pozisyon Büyüklüğü — Quarter Kelly Hakkında</w:t>
      </w:r>
    </w:p>
    <w:p>
      <w:pPr>
        <w:spacing w:after="120" w:line="300"/>
        <w:jc w:val="both"/>
      </w:pPr>
      <w:r>
        <w:rPr>
          <w:rFonts w:ascii="Arial" w:cs="Arial" w:eastAsia="Arial" w:hAnsi="Arial"/>
          <w:i w:val="false"/>
          <w:iCs w:val="false"/>
          <w:color w:val="1F2937"/>
          <w:sz w:val="21"/>
          <w:szCs w:val="21"/>
        </w:rPr>
        <w:t xml:space="preserve">v10.1’in quarter Kelly yaklaşımı doğru yöndedir. Ancak kritik bir nokta: Kelly Criterion’ın girdisi olan win rate ve ortalama kar/zarar, </w:t>
      </w:r>
      <w:r>
        <w:rPr>
          <w:rFonts w:ascii="Arial" w:cs="Arial" w:eastAsia="Arial" w:hAnsi="Arial"/>
          <w:b/>
          <w:bCs/>
          <w:color w:val="1F2937"/>
          <w:sz w:val="21"/>
          <w:szCs w:val="21"/>
        </w:rPr>
        <w:t xml:space="preserve">canlı işlem verisinden</w:t>
      </w:r>
      <w:r>
        <w:rPr>
          <w:rFonts w:ascii="Arial" w:cs="Arial" w:eastAsia="Arial" w:hAnsi="Arial"/>
          <w:i w:val="false"/>
          <w:iCs w:val="false"/>
          <w:color w:val="1F2937"/>
          <w:sz w:val="21"/>
          <w:szCs w:val="21"/>
        </w:rPr>
        <w:t xml:space="preserve"> hesaplanmalıdır, backtest verisinden değil. Backtest win rate’i her zaman şişiktir.</w:t>
      </w:r>
    </w:p>
    <w:p>
      <w:pPr>
        <w:spacing w:after="120" w:line="300"/>
        <w:jc w:val="both"/>
      </w:pPr>
      <w:r>
        <w:rPr>
          <w:rFonts w:ascii="Arial" w:cs="Arial" w:eastAsia="Arial" w:hAnsi="Arial"/>
          <w:i w:val="false"/>
          <w:iCs w:val="false"/>
          <w:color w:val="1F2937"/>
          <w:sz w:val="21"/>
          <w:szCs w:val="21"/>
        </w:rPr>
        <w:t xml:space="preserve">v10.1 base win rate olarak %76.8 (manuel geçmiş) kullanıyor. Bu tehlikelidir çünkü:</w:t>
      </w:r>
    </w:p>
    <w:p>
      <w:pPr>
        <w:pStyle w:val="ListParagraph"/>
        <w:numPr>
          <w:ilvl w:val="0"/>
          <w:numId w:val="2"/>
        </w:numPr>
        <w:spacing w:after="80" w:line="280"/>
      </w:pPr>
      <w:r>
        <w:rPr>
          <w:rFonts w:ascii="Arial" w:cs="Arial" w:eastAsia="Arial" w:hAnsi="Arial"/>
          <w:color w:val="1F2937"/>
          <w:sz w:val="21"/>
          <w:szCs w:val="21"/>
        </w:rPr>
        <w:t xml:space="preserve">Manuel işlem win rate’i, insan sezgisi ve diskresiyon içerir; bot bunu replike edemez.</w:t>
      </w:r>
    </w:p>
    <w:p>
      <w:pPr>
        <w:pStyle w:val="ListParagraph"/>
        <w:numPr>
          <w:ilvl w:val="0"/>
          <w:numId w:val="2"/>
        </w:numPr>
        <w:spacing w:after="80" w:line="280"/>
      </w:pPr>
      <w:r>
        <w:rPr>
          <w:rFonts w:ascii="Arial" w:cs="Arial" w:eastAsia="Arial" w:hAnsi="Arial"/>
          <w:color w:val="1F2937"/>
          <w:sz w:val="21"/>
          <w:szCs w:val="21"/>
        </w:rPr>
        <w:t xml:space="preserve">Algoritmik sistemlerin tipik win rate’i %45-55 aralığındadır (çoğu trend following stratejisi).</w:t>
      </w:r>
    </w:p>
    <w:p>
      <w:pPr>
        <w:pStyle w:val="ListParagraph"/>
        <w:numPr>
          <w:ilvl w:val="0"/>
          <w:numId w:val="2"/>
        </w:numPr>
        <w:spacing w:after="80" w:line="280"/>
      </w:pPr>
      <w:r>
        <w:rPr>
          <w:rFonts w:ascii="Arial" w:cs="Arial" w:eastAsia="Arial" w:hAnsi="Arial"/>
          <w:color w:val="1F2937"/>
          <w:sz w:val="21"/>
          <w:szCs w:val="21"/>
        </w:rPr>
        <w:t xml:space="preserve">Öneri: Başlangıçta win rate varsayımını %50 olarak al, quarter Kelly hesabını buna göre yap. Canlı veri birikince gerçek değere geç.</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91B1B" w:sz="12"/>
              <w:bottom w:val="none" w:sz="0"/>
              <w:right w:val="none" w:sz="0"/>
            </w:tcBorders>
            <w:shd w:fill="FEE2E2" w:val="clear"/>
            <w:tcMar>
              <w:top w:type="dxa" w:w="100"/>
              <w:left w:type="dxa" w:w="150"/>
              <w:bottom w:type="dxa" w:w="100"/>
              <w:right w:type="dxa" w:w="150"/>
            </w:tcMar>
          </w:tcPr>
          <w:p>
            <w:pPr>
              <w:spacing w:after="60"/>
            </w:pPr>
            <w:r>
              <w:rPr>
                <w:rFonts w:ascii="Arial" w:cs="Arial" w:eastAsia="Arial" w:hAnsi="Arial"/>
                <w:b/>
                <w:bCs/>
                <w:color w:val="991B1B"/>
                <w:sz w:val="20"/>
                <w:szCs w:val="20"/>
              </w:rPr>
              <w:t xml:space="preserve">POSITION SIZING ALTIN KURALI</w:t>
            </w:r>
          </w:p>
          <w:p>
            <w:pPr>
              <w:spacing w:after="0"/>
            </w:pPr>
            <w:r>
              <w:rPr>
                <w:rFonts w:ascii="Arial" w:cs="Arial" w:eastAsia="Arial" w:hAnsi="Arial"/>
                <w:color w:val="991B1B"/>
                <w:sz w:val="19"/>
                <w:szCs w:val="19"/>
              </w:rPr>
              <w:t xml:space="preserve">Herhangi bir tek işlemde risk ASLA equity’nin %2’sini geçmemelidir. Bu kural Kelly’den bağımsızdır ve üst sınır olarak her zaman uygulanır. Faz 0’da bu %0.5’e düşürülmelidir.</w:t>
            </w:r>
          </w:p>
        </w:tc>
      </w:tr>
    </w:tbl>
    <w:p>
      <w:r>
        <w:br w:type="page"/>
      </w:r>
    </w:p>
    <w:p>
      <w:pPr>
        <w:pStyle w:val="Heading1"/>
        <w:spacing w:before="400" w:after="200"/>
      </w:pPr>
      <w:r>
        <w:rPr>
          <w:rFonts w:ascii="Arial" w:cs="Arial" w:eastAsia="Arial" w:hAnsi="Arial"/>
          <w:b/>
          <w:bCs/>
          <w:color w:val="1E3A5F"/>
          <w:sz w:val="32"/>
          <w:szCs w:val="32"/>
        </w:rPr>
        <w:t xml:space="preserve">BÖLÜM 4: REJİM ALGILAMA — Basitleştirilmiş Yaklaşım</w:t>
      </w:r>
    </w:p>
    <w:p>
      <w:pPr>
        <w:spacing w:after="120" w:line="300"/>
        <w:jc w:val="both"/>
      </w:pPr>
      <w:r>
        <w:rPr>
          <w:rFonts w:ascii="Arial" w:cs="Arial" w:eastAsia="Arial" w:hAnsi="Arial"/>
          <w:i w:val="false"/>
          <w:iCs w:val="false"/>
          <w:color w:val="1F2937"/>
          <w:sz w:val="21"/>
          <w:szCs w:val="21"/>
        </w:rPr>
        <w:t xml:space="preserve">v10.1’in HMM + XGBoost pipeline’ı teorik olarak sağlam ama VİOP’un veri hacmiyle erken aşamada sorunlu olacaktır. Önerilen kademeli yaklaşım:</w:t>
      </w:r>
    </w:p>
    <w:p>
      <w:pPr>
        <w:pStyle w:val="Heading2"/>
        <w:spacing w:before="300" w:after="150"/>
      </w:pPr>
      <w:r>
        <w:rPr>
          <w:rFonts w:ascii="Arial" w:cs="Arial" w:eastAsia="Arial" w:hAnsi="Arial"/>
          <w:b/>
          <w:bCs/>
          <w:color w:val="1E3A5F"/>
          <w:sz w:val="26"/>
          <w:szCs w:val="26"/>
        </w:rPr>
        <w:t xml:space="preserve">4.1 Faz 1: Kural Tabanlı Rejim Algılama (Hemen)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26"/>
        <w:gridCol w:w="3500"/>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Rejim</w:t>
            </w:r>
          </w:p>
        </w:tc>
        <w:tc>
          <w:tcPr>
            <w:tcW w:type="dxa" w:w="40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Tespit Kuralı</w:t>
            </w:r>
          </w:p>
        </w:tc>
        <w:tc>
          <w:tcPr>
            <w:tcW w:type="dxa" w:w="3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Strateji Etkisi</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TREND</w:t>
            </w:r>
          </w:p>
        </w:tc>
        <w:tc>
          <w:tcPr>
            <w:tcW w:type="dxa" w:w="4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ADX(14) &gt; 25 VE EMA(20) ile EMA(50) arası mesafe artıyor</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Trend following sinyalleri aktif, mean reversion deaktif</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RANGE</w:t>
            </w:r>
          </w:p>
        </w:tc>
        <w:tc>
          <w:tcPr>
            <w:tcW w:type="dxa" w:w="4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ADX(14) &lt; 20 VE Bollinger Band genişliği &lt; 20-bar ortalama × 0.8</w:t>
            </w:r>
          </w:p>
        </w:tc>
        <w:tc>
          <w:tcPr>
            <w:tcW w:type="dxa" w:w="3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Mean reversion aktif, breakout bekle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VOLATILE</w:t>
            </w:r>
          </w:p>
        </w:tc>
        <w:tc>
          <w:tcPr>
            <w:tcW w:type="dxa" w:w="4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ATR(14) &gt; 20-bar ortalama × 2.0 VEYA spread &gt; normal × 3</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Tüm sinyaller durdurulur, sadece mevcut pozisyon yönetimi</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OLAY</w:t>
            </w:r>
          </w:p>
        </w:tc>
        <w:tc>
          <w:tcPr>
            <w:tcW w:type="dxa" w:w="4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TCMB/FED karar günü (takvimden) VEYA ani kur hareketi &gt; %2</w:t>
            </w:r>
          </w:p>
        </w:tc>
        <w:tc>
          <w:tcPr>
            <w:tcW w:type="dxa" w:w="3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Sistem pause, yeni işlem yok, mevcut pozisyonlar sıkı SL</w:t>
            </w:r>
          </w:p>
        </w:tc>
      </w:tr>
    </w:tbl>
    <w:p>
      <w:pPr>
        <w:spacing w:after="80"/>
      </w:pPr>
    </w:p>
    <w:p>
      <w:pPr>
        <w:pStyle w:val="Heading2"/>
        <w:spacing w:before="300" w:after="150"/>
      </w:pPr>
      <w:r>
        <w:rPr>
          <w:rFonts w:ascii="Arial" w:cs="Arial" w:eastAsia="Arial" w:hAnsi="Arial"/>
          <w:b/>
          <w:bCs/>
          <w:color w:val="1E3A5F"/>
          <w:sz w:val="26"/>
          <w:szCs w:val="26"/>
        </w:rPr>
        <w:t xml:space="preserve">4.2 Faz 2: HMM Eklenmesi (6+ Ay Sonrası)</w:t>
      </w:r>
    </w:p>
    <w:p>
      <w:pPr>
        <w:spacing w:after="120" w:line="300"/>
        <w:jc w:val="both"/>
      </w:pPr>
      <w:r>
        <w:rPr>
          <w:rFonts w:ascii="Arial" w:cs="Arial" w:eastAsia="Arial" w:hAnsi="Arial"/>
          <w:i w:val="false"/>
          <w:iCs w:val="false"/>
          <w:color w:val="1F2937"/>
          <w:sz w:val="21"/>
          <w:szCs w:val="21"/>
        </w:rPr>
        <w:t xml:space="preserve">Yeterli veri biriktikten sonra (en az 6 aylık temiz, etiketlenmiş veri), HMM kural tabanlı rejim algılamanın </w:t>
      </w:r>
      <w:r>
        <w:rPr>
          <w:rFonts w:ascii="Arial" w:cs="Arial" w:eastAsia="Arial" w:hAnsi="Arial"/>
          <w:b/>
          <w:bCs/>
          <w:color w:val="1F2937"/>
          <w:sz w:val="21"/>
          <w:szCs w:val="21"/>
        </w:rPr>
        <w:t xml:space="preserve">üzerine</w:t>
      </w:r>
      <w:r>
        <w:rPr>
          <w:rFonts w:ascii="Arial" w:cs="Arial" w:eastAsia="Arial" w:hAnsi="Arial"/>
          <w:i w:val="false"/>
          <w:iCs w:val="false"/>
          <w:color w:val="1F2937"/>
          <w:sz w:val="21"/>
          <w:szCs w:val="21"/>
        </w:rPr>
        <w:t xml:space="preserve"> eklenebilir — onu değiştirmek için değil. HMM’in katkısı: Rejimler arasındaki geçiş olasılıklarını tahmin etmek ve soft probability sağlamak. Kural tabanlı sistem binary karar verir (TREND veya değil); HMM ‘%72 TREND, %18 RANGE, %10 VOLATILE’ gibi bir dağılım sunar.</w:t>
      </w:r>
    </w:p>
    <w:p>
      <w:pPr>
        <w:spacing w:after="120" w:line="300"/>
        <w:jc w:val="both"/>
      </w:pPr>
      <w:r>
        <w:rPr>
          <w:rFonts w:ascii="Arial" w:cs="Arial" w:eastAsia="Arial" w:hAnsi="Arial"/>
          <w:i w:val="false"/>
          <w:iCs w:val="false"/>
          <w:color w:val="1F2937"/>
          <w:sz w:val="21"/>
          <w:szCs w:val="21"/>
        </w:rPr>
        <w:t xml:space="preserve">HMM kalibrasyonu için önemli notlar:</w:t>
      </w:r>
    </w:p>
    <w:p>
      <w:pPr>
        <w:pStyle w:val="ListParagraph"/>
        <w:numPr>
          <w:ilvl w:val="0"/>
          <w:numId w:val="2"/>
        </w:numPr>
        <w:spacing w:after="80" w:line="280"/>
      </w:pPr>
      <w:r>
        <w:rPr>
          <w:rFonts w:ascii="Arial" w:cs="Arial" w:eastAsia="Arial" w:hAnsi="Arial"/>
          <w:color w:val="1F2937"/>
          <w:sz w:val="21"/>
          <w:szCs w:val="21"/>
        </w:rPr>
        <w:t xml:space="preserve">State sayısını 4’te başlat, BIC/AIC ile 3-6 arası test et</w:t>
      </w:r>
    </w:p>
    <w:p>
      <w:pPr>
        <w:pStyle w:val="ListParagraph"/>
        <w:numPr>
          <w:ilvl w:val="0"/>
          <w:numId w:val="2"/>
        </w:numPr>
        <w:spacing w:after="80" w:line="280"/>
      </w:pPr>
      <w:r>
        <w:rPr>
          <w:rFonts w:ascii="Arial" w:cs="Arial" w:eastAsia="Arial" w:hAnsi="Arial"/>
          <w:color w:val="1F2937"/>
          <w:sz w:val="21"/>
          <w:szCs w:val="21"/>
        </w:rPr>
        <w:t xml:space="preserve">TCMB karar günlerini eğitim verisinden çıkar veya ayrı state olarak modelle</w:t>
      </w:r>
    </w:p>
    <w:p>
      <w:pPr>
        <w:pStyle w:val="ListParagraph"/>
        <w:numPr>
          <w:ilvl w:val="0"/>
          <w:numId w:val="2"/>
        </w:numPr>
        <w:spacing w:after="80" w:line="280"/>
      </w:pPr>
      <w:r>
        <w:rPr>
          <w:rFonts w:ascii="Arial" w:cs="Arial" w:eastAsia="Arial" w:hAnsi="Arial"/>
          <w:color w:val="1F2937"/>
          <w:sz w:val="21"/>
          <w:szCs w:val="21"/>
        </w:rPr>
        <w:t xml:space="preserve">Her 3 ayda bir retrain et (rolling window)</w:t>
      </w:r>
    </w:p>
    <w:p>
      <w:pPr>
        <w:pStyle w:val="ListParagraph"/>
        <w:numPr>
          <w:ilvl w:val="0"/>
          <w:numId w:val="2"/>
        </w:numPr>
        <w:spacing w:after="80" w:line="280"/>
      </w:pPr>
      <w:r>
        <w:rPr>
          <w:rFonts w:ascii="Arial" w:cs="Arial" w:eastAsia="Arial" w:hAnsi="Arial"/>
          <w:color w:val="1F2937"/>
          <w:sz w:val="21"/>
          <w:szCs w:val="21"/>
        </w:rPr>
        <w:t xml:space="preserve">XGBoost soft classification eklemesi yalnızca HMM stabil çalıştıktan sonra</w:t>
      </w:r>
    </w:p>
    <w:p>
      <w:r>
        <w:br w:type="page"/>
      </w:r>
    </w:p>
    <w:p>
      <w:pPr>
        <w:pStyle w:val="Heading1"/>
        <w:spacing w:before="400" w:after="200"/>
      </w:pPr>
      <w:r>
        <w:rPr>
          <w:rFonts w:ascii="Arial" w:cs="Arial" w:eastAsia="Arial" w:hAnsi="Arial"/>
          <w:b/>
          <w:bCs/>
          <w:color w:val="1E3A5F"/>
          <w:sz w:val="32"/>
          <w:szCs w:val="32"/>
        </w:rPr>
        <w:t xml:space="preserve">BÖLÜM 5: STRATEJI HAVUZU — Gerçekçi Ölçek</w:t>
      </w:r>
    </w:p>
    <w:p>
      <w:pPr>
        <w:pStyle w:val="Heading2"/>
        <w:spacing w:before="300" w:after="150"/>
      </w:pPr>
      <w:r>
        <w:rPr>
          <w:rFonts w:ascii="Arial" w:cs="Arial" w:eastAsia="Arial" w:hAnsi="Arial"/>
          <w:b/>
          <w:bCs/>
          <w:color w:val="1E3A5F"/>
          <w:sz w:val="26"/>
          <w:szCs w:val="26"/>
        </w:rPr>
        <w:t xml:space="preserve">5.1 500 Strateji Yerine 10-20 Strateji</w:t>
      </w:r>
    </w:p>
    <w:p>
      <w:pPr>
        <w:spacing w:after="120" w:line="300"/>
        <w:jc w:val="both"/>
      </w:pPr>
      <w:r>
        <w:rPr>
          <w:rFonts w:ascii="Arial" w:cs="Arial" w:eastAsia="Arial" w:hAnsi="Arial"/>
          <w:i w:val="false"/>
          <w:iCs w:val="false"/>
          <w:color w:val="1F2937"/>
          <w:sz w:val="21"/>
          <w:szCs w:val="21"/>
        </w:rPr>
        <w:t xml:space="preserve">v10.1 başlangıçta 500+, uzun vadede 10.000+ strateji hedefliyor. Bu yaklaşımın temel sorunu:</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Data-mining bias:</w:t>
      </w:r>
      <w:r>
        <w:rPr>
          <w:rFonts w:ascii="Arial" w:cs="Arial" w:eastAsia="Arial" w:hAnsi="Arial"/>
          <w:color w:val="1F2937"/>
          <w:sz w:val="21"/>
          <w:szCs w:val="21"/>
        </w:rPr>
        <w:t xml:space="preserve"> Ne kadar çok strateji test ederseniz, şans eseri başarılı görünen strateji bulma olasılığınız o kadar artar. 500 strateji test ettiğinizde, %5 significance level ile 25 tanesi tamamen rastgele başarılı görünür.</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Yönetim karmaşıklığı:</w:t>
      </w:r>
      <w:r>
        <w:rPr>
          <w:rFonts w:ascii="Arial" w:cs="Arial" w:eastAsia="Arial" w:hAnsi="Arial"/>
          <w:color w:val="1F2937"/>
          <w:sz w:val="21"/>
          <w:szCs w:val="21"/>
        </w:rPr>
        <w:t xml:space="preserve"> Her stratejinin yaşam döngüsü, puanlaması, validasyonu — 500 strateji için bu başlı başına bir yazılım projesidir.</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VİOP’un darlığı:</w:t>
      </w:r>
      <w:r>
        <w:rPr>
          <w:rFonts w:ascii="Arial" w:cs="Arial" w:eastAsia="Arial" w:hAnsi="Arial"/>
          <w:color w:val="1F2937"/>
          <w:sz w:val="21"/>
          <w:szCs w:val="21"/>
        </w:rPr>
        <w:t xml:space="preserve"> XU030 tek kontrat, 4 rejim, birkaç sinyal tipi. Gerçekçi varyasyon sayısı: 3 sinyal × 4 rejim × 2-3 parametre seti = 24-36 varyasyon. 500 değil.</w:t>
      </w:r>
    </w:p>
    <w:p>
      <w:pPr>
        <w:spacing w:after="50"/>
      </w:pPr>
    </w:p>
    <w:p>
      <w:pPr>
        <w:spacing w:after="120" w:line="300"/>
        <w:jc w:val="both"/>
      </w:pPr>
      <w:r>
        <w:rPr>
          <w:rFonts w:ascii="Arial" w:cs="Arial" w:eastAsia="Arial" w:hAnsi="Arial"/>
          <w:i w:val="false"/>
          <w:iCs w:val="false"/>
          <w:color w:val="1F2937"/>
          <w:sz w:val="21"/>
          <w:szCs w:val="21"/>
        </w:rPr>
        <w:t xml:space="preserve"/>
      </w:r>
      <w:r>
        <w:rPr>
          <w:rFonts w:ascii="Arial" w:cs="Arial" w:eastAsia="Arial" w:hAnsi="Arial"/>
          <w:b/>
          <w:bCs/>
          <w:color w:val="1F2937"/>
          <w:sz w:val="21"/>
          <w:szCs w:val="21"/>
        </w:rPr>
        <w:t xml:space="preserve">Önerilen strateji havuzu yapısı:</w:t>
      </w:r>
      <w:r>
        <w:rPr>
          <w:rFonts w:ascii="Arial" w:cs="Arial" w:eastAsia="Arial" w:hAnsi="Arial"/>
          <w:i w:val="false"/>
          <w:iCs w:val="false"/>
          <w:color w:val="1F2937"/>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rPr>
          <w:tblHeader/>
        </w:trPr>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Strateji Ailesi</w:t>
            </w:r>
          </w:p>
        </w:tc>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Rejim</w:t>
            </w:r>
          </w:p>
        </w:tc>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Varyasyon Sayısı</w:t>
            </w:r>
          </w:p>
        </w:tc>
        <w:tc>
          <w:tcPr>
            <w:tcW w:type="dxa" w:w="20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Toplam</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Trend Following</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TREND_UP / TREND_DOWN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2-3 parametre seti</w:t>
            </w:r>
          </w:p>
        </w:tc>
        <w:tc>
          <w:tcPr>
            <w:tcW w:type="dxa" w:w="2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4-6</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Mean Reversion</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RANGE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2-3 parametre seti</w:t>
            </w:r>
          </w:p>
        </w:tc>
        <w:tc>
          <w:tcPr>
            <w:tcW w:type="dxa" w:w="2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2-3</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Breakout</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RANGE → TREND geçiş</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 parametre seti</w:t>
            </w:r>
          </w:p>
        </w:tc>
        <w:tc>
          <w:tcPr>
            <w:tcW w:type="dxa" w:w="2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Momentum</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TREND (güçlü ADX)</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1-2 parametre seti</w:t>
            </w:r>
          </w:p>
        </w:tc>
        <w:tc>
          <w:tcPr>
            <w:tcW w:type="dxa" w:w="2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1-2</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Dönemsel</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Bilanço, TCMB, yıl başı</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3-4 özel kural seti</w:t>
            </w:r>
          </w:p>
        </w:tc>
        <w:tc>
          <w:tcPr>
            <w:tcW w:type="dxa" w:w="2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3-4</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TOPLAM</w:t>
            </w:r>
            <w:r>
              <w:rPr>
                <w:rFonts w:ascii="Arial" w:cs="Arial" w:eastAsia="Arial" w:hAnsi="Arial"/>
                <w:color w:val="1F2937"/>
                <w:sz w:val="18"/>
                <w:szCs w:val="18"/>
              </w:rPr>
              <w:t xml:space="preserve"/>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p>
        </w:tc>
        <w:tc>
          <w:tcPr>
            <w:tcW w:type="dxa" w:w="2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12-17</w:t>
            </w:r>
            <w:r>
              <w:rPr>
                <w:rFonts w:ascii="Arial" w:cs="Arial" w:eastAsia="Arial" w:hAnsi="Arial"/>
                <w:color w:val="1F2937"/>
                <w:sz w:val="18"/>
                <w:szCs w:val="18"/>
              </w:rPr>
              <w:t xml:space="preserve"/>
            </w:r>
          </w:p>
        </w:tc>
      </w:tr>
    </w:tbl>
    <w:p>
      <w:pPr>
        <w:spacing w:after="80"/>
      </w:pPr>
    </w:p>
    <w:p>
      <w:pPr>
        <w:pStyle w:val="Heading2"/>
        <w:spacing w:before="300" w:after="150"/>
      </w:pPr>
      <w:r>
        <w:rPr>
          <w:rFonts w:ascii="Arial" w:cs="Arial" w:eastAsia="Arial" w:hAnsi="Arial"/>
          <w:b/>
          <w:bCs/>
          <w:color w:val="1E3A5F"/>
          <w:sz w:val="26"/>
          <w:szCs w:val="26"/>
        </w:rPr>
        <w:t xml:space="preserve">5.2 Strateji Validasyon Protokolü</w:t>
      </w:r>
    </w:p>
    <w:p>
      <w:pPr>
        <w:spacing w:after="120" w:line="300"/>
        <w:jc w:val="both"/>
      </w:pPr>
      <w:r>
        <w:rPr>
          <w:rFonts w:ascii="Arial" w:cs="Arial" w:eastAsia="Arial" w:hAnsi="Arial"/>
          <w:i w:val="false"/>
          <w:iCs w:val="false"/>
          <w:color w:val="1F2937"/>
          <w:sz w:val="21"/>
          <w:szCs w:val="21"/>
        </w:rPr>
        <w:t xml:space="preserve">Her strateji şu aşamalardan geçmelidir (v10.1’in walk-forward yaklaşımı doğru, detaylandırıyorum):</w:t>
      </w:r>
    </w:p>
    <w:p>
      <w:pPr>
        <w:pStyle w:val="ListParagraph"/>
        <w:numPr>
          <w:ilvl w:val="0"/>
          <w:numId w:val="3"/>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Backtest (In-Sample):</w:t>
      </w:r>
      <w:r>
        <w:rPr>
          <w:rFonts w:ascii="Arial" w:cs="Arial" w:eastAsia="Arial" w:hAnsi="Arial"/>
          <w:color w:val="1F2937"/>
          <w:sz w:val="21"/>
          <w:szCs w:val="21"/>
        </w:rPr>
        <w:t xml:space="preserve"> 2 yıllık tarihsel veri üzerinde, gerçekçi slippage ve komisyon modeli ile. Minimum 200 işlem.</w:t>
      </w:r>
    </w:p>
    <w:p>
      <w:pPr>
        <w:pStyle w:val="ListParagraph"/>
        <w:numPr>
          <w:ilvl w:val="0"/>
          <w:numId w:val="3"/>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Walk-Forward (OOS):</w:t>
      </w:r>
      <w:r>
        <w:rPr>
          <w:rFonts w:ascii="Arial" w:cs="Arial" w:eastAsia="Arial" w:hAnsi="Arial"/>
          <w:color w:val="1F2937"/>
          <w:sz w:val="21"/>
          <w:szCs w:val="21"/>
        </w:rPr>
        <w:t xml:space="preserve"> 6 aylık kayan pencere; 4 ay eğitim, 2 ay test. En az 3 pencere. Tüm pencerelerde pozitif Sharpe.</w:t>
      </w:r>
    </w:p>
    <w:p>
      <w:pPr>
        <w:pStyle w:val="ListParagraph"/>
        <w:numPr>
          <w:ilvl w:val="0"/>
          <w:numId w:val="3"/>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Monte Carlo Simülasyonu:</w:t>
      </w:r>
      <w:r>
        <w:rPr>
          <w:rFonts w:ascii="Arial" w:cs="Arial" w:eastAsia="Arial" w:hAnsi="Arial"/>
          <w:color w:val="1F2937"/>
          <w:sz w:val="21"/>
          <w:szCs w:val="21"/>
        </w:rPr>
        <w:t xml:space="preserve"> İşlem sırasını 1000 kez karıştır. %95 güven aralığında max drawdown &lt; %15.</w:t>
      </w:r>
    </w:p>
    <w:p>
      <w:pPr>
        <w:pStyle w:val="ListParagraph"/>
        <w:numPr>
          <w:ilvl w:val="0"/>
          <w:numId w:val="3"/>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Paper Trade:</w:t>
      </w:r>
      <w:r>
        <w:rPr>
          <w:rFonts w:ascii="Arial" w:cs="Arial" w:eastAsia="Arial" w:hAnsi="Arial"/>
          <w:color w:val="1F2937"/>
          <w:sz w:val="21"/>
          <w:szCs w:val="21"/>
        </w:rPr>
        <w:t xml:space="preserve"> En az 4 hafta canlı piyasada (gerçek veri, sanal emir). Sharpe &gt; 0.5.</w:t>
      </w:r>
    </w:p>
    <w:p>
      <w:pPr>
        <w:pStyle w:val="ListParagraph"/>
        <w:numPr>
          <w:ilvl w:val="0"/>
          <w:numId w:val="3"/>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Micro Live:</w:t>
      </w:r>
      <w:r>
        <w:rPr>
          <w:rFonts w:ascii="Arial" w:cs="Arial" w:eastAsia="Arial" w:hAnsi="Arial"/>
          <w:color w:val="1F2937"/>
          <w:sz w:val="21"/>
          <w:szCs w:val="21"/>
        </w:rPr>
        <w:t xml:space="preserve"> 0.01 lot ile en az 4 hafta gerçek işlem. Backtest ile tutarlılık kontrolü.</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2400E" w:sz="12"/>
              <w:bottom w:val="none" w:sz="0"/>
              <w:right w:val="none" w:sz="0"/>
            </w:tcBorders>
            <w:shd w:fill="FEF3C7" w:val="clear"/>
            <w:tcMar>
              <w:top w:type="dxa" w:w="100"/>
              <w:left w:type="dxa" w:w="150"/>
              <w:bottom w:type="dxa" w:w="100"/>
              <w:right w:type="dxa" w:w="150"/>
            </w:tcMar>
          </w:tcPr>
          <w:p>
            <w:pPr>
              <w:spacing w:after="60"/>
            </w:pPr>
            <w:r>
              <w:rPr>
                <w:rFonts w:ascii="Arial" w:cs="Arial" w:eastAsia="Arial" w:hAnsi="Arial"/>
                <w:b/>
                <w:bCs/>
                <w:color w:val="92400E"/>
                <w:sz w:val="20"/>
                <w:szCs w:val="20"/>
              </w:rPr>
              <w:t xml:space="preserve">BACKTEST TUZAKLARI</w:t>
            </w:r>
          </w:p>
          <w:p>
            <w:pPr>
              <w:spacing w:after="0"/>
            </w:pPr>
            <w:r>
              <w:rPr>
                <w:rFonts w:ascii="Arial" w:cs="Arial" w:eastAsia="Arial" w:hAnsi="Arial"/>
                <w:color w:val="92400E"/>
                <w:sz w:val="19"/>
                <w:szCs w:val="19"/>
              </w:rPr>
              <w:t xml:space="preserve">Backtest sonucunda şu soruları sor: (1) Sharpe Ratio slippage ve komisyon dahil mi? (2) Sonuçlar tek bir parametre setine mi bağlı yoksa komşu parametrelerde de çalışıyor mu? (3) En kötü 3 aylık dönem nedir ve kabul edilebilir mi? (4) Max drawdown dönemi ne kadar sürmüş? Bunlardan herhangi birinin cevabı tatmin edici değilse, strateji reddedilmelidir.</w:t>
            </w:r>
          </w:p>
        </w:tc>
      </w:tr>
    </w:tbl>
    <w:p>
      <w:r>
        <w:br w:type="page"/>
      </w:r>
    </w:p>
    <w:p>
      <w:pPr>
        <w:pStyle w:val="Heading1"/>
        <w:spacing w:before="400" w:after="200"/>
      </w:pPr>
      <w:r>
        <w:rPr>
          <w:rFonts w:ascii="Arial" w:cs="Arial" w:eastAsia="Arial" w:hAnsi="Arial"/>
          <w:b/>
          <w:bCs/>
          <w:color w:val="1E3A5F"/>
          <w:sz w:val="32"/>
          <w:szCs w:val="32"/>
        </w:rPr>
        <w:t xml:space="preserve">BÖLÜM 6: VERİ PIPELINE VE ALTYAPI</w:t>
      </w:r>
    </w:p>
    <w:p>
      <w:pPr>
        <w:spacing w:after="120" w:line="300"/>
        <w:jc w:val="both"/>
      </w:pPr>
      <w:r>
        <w:rPr>
          <w:rFonts w:ascii="Arial" w:cs="Arial" w:eastAsia="Arial" w:hAnsi="Arial"/>
          <w:i w:val="false"/>
          <w:iCs w:val="false"/>
          <w:color w:val="1F2937"/>
          <w:sz w:val="21"/>
          <w:szCs w:val="21"/>
        </w:rPr>
        <w:t xml:space="preserve">v10.1’de en büyük eksiklerden biri veri pipeline’ının tanımlanmamış olmasıdır. Bir algoritmik işlem sisteminde veri akışı omurgadır.</w:t>
      </w:r>
    </w:p>
    <w:p>
      <w:pPr>
        <w:pStyle w:val="Heading2"/>
        <w:spacing w:before="300" w:after="150"/>
      </w:pPr>
      <w:r>
        <w:rPr>
          <w:rFonts w:ascii="Arial" w:cs="Arial" w:eastAsia="Arial" w:hAnsi="Arial"/>
          <w:b/>
          <w:bCs/>
          <w:color w:val="1E3A5F"/>
          <w:sz w:val="26"/>
          <w:szCs w:val="26"/>
        </w:rPr>
        <w:t xml:space="preserve">6.1 Veri Kaynakları ve Akış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Veri Tipi</w:t>
            </w:r>
          </w:p>
        </w:tc>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Kaynak</w:t>
            </w:r>
          </w:p>
        </w:tc>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Frekans</w:t>
            </w:r>
          </w:p>
        </w:tc>
        <w:tc>
          <w:tcPr>
            <w:tcW w:type="dxa" w:w="20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Depolama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Tick verisi</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MT5 terminal (Py-MT5)</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Her tick (∼200-500ms aralık)</w:t>
            </w:r>
          </w:p>
        </w:tc>
        <w:tc>
          <w:tcPr>
            <w:tcW w:type="dxa" w:w="2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SQLite (günlük dosya)</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OHLCV bar verisi</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MT5 terminal</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M1, M5, M15, H1</w:t>
            </w:r>
          </w:p>
        </w:tc>
        <w:tc>
          <w:tcPr>
            <w:tcW w:type="dxa" w:w="2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SQLite (ana veritabanı)</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İşlem logları</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Bot execution engine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Her işlem açılış/kapanış</w:t>
            </w:r>
          </w:p>
        </w:tc>
        <w:tc>
          <w:tcPr>
            <w:tcW w:type="dxa" w:w="2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SQLite + JSON log</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Risk metrikleri</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BABA modülü</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Her 30 saniye</w:t>
            </w:r>
          </w:p>
        </w:tc>
        <w:tc>
          <w:tcPr>
            <w:tcW w:type="dxa" w:w="2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SQLite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Rejim state’i</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Rejim algılama modülü</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Her 1 dakika</w:t>
            </w:r>
          </w:p>
        </w:tc>
        <w:tc>
          <w:tcPr>
            <w:tcW w:type="dxa" w:w="2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SQLite + memory cache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Strateji performansı</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ÜSTAT modülü</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Her işlem kapanışında + günlük</w:t>
            </w:r>
          </w:p>
        </w:tc>
        <w:tc>
          <w:tcPr>
            <w:tcW w:type="dxa" w:w="2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SQLite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Ekonomik takvim</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Haber API (investing.com vb.)</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Günlük güncelleme</w:t>
            </w:r>
          </w:p>
        </w:tc>
        <w:tc>
          <w:tcPr>
            <w:tcW w:type="dxa" w:w="2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JSON dosya</w:t>
            </w:r>
          </w:p>
        </w:tc>
      </w:tr>
    </w:tbl>
    <w:p>
      <w:pPr>
        <w:spacing w:after="80"/>
      </w:pPr>
    </w:p>
    <w:p>
      <w:pPr>
        <w:pStyle w:val="Heading2"/>
        <w:spacing w:before="300" w:after="150"/>
      </w:pPr>
      <w:r>
        <w:rPr>
          <w:rFonts w:ascii="Arial" w:cs="Arial" w:eastAsia="Arial" w:hAnsi="Arial"/>
          <w:b/>
          <w:bCs/>
          <w:color w:val="1E3A5F"/>
          <w:sz w:val="26"/>
          <w:szCs w:val="26"/>
        </w:rPr>
        <w:t xml:space="preserve">6.2 Veritabanı Şeması</w:t>
      </w:r>
    </w:p>
    <w:p>
      <w:pPr>
        <w:spacing w:after="120" w:line="300"/>
        <w:jc w:val="both"/>
      </w:pPr>
      <w:r>
        <w:rPr>
          <w:rFonts w:ascii="Arial" w:cs="Arial" w:eastAsia="Arial" w:hAnsi="Arial"/>
          <w:i w:val="false"/>
          <w:iCs w:val="false"/>
          <w:color w:val="1F2937"/>
          <w:sz w:val="21"/>
          <w:szCs w:val="21"/>
        </w:rPr>
        <w:t xml:space="preserve">SQLite yeterlidir (tek makine, düşük-orta frekans). PostgreSQL’e geçiş yalnızca veri hacmi veya concurrent erişim sorunu yaşanırsa yapılmalıdır. Temel tablolar:</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bars:</w:t>
      </w:r>
      <w:r>
        <w:rPr>
          <w:rFonts w:ascii="Arial" w:cs="Arial" w:eastAsia="Arial" w:hAnsi="Arial"/>
          <w:color w:val="1F2937"/>
          <w:sz w:val="21"/>
          <w:szCs w:val="21"/>
        </w:rPr>
        <w:t xml:space="preserve"> timestamp, open, high, low, close, volume, timeframe, contract</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trades:</w:t>
      </w:r>
      <w:r>
        <w:rPr>
          <w:rFonts w:ascii="Arial" w:cs="Arial" w:eastAsia="Arial" w:hAnsi="Arial"/>
          <w:color w:val="1F2937"/>
          <w:sz w:val="21"/>
          <w:szCs w:val="21"/>
        </w:rPr>
        <w:t xml:space="preserve"> id, strategy_id, direction, entry_time, exit_time, entry_price, exit_price, lot_size, pnl, slippage, commission, regime, fake_score</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strategies:</w:t>
      </w:r>
      <w:r>
        <w:rPr>
          <w:rFonts w:ascii="Arial" w:cs="Arial" w:eastAsia="Arial" w:hAnsi="Arial"/>
          <w:color w:val="1F2937"/>
          <w:sz w:val="21"/>
          <w:szCs w:val="21"/>
        </w:rPr>
        <w:t xml:space="preserve"> id, name, family, parameters_json, status, created_at, last_trade, sharpe, win_rate, max_dd, total_trades</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risk_snapshots:</w:t>
      </w:r>
      <w:r>
        <w:rPr>
          <w:rFonts w:ascii="Arial" w:cs="Arial" w:eastAsia="Arial" w:hAnsi="Arial"/>
          <w:color w:val="1F2937"/>
          <w:sz w:val="21"/>
          <w:szCs w:val="21"/>
        </w:rPr>
        <w:t xml:space="preserve"> timestamp, equity, floating_pnl, daily_pnl, open_positions, regime, drawdown</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events:</w:t>
      </w:r>
      <w:r>
        <w:rPr>
          <w:rFonts w:ascii="Arial" w:cs="Arial" w:eastAsia="Arial" w:hAnsi="Arial"/>
          <w:color w:val="1F2937"/>
          <w:sz w:val="21"/>
          <w:szCs w:val="21"/>
        </w:rPr>
        <w:t xml:space="preserve"> timestamp, type, severity, message, action_taken</w:t>
      </w:r>
    </w:p>
    <w:p>
      <w:pPr>
        <w:spacing w:after="50"/>
      </w:pPr>
    </w:p>
    <w:p>
      <w:pPr>
        <w:pStyle w:val="Heading2"/>
        <w:spacing w:before="300" w:after="150"/>
      </w:pPr>
      <w:r>
        <w:rPr>
          <w:rFonts w:ascii="Arial" w:cs="Arial" w:eastAsia="Arial" w:hAnsi="Arial"/>
          <w:b/>
          <w:bCs/>
          <w:color w:val="1E3A5F"/>
          <w:sz w:val="26"/>
          <w:szCs w:val="26"/>
        </w:rPr>
        <w:t xml:space="preserve">6.3 Exception Handling (v10.1 Geliştirilmiş)</w:t>
      </w:r>
    </w:p>
    <w:p>
      <w:pPr>
        <w:spacing w:after="120" w:line="300"/>
        <w:jc w:val="both"/>
      </w:pPr>
      <w:r>
        <w:rPr>
          <w:rFonts w:ascii="Arial" w:cs="Arial" w:eastAsia="Arial" w:hAnsi="Arial"/>
          <w:i w:val="false"/>
          <w:iCs w:val="false"/>
          <w:color w:val="1F2937"/>
          <w:sz w:val="21"/>
          <w:szCs w:val="21"/>
        </w:rPr>
        <w:t xml:space="preserve">v10.1’in exception handling tablosu iyi bir başlangıçtır. Ek olarak şu senaryolar da ele alınmalıdır: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Senaryo</w:t>
            </w:r>
          </w:p>
        </w:tc>
        <w:tc>
          <w:tcPr>
            <w:tcW w:type="dxa" w:w="45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Aksiyon</w:t>
            </w:r>
          </w:p>
        </w:tc>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Öncelik</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Python process crash</w:t>
            </w:r>
          </w:p>
        </w:tc>
        <w:tc>
          <w:tcPr>
            <w:tcW w:type="dxa" w:w="45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Watchdog ile otomatik restart; açık pozisyon koruma modu (hiçbir yeni işlem yok, sadece SL/TP aktif)</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KRİTİK</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MT5 terminal kapanması</w:t>
            </w:r>
          </w:p>
        </w:tc>
        <w:tc>
          <w:tcPr>
            <w:tcW w:type="dxa" w:w="45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MT5’i programatik olarak yeniden başlat (subprocess); 30 saniye içinde bağlanamzasa SMS/email alert</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KRİTİK</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Veri anomalisi (spike, gap)</w:t>
            </w:r>
          </w:p>
        </w:tc>
        <w:tc>
          <w:tcPr>
            <w:tcW w:type="dxa" w:w="45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Son 5 barın z-score’u &gt; 5 ise veriyi reddet, önceki değeri kullan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YÜKSEK</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Disk dolu / SQLite hatası</w:t>
            </w:r>
          </w:p>
        </w:tc>
        <w:tc>
          <w:tcPr>
            <w:tcW w:type="dxa" w:w="45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Eski log dosyalarını arşivle; diskten yer açılamzasa sistem durdur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YÜKSEK</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Internet kopması</w:t>
            </w:r>
          </w:p>
        </w:tc>
        <w:tc>
          <w:tcPr>
            <w:tcW w:type="dxa" w:w="45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5 kez yeniden bağlanma denemesi (exponential backoff); başarısız olursa sistem pause + alert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KRİTİK</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Emir reddi (margin yetersiz)</w:t>
            </w:r>
          </w:p>
        </w:tc>
        <w:tc>
          <w:tcPr>
            <w:tcW w:type="dxa" w:w="45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Lot büyüklüğünü %50 azaltıp yeniden dene; ikinci redde sistem durdur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YÜKSEK</w:t>
            </w:r>
          </w:p>
        </w:tc>
      </w:tr>
    </w:tbl>
    <w:p>
      <w:r>
        <w:br w:type="page"/>
      </w:r>
    </w:p>
    <w:p>
      <w:pPr>
        <w:pStyle w:val="Heading1"/>
        <w:spacing w:before="400" w:after="200"/>
      </w:pPr>
      <w:r>
        <w:rPr>
          <w:rFonts w:ascii="Arial" w:cs="Arial" w:eastAsia="Arial" w:hAnsi="Arial"/>
          <w:b/>
          <w:bCs/>
          <w:color w:val="1E3A5F"/>
          <w:sz w:val="32"/>
          <w:szCs w:val="32"/>
        </w:rPr>
        <w:t xml:space="preserve">BÖLÜM 7: GERÇEKÇİ YOL HARİTASI — 12 AYLIK PLAN</w:t>
      </w:r>
    </w:p>
    <w:p>
      <w:pPr>
        <w:spacing w:after="120" w:line="300"/>
        <w:jc w:val="both"/>
      </w:pPr>
      <w:r>
        <w:rPr>
          <w:rFonts w:ascii="Arial" w:cs="Arial" w:eastAsia="Arial" w:hAnsi="Arial"/>
          <w:i w:val="false"/>
          <w:iCs w:val="false"/>
          <w:color w:val="1F2937"/>
          <w:sz w:val="21"/>
          <w:szCs w:val="21"/>
        </w:rPr>
        <w:t xml:space="preserve">v10.1’in 24 haftalık (6 ay) yol haritası bu karmaşıklıkta sistem için gerçekçi değildir. Aşağıda 12 aylık, fazlara ayrılmış, her fazın çıktısı bir sonrakinin girdisi olan bir plan sunulmaktadır.</w:t>
      </w:r>
    </w:p>
    <w:p>
      <w:pPr>
        <w:pStyle w:val="Heading2"/>
        <w:spacing w:before="300" w:after="150"/>
      </w:pPr>
      <w:r>
        <w:rPr>
          <w:rFonts w:ascii="Arial" w:cs="Arial" w:eastAsia="Arial" w:hAnsi="Arial"/>
          <w:b/>
          <w:bCs/>
          <w:color w:val="1E3A5F"/>
          <w:sz w:val="26"/>
          <w:szCs w:val="26"/>
        </w:rPr>
        <w:t xml:space="preserve">7.1 Faz A: Temel Altyapı (Ay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200"/>
        <w:gridCol w:w="2326"/>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Hafta</w:t>
            </w:r>
          </w:p>
        </w:tc>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Görev</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Çıktı</w:t>
            </w:r>
          </w:p>
        </w:tc>
        <w:tc>
          <w:tcPr>
            <w:tcW w:type="dxa" w:w="23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Başarı Kriteri</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1-2</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Python-MT5 köprüsü</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Py-MT5 ile veri alma, emir gönderme, pozisyon sorgulama çalışıyor</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100 test emri hatasız gönderildi</w:t>
            </w:r>
          </w:p>
        </w:tc>
      </w:tr>
      <w:tr>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2-3</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Veri pipeline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SQLite veritabanı, bar ve tick verisi kaydı, temizleme</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 haftalık kesintisiz veri kaydı</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3-4</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Kural tabanlı rejim algılama</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TREND/RANGE/VOLATILE/OLAY tespit modülü</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 yıllık tarihsel veride rejim etiketleri oluşturuldu</w:t>
            </w:r>
          </w:p>
        </w:tc>
      </w:tr>
      <w:tr>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4-5</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Kural tabanlı sinyal üretimi</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3 temel sinyal (trend, mean revert, breakout)</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Backtest framework çalışıyor, sonuçlar kaydediliyor</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6-8</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BABA risk modülü</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4 katmanlı fake analiz + risk limitleri + pozisyon sizing</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Tarihsel veride simule edildi, limitler doğru çalışıyor</w:t>
            </w:r>
          </w:p>
        </w:tc>
      </w:tr>
      <w:tr>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7-8</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Exception handling + logging</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Tüm hata senaryoları için handler, watchdog, alert sistemi</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Hata enjeksiyon testleri geçti</w:t>
            </w:r>
          </w:p>
        </w:tc>
      </w:tr>
    </w:tbl>
    <w:p>
      <w:pPr>
        <w:spacing w:after="80"/>
      </w:pPr>
    </w:p>
    <w:p>
      <w:pPr>
        <w:pStyle w:val="Heading2"/>
        <w:spacing w:before="300" w:after="150"/>
      </w:pPr>
      <w:r>
        <w:rPr>
          <w:rFonts w:ascii="Arial" w:cs="Arial" w:eastAsia="Arial" w:hAnsi="Arial"/>
          <w:b/>
          <w:bCs/>
          <w:color w:val="1E3A5F"/>
          <w:sz w:val="26"/>
          <w:szCs w:val="26"/>
        </w:rPr>
        <w:t xml:space="preserve">7.2 Faz B: Backtest ve Validasyon (Ay 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200"/>
        <w:gridCol w:w="2326"/>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Hafta</w:t>
            </w:r>
          </w:p>
        </w:tc>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Görev</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Çıktı</w:t>
            </w:r>
          </w:p>
        </w:tc>
        <w:tc>
          <w:tcPr>
            <w:tcW w:type="dxa" w:w="23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Başarı Kriteri</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9-10</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Walk-forward backtest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 yıllık veri üzerinde 3 sinyal tipinin OOS testi</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En az 1 sinyal tipi tüm pencerelerde pozitif Sharpe</w:t>
            </w:r>
          </w:p>
        </w:tc>
      </w:tr>
      <w:tr>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10-11</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Monte Carlo simülasyonu</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1000 permütasyon ile drawdown dağılımı</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%95 güven aralığında DD &lt; %15</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11-12</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Execution maliyet modeli</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Gerçekçi slippage + komisyon + spread modeli</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Backtest sonuçları maliyet dahil hala pozitif</w:t>
            </w:r>
          </w:p>
        </w:tc>
      </w:tr>
      <w:tr>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13-14</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Strateji parametre hassasiyet analizi</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Her parametre için neighbourhood testi</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Sonuçlar %20 parametre değişimine dayanıklı</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15-16</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Tüm bileşenlerin entegrasyon testi</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Sinyal + risk + execution birlikte çalışma</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24 saat kesintisiz çalışma (sanal ortam)</w:t>
            </w:r>
          </w:p>
        </w:tc>
      </w:tr>
    </w:tbl>
    <w:p>
      <w:pPr>
        <w:spacing w:after="80"/>
      </w:pPr>
    </w:p>
    <w:p>
      <w:pPr>
        <w:pStyle w:val="Heading2"/>
        <w:spacing w:before="300" w:after="150"/>
      </w:pPr>
      <w:r>
        <w:rPr>
          <w:rFonts w:ascii="Arial" w:cs="Arial" w:eastAsia="Arial" w:hAnsi="Arial"/>
          <w:b/>
          <w:bCs/>
          <w:color w:val="1E3A5F"/>
          <w:sz w:val="26"/>
          <w:szCs w:val="26"/>
        </w:rPr>
        <w:t xml:space="preserve">7.3 Faz C: Paper Trade (Ay 5-7)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200"/>
        <w:gridCol w:w="2326"/>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Hafta</w:t>
            </w:r>
          </w:p>
        </w:tc>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Görev</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Çıktı</w:t>
            </w:r>
          </w:p>
        </w:tc>
        <w:tc>
          <w:tcPr>
            <w:tcW w:type="dxa" w:w="23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Başarı Kriteri</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17-20</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Paper trade (4 hafta)</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Gerçek piyasa verisi, sanal emirler</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Sharpe &gt; 0.5, DD &lt; %12, min 80 işlem</w:t>
            </w:r>
          </w:p>
        </w:tc>
      </w:tr>
      <w:tr>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21-22</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Paper trade analizi</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Backtest vs paper trade karşılaştırması</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Win rate farkı &lt; %10, Sharpe farkı &lt; %30</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23-24</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Hata giderme ve optimizasyon</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Tespit edilen sorunların çözümü</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Tüm bilinen hatalar kapatıldı</w:t>
            </w:r>
          </w:p>
        </w:tc>
      </w:tr>
      <w:tr>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25-28</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Paper trade tekrar (4 hafta)</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Düzeltmeler sonrası yeniden doğrulama</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Aynı kriterleri karşılıyor</w:t>
            </w:r>
          </w:p>
        </w:tc>
      </w:tr>
    </w:tbl>
    <w:p>
      <w:pPr>
        <w:spacing w:after="80"/>
      </w:pPr>
    </w:p>
    <w:p>
      <w:pPr>
        <w:pStyle w:val="Heading2"/>
        <w:spacing w:before="300" w:after="150"/>
      </w:pPr>
      <w:r>
        <w:rPr>
          <w:rFonts w:ascii="Arial" w:cs="Arial" w:eastAsia="Arial" w:hAnsi="Arial"/>
          <w:b/>
          <w:bCs/>
          <w:color w:val="1E3A5F"/>
          <w:sz w:val="26"/>
          <w:szCs w:val="26"/>
        </w:rPr>
        <w:t xml:space="preserve">7.4 Faz D: Micro Live (Ay 8-10)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200"/>
        <w:gridCol w:w="2326"/>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Hafta</w:t>
            </w:r>
          </w:p>
        </w:tc>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Görev</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Çıktı</w:t>
            </w:r>
          </w:p>
        </w:tc>
        <w:tc>
          <w:tcPr>
            <w:tcW w:type="dxa" w:w="23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Başarı Kriteri</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29-32</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Micro live (0.01 lot, 4 hafta)</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Gerçek emir, gerçek para, minimum risk</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Sharpe &gt; 0 (pozitif), DD &lt; %5, sistem stabil</w:t>
            </w:r>
          </w:p>
        </w:tc>
      </w:tr>
      <w:tr>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33-36</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Micro live devam (0.01-0.05 lot)</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Lot büyüklüğü kademeli artış</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Metriklerde bozulma yok</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37-40</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Slippage ve execution analizi</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Backtest vs canlı execution farkı</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Ortalama slippage &lt; 3 puan</w:t>
            </w:r>
          </w:p>
        </w:tc>
      </w:tr>
    </w:tbl>
    <w:p>
      <w:pPr>
        <w:spacing w:after="80"/>
      </w:pPr>
    </w:p>
    <w:p>
      <w:pPr>
        <w:pStyle w:val="Heading2"/>
        <w:spacing w:before="300" w:after="150"/>
      </w:pPr>
      <w:r>
        <w:rPr>
          <w:rFonts w:ascii="Arial" w:cs="Arial" w:eastAsia="Arial" w:hAnsi="Arial"/>
          <w:b/>
          <w:bCs/>
          <w:color w:val="1E3A5F"/>
          <w:sz w:val="26"/>
          <w:szCs w:val="26"/>
        </w:rPr>
        <w:t xml:space="preserve">7.5 Faz E: Kademeli Ölçekleme (Ay 11-12+)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200"/>
        <w:gridCol w:w="2326"/>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Hafta</w:t>
            </w:r>
          </w:p>
        </w:tc>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Görev</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Çıktı</w:t>
            </w:r>
          </w:p>
        </w:tc>
        <w:tc>
          <w:tcPr>
            <w:tcW w:type="dxa" w:w="23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Başarı Kriteri</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41-44</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Normal lot geçiş (0.1-0.5)</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Tam strateji ile çalışma</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Sharpe &gt; 0.8, DD &lt; %10</w:t>
            </w:r>
          </w:p>
        </w:tc>
      </w:tr>
      <w:tr>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45-48</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ÜSTAT analiz modülü</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Strateji performans takibi, puanlama</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Günlük rapor üretimi çalışıyor</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48+</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HMM + RL değerlendirmesi</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Yeterli veri birikti mi? Evet ise Faz 2 başlat</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En az 500 canlı işlem + 6 ay veri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91B1B" w:sz="12"/>
              <w:bottom w:val="none" w:sz="0"/>
              <w:right w:val="none" w:sz="0"/>
            </w:tcBorders>
            <w:shd w:fill="FEE2E2" w:val="clear"/>
            <w:tcMar>
              <w:top w:type="dxa" w:w="100"/>
              <w:left w:type="dxa" w:w="150"/>
              <w:bottom w:type="dxa" w:w="100"/>
              <w:right w:type="dxa" w:w="150"/>
            </w:tcMar>
          </w:tcPr>
          <w:p>
            <w:pPr>
              <w:spacing w:after="60"/>
            </w:pPr>
            <w:r>
              <w:rPr>
                <w:rFonts w:ascii="Arial" w:cs="Arial" w:eastAsia="Arial" w:hAnsi="Arial"/>
                <w:b/>
                <w:bCs/>
                <w:color w:val="991B1B"/>
                <w:sz w:val="20"/>
                <w:szCs w:val="20"/>
              </w:rPr>
              <w:t xml:space="preserve">GO/NO-GO KARAR NOKTALARI</w:t>
            </w:r>
          </w:p>
          <w:p>
            <w:pPr>
              <w:spacing w:after="0"/>
            </w:pPr>
            <w:r>
              <w:rPr>
                <w:rFonts w:ascii="Arial" w:cs="Arial" w:eastAsia="Arial" w:hAnsi="Arial"/>
                <w:color w:val="991B1B"/>
                <w:sz w:val="19"/>
                <w:szCs w:val="19"/>
              </w:rPr>
              <w:t xml:space="preserve">Her faz geçişinde açık bir Go/No-Go kararı alınmalıdır. Başarı kriterlerini karşılamayan faz tekrarlanır veya sistem durdurulur. ‘Belki çalışır’ diye bir sonraki faza geçmek, en yaygın ve en pahalı hatadır.</w:t>
            </w:r>
          </w:p>
        </w:tc>
      </w:tr>
    </w:tbl>
    <w:p>
      <w:r>
        <w:br w:type="page"/>
      </w:r>
    </w:p>
    <w:p>
      <w:pPr>
        <w:pStyle w:val="Heading1"/>
        <w:spacing w:before="400" w:after="200"/>
      </w:pPr>
      <w:r>
        <w:rPr>
          <w:rFonts w:ascii="Arial" w:cs="Arial" w:eastAsia="Arial" w:hAnsi="Arial"/>
          <w:b/>
          <w:bCs/>
          <w:color w:val="1E3A5F"/>
          <w:sz w:val="32"/>
          <w:szCs w:val="32"/>
        </w:rPr>
        <w:t xml:space="preserve">BÖLÜM 8: v10.1’DEN ÇIKARILMASI GEREKEN BİLEŞENLER</w:t>
      </w:r>
    </w:p>
    <w:p>
      <w:pPr>
        <w:spacing w:after="120" w:line="300"/>
        <w:jc w:val="both"/>
      </w:pPr>
      <w:r>
        <w:rPr>
          <w:rFonts w:ascii="Arial" w:cs="Arial" w:eastAsia="Arial" w:hAnsi="Arial"/>
          <w:i w:val="false"/>
          <w:iCs w:val="false"/>
          <w:color w:val="1F2937"/>
          <w:sz w:val="21"/>
          <w:szCs w:val="21"/>
        </w:rPr>
        <w:t xml:space="preserve">Aşağıdaki bileşenler v10.1’den çıkarılmalı veya ertelenmelidir. Bu, vizyonun zayıflığı değil, önceliklendirme disiplinidir.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326"/>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Bileşen</w:t>
            </w:r>
          </w:p>
        </w:tc>
        <w:tc>
          <w:tcPr>
            <w:tcW w:type="dxa" w:w="1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Karar</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Gerekçe</w:t>
            </w:r>
          </w:p>
        </w:tc>
        <w:tc>
          <w:tcPr>
            <w:tcW w:type="dxa" w:w="23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Ne Zaman Eklenebilir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GAN Sentetik Veri</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ÇIKAR</w:t>
            </w:r>
            <w:r>
              <w:rPr>
                <w:rFonts w:ascii="Arial" w:cs="Arial" w:eastAsia="Arial" w:hAnsi="Arial"/>
                <w:color w:val="1F2937"/>
                <w:sz w:val="18"/>
                <w:szCs w:val="18"/>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Finansal GAN’lar henüz güvenilir değil; yanlış dağılımdan üretilen veri modeli bozar. Gerçek veri biriktirmek daha değerli.</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Belki hiçbir zaman; araştırma olgunlaşırsa 2+ yıl sonra</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LSTM-AE Anomaly Detection</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BASITLEŞTİR</w:t>
            </w:r>
            <w:r>
              <w:rPr>
                <w:rFonts w:ascii="Arial" w:cs="Arial" w:eastAsia="Arial" w:hAnsi="Arial"/>
                <w:color w:val="1F2937"/>
                <w:sz w:val="18"/>
                <w:szCs w:val="18"/>
              </w:rPr>
              <w:t xml:space="preserve"/>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Z-score + IQR bazlı basit istatistiksel anomali tespiti daha güvenilir ve açıklanabilir</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LSTM-AE yalnızca basit yöntem yetersiz kalırsa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Ensemble RL (3 ajan)</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TEK AJANA İNDİR</w:t>
            </w:r>
            <w:r>
              <w:rPr>
                <w:rFonts w:ascii="Arial" w:cs="Arial" w:eastAsia="Arial" w:hAnsi="Arial"/>
                <w:color w:val="1F2937"/>
                <w:sz w:val="18"/>
                <w:szCs w:val="18"/>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PPO tek başına yeterli; A2C ve DDPG ek karmaşıklık ve bakım yükü getirir</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PPO 12+ ay başarılı çalışırsa A2C düşünülebilir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Meta-Controller</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ERTELE</w:t>
            </w:r>
            <w:r>
              <w:rPr>
                <w:rFonts w:ascii="Arial" w:cs="Arial" w:eastAsia="Arial" w:hAnsi="Arial"/>
                <w:color w:val="1F2937"/>
                <w:sz w:val="18"/>
                <w:szCs w:val="18"/>
              </w:rPr>
              <w:t xml:space="preserve"/>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Ensemble olmadan meta-controller anlamsız; tek ajanın performansını izle</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Ensemble varsa ve stabil ise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49 Kontrat Genişleme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VAZGEÇ</w:t>
            </w:r>
            <w:r>
              <w:rPr>
                <w:rFonts w:ascii="Arial" w:cs="Arial" w:eastAsia="Arial" w:hAnsi="Arial"/>
                <w:color w:val="1F2937"/>
                <w:sz w:val="18"/>
                <w:szCs w:val="18"/>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VİOP’ta 5-6 kontrat dışında likidite yok; 49 kontrat gerçekçi değil</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Yalnızca XU030 + belki AKBNK, GARAN (likidite yeterliyse)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Evrimsel Strateji Döngüsü</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ERTELE</w:t>
            </w:r>
            <w:r>
              <w:rPr>
                <w:rFonts w:ascii="Arial" w:cs="Arial" w:eastAsia="Arial" w:hAnsi="Arial"/>
                <w:color w:val="1F2937"/>
                <w:sz w:val="18"/>
                <w:szCs w:val="18"/>
              </w:rPr>
              <w:t xml:space="preserve"/>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Evrim için önce yeterli veri ve çalışan baseline gerekir; en az 12 ay</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12+ ay canlı veri birikiminden sonra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Otonom MQL5 Kod Üretimi</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YENİDEN TASARLA</w:t>
            </w:r>
            <w:r>
              <w:rPr>
                <w:rFonts w:ascii="Arial" w:cs="Arial" w:eastAsia="Arial" w:hAnsi="Arial"/>
                <w:color w:val="1F2937"/>
                <w:sz w:val="18"/>
                <w:szCs w:val="18"/>
              </w:rPr>
              <w:t xml:space="preserve"/>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LLM ile MQL5 kodu üretmek güvenilir değil; şablon bazlı parametre enjeksiyonu daha güvenli</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Python-merkezli mimaride MQL5 kodu minimal olacak</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AWS/Docker Bulut Failover</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ERTELE</w:t>
            </w:r>
            <w:r>
              <w:rPr>
                <w:rFonts w:ascii="Arial" w:cs="Arial" w:eastAsia="Arial" w:hAnsi="Arial"/>
                <w:color w:val="1F2937"/>
                <w:sz w:val="18"/>
                <w:szCs w:val="18"/>
              </w:rPr>
              <w:t xml:space="preserve"/>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Solo developer için bulut altyapısı erken aşamada gereksiz karmaşıklık; yerel watchdog yeterli</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Sistem stabil çalışıp gelir üretmeye başlayınca</w:t>
            </w:r>
          </w:p>
        </w:tc>
      </w:tr>
    </w:tbl>
    <w:p>
      <w:r>
        <w:br w:type="page"/>
      </w:r>
    </w:p>
    <w:p>
      <w:pPr>
        <w:pStyle w:val="Heading1"/>
        <w:spacing w:before="400" w:after="200"/>
      </w:pPr>
      <w:r>
        <w:rPr>
          <w:rFonts w:ascii="Arial" w:cs="Arial" w:eastAsia="Arial" w:hAnsi="Arial"/>
          <w:b/>
          <w:bCs/>
          <w:color w:val="1E3A5F"/>
          <w:sz w:val="32"/>
          <w:szCs w:val="32"/>
        </w:rPr>
        <w:t xml:space="preserve">BÖLÜM 9: MALİYET VE PERFORMANS MODELİ</w:t>
      </w:r>
    </w:p>
    <w:p>
      <w:pPr>
        <w:pStyle w:val="Heading2"/>
        <w:spacing w:before="300" w:after="150"/>
      </w:pPr>
      <w:r>
        <w:rPr>
          <w:rFonts w:ascii="Arial" w:cs="Arial" w:eastAsia="Arial" w:hAnsi="Arial"/>
          <w:b/>
          <w:bCs/>
          <w:color w:val="1E3A5F"/>
          <w:sz w:val="26"/>
          <w:szCs w:val="26"/>
        </w:rPr>
        <w:t xml:space="preserve">9.1 Execution Maliyet Modeli (VİOP XU030)</w:t>
      </w:r>
    </w:p>
    <w:p>
      <w:pPr>
        <w:spacing w:after="120" w:line="300"/>
        <w:jc w:val="both"/>
      </w:pPr>
      <w:r>
        <w:rPr>
          <w:rFonts w:ascii="Arial" w:cs="Arial" w:eastAsia="Arial" w:hAnsi="Arial"/>
          <w:i w:val="false"/>
          <w:iCs w:val="false"/>
          <w:color w:val="1F2937"/>
          <w:sz w:val="21"/>
          <w:szCs w:val="21"/>
        </w:rPr>
        <w:t xml:space="preserve">Her işlem için gerçekçi maliyet tahmini: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Maliyet Kalemi</w:t>
            </w:r>
          </w:p>
        </w:tc>
        <w:tc>
          <w:tcPr>
            <w:tcW w:type="dxa" w:w="2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Tahmini Değer</w:t>
            </w:r>
          </w:p>
        </w:tc>
        <w:tc>
          <w:tcPr>
            <w:tcW w:type="dxa" w:w="40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Not</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Komisyon (tek yön)</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~1-2 TL / kontrat</w:t>
            </w:r>
          </w:p>
        </w:tc>
        <w:tc>
          <w:tcPr>
            <w:tcW w:type="dxa" w:w="4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Broker ve kontrat büyüklüğüne göre değişir</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Komisyon (round-trip)</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~2-4 TL / kontrat</w:t>
            </w:r>
          </w:p>
        </w:tc>
        <w:tc>
          <w:tcPr>
            <w:tcW w:type="dxa" w:w="4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Giriş + çıkış</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Slippage (LIMIT)</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0-1 puan</w:t>
            </w:r>
          </w:p>
        </w:tc>
        <w:tc>
          <w:tcPr>
            <w:tcW w:type="dxa" w:w="4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Genellikle ihmal edilebilir</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Slippage (MARKET)</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2-5 puan</w:t>
            </w:r>
          </w:p>
        </w:tc>
        <w:tc>
          <w:tcPr>
            <w:tcW w:type="dxa" w:w="4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Volatil dönemlerde 10+ puan olabilir</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Spread maliyeti</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5-15 puan (normal)</w:t>
            </w:r>
          </w:p>
        </w:tc>
        <w:tc>
          <w:tcPr>
            <w:tcW w:type="dxa" w:w="40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Spread’in yarısı efektif maliyet</w:t>
            </w:r>
          </w:p>
        </w:tc>
      </w:tr>
      <w:t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Toplam tipik maliyet</w:t>
            </w:r>
            <w:r>
              <w:rPr>
                <w:rFonts w:ascii="Arial" w:cs="Arial" w:eastAsia="Arial" w:hAnsi="Arial"/>
                <w:color w:val="1F2937"/>
                <w:sz w:val="18"/>
                <w:szCs w:val="18"/>
              </w:rPr>
              <w:t xml:space="preserve"/>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~5-10 puan / round-trip</w:t>
            </w:r>
            <w:r>
              <w:rPr>
                <w:rFonts w:ascii="Arial" w:cs="Arial" w:eastAsia="Arial" w:hAnsi="Arial"/>
                <w:color w:val="1F2937"/>
                <w:sz w:val="18"/>
                <w:szCs w:val="18"/>
              </w:rPr>
              <w:t xml:space="preserve"/>
            </w:r>
          </w:p>
        </w:tc>
        <w:tc>
          <w:tcPr>
            <w:tcW w:type="dxa" w:w="40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
            </w:r>
            <w:r>
              <w:rPr>
                <w:rFonts w:ascii="Arial" w:cs="Arial" w:eastAsia="Arial" w:hAnsi="Arial"/>
                <w:b/>
                <w:bCs/>
                <w:color w:val="1F2937"/>
                <w:sz w:val="18"/>
                <w:szCs w:val="18"/>
              </w:rPr>
              <w:t xml:space="preserve">Bu, her işlemin en az 5-10 puan kâr etmesi gerektiği anlamına gelir</w:t>
            </w:r>
            <w:r>
              <w:rPr>
                <w:rFonts w:ascii="Arial" w:cs="Arial" w:eastAsia="Arial" w:hAnsi="Arial"/>
                <w:color w:val="1F2937"/>
                <w:sz w:val="18"/>
                <w:szCs w:val="18"/>
              </w:rPr>
              <w:t xml:space="preserve"/>
            </w:r>
          </w:p>
        </w:tc>
      </w:tr>
    </w:tbl>
    <w:p>
      <w:pPr>
        <w:spacing w:after="80"/>
      </w:pPr>
    </w:p>
    <w:p>
      <w:pPr>
        <w:spacing w:after="120" w:line="300"/>
        <w:jc w:val="both"/>
      </w:pPr>
      <w:r>
        <w:rPr>
          <w:rFonts w:ascii="Arial" w:cs="Arial" w:eastAsia="Arial" w:hAnsi="Arial"/>
          <w:i w:val="false"/>
          <w:iCs w:val="false"/>
          <w:color w:val="1F2937"/>
          <w:sz w:val="21"/>
          <w:szCs w:val="21"/>
        </w:rPr>
        <w:t xml:space="preserve"/>
      </w:r>
      <w:r>
        <w:rPr>
          <w:rFonts w:ascii="Arial" w:cs="Arial" w:eastAsia="Arial" w:hAnsi="Arial"/>
          <w:b/>
          <w:bCs/>
          <w:color w:val="1F2937"/>
          <w:sz w:val="21"/>
          <w:szCs w:val="21"/>
        </w:rPr>
        <w:t xml:space="preserve">Önemli çıkarım:</w:t>
      </w:r>
      <w:r>
        <w:rPr>
          <w:rFonts w:ascii="Arial" w:cs="Arial" w:eastAsia="Arial" w:hAnsi="Arial"/>
          <w:i w:val="false"/>
          <w:iCs w:val="false"/>
          <w:color w:val="1F2937"/>
          <w:sz w:val="21"/>
          <w:szCs w:val="21"/>
        </w:rPr>
        <w:t xml:space="preserve"> XU030’da 1 puan yaklaşık 1-2 TL değerindedir (kontrat çarpanına göre). Günde 5 işlem yapan bir bot, yalnızca işlem maliyeti olarak günde 25-50 puan (50-100 TL) kaybeder. Strateji bu maliyeti karşılayacak kadar kârlı olmalıdır.</w:t>
      </w:r>
    </w:p>
    <w:p>
      <w:pPr>
        <w:pStyle w:val="Heading2"/>
        <w:spacing w:before="300" w:after="150"/>
      </w:pPr>
      <w:r>
        <w:rPr>
          <w:rFonts w:ascii="Arial" w:cs="Arial" w:eastAsia="Arial" w:hAnsi="Arial"/>
          <w:b/>
          <w:bCs/>
          <w:color w:val="1E3A5F"/>
          <w:sz w:val="26"/>
          <w:szCs w:val="26"/>
        </w:rPr>
        <w:t xml:space="preserve">9.2 Gerçekçi Performans Beklentisi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92400E" w:sz="12"/>
              <w:bottom w:val="none" w:sz="0"/>
              <w:right w:val="none" w:sz="0"/>
            </w:tcBorders>
            <w:shd w:fill="FEF3C7" w:val="clear"/>
            <w:tcMar>
              <w:top w:type="dxa" w:w="100"/>
              <w:left w:type="dxa" w:w="150"/>
              <w:bottom w:type="dxa" w:w="100"/>
              <w:right w:type="dxa" w:w="150"/>
            </w:tcMar>
          </w:tcPr>
          <w:p>
            <w:pPr>
              <w:spacing w:after="60"/>
            </w:pPr>
            <w:r>
              <w:rPr>
                <w:rFonts w:ascii="Arial" w:cs="Arial" w:eastAsia="Arial" w:hAnsi="Arial"/>
                <w:b/>
                <w:bCs/>
                <w:color w:val="92400E"/>
                <w:sz w:val="20"/>
                <w:szCs w:val="20"/>
              </w:rPr>
              <w:t xml:space="preserve">PERFORMANS BEKLENTİSİ HAKKINDA DÜRÜST KONUşMA</w:t>
            </w:r>
          </w:p>
          <w:p>
            <w:pPr>
              <w:spacing w:after="0"/>
            </w:pPr>
            <w:r>
              <w:rPr>
                <w:rFonts w:ascii="Arial" w:cs="Arial" w:eastAsia="Arial" w:hAnsi="Arial"/>
                <w:color w:val="92400E"/>
                <w:sz w:val="19"/>
                <w:szCs w:val="19"/>
              </w:rPr>
              <w:t xml:space="preserve">Profesyonel quant fonlarının ortalama yıllık getirisi %15-25 aralığındadır (Sharpe 1.0-2.0). Bireysel algoritmik traderlar için gerçekçi hedef: İlk yıl sermayeyi korumak (zarar etmemek). İkinci yıl %10-15 yıllık getiri. Üçüncü yıl+ %20-30 (sistemin olgunlaşmasıyla). Yıllık %100+ getiri vaadi yapan herhangi bir sistem şüpheyle karşılanmalıdır.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1800"/>
        <w:gridCol w:w="1926"/>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Metrik</w:t>
            </w:r>
          </w:p>
        </w:tc>
        <w:tc>
          <w:tcPr>
            <w:tcW w:type="dxa" w:w="1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İlk Yıl Hedefi</w:t>
            </w:r>
          </w:p>
        </w:tc>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Olgun Sistem Hedefi</w:t>
            </w:r>
          </w:p>
        </w:tc>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v10.1 Hedefi</w:t>
            </w:r>
          </w:p>
        </w:tc>
        <w:tc>
          <w:tcPr>
            <w:tcW w:type="dxa" w:w="19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Değerlendirme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Sharpe Ratio</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&gt; 0.5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&gt; 1.5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&gt; 1.5 (başlangıç)</w:t>
            </w:r>
          </w:p>
        </w:tc>
        <w:tc>
          <w:tcPr>
            <w:tcW w:type="dxa" w:w="19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v10.1 başlangıç için iyimser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Max Drawdown</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&lt; %12</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&lt; %10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&lt; %10 (hard %15)</w:t>
            </w:r>
          </w:p>
        </w:tc>
        <w:tc>
          <w:tcPr>
            <w:tcW w:type="dxa" w:w="19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Makul</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Win Rate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%45-55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%55-65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&gt; %60</w:t>
            </w:r>
          </w:p>
        </w:tc>
        <w:tc>
          <w:tcPr>
            <w:tcW w:type="dxa" w:w="19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Başlangıç için %50 daha gerçekçi</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Profit Factor</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&gt; 1.1</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&gt; 1.5</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&gt; 1.5</w:t>
            </w:r>
          </w:p>
        </w:tc>
        <w:tc>
          <w:tcPr>
            <w:tcW w:type="dxa" w:w="19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Olgun sistem için uygun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Günlük İşlem Sayısı</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1-3</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Belirsiz</w:t>
            </w:r>
          </w:p>
        </w:tc>
        <w:tc>
          <w:tcPr>
            <w:tcW w:type="dxa" w:w="19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Over-trading riski yüksek</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Yıllık Getiri</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%0-10</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%15-25</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Belirsiz</w:t>
            </w:r>
          </w:p>
        </w:tc>
        <w:tc>
          <w:tcPr>
            <w:tcW w:type="dxa" w:w="19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v10.1’de getiri hedefi yok — bu aslında iyi</w:t>
            </w:r>
          </w:p>
        </w:tc>
      </w:tr>
    </w:tbl>
    <w:p>
      <w:r>
        <w:br w:type="page"/>
      </w:r>
    </w:p>
    <w:p>
      <w:pPr>
        <w:pStyle w:val="Heading1"/>
        <w:spacing w:before="400" w:after="200"/>
      </w:pPr>
      <w:r>
        <w:rPr>
          <w:rFonts w:ascii="Arial" w:cs="Arial" w:eastAsia="Arial" w:hAnsi="Arial"/>
          <w:b/>
          <w:bCs/>
          <w:color w:val="1E3A5F"/>
          <w:sz w:val="32"/>
          <w:szCs w:val="32"/>
        </w:rPr>
        <w:t xml:space="preserve">BÖLÜM 10: v10.1 İLE YENİ TASARIMIN KARŞILAŞTIRMASI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326"/>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Boyut</w:t>
            </w:r>
          </w:p>
        </w:tc>
        <w:tc>
          <w:tcPr>
            <w:tcW w:type="dxa" w:w="2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v10.1</w:t>
            </w:r>
          </w:p>
        </w:tc>
        <w:tc>
          <w:tcPr>
            <w:tcW w:type="dxa" w:w="27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Yeni Tasarım</w:t>
            </w:r>
          </w:p>
        </w:tc>
        <w:tc>
          <w:tcPr>
            <w:tcW w:type="dxa" w:w="2326"/>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Neden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Sinyal Üretimi</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3 RL ajanı ensemble</w:t>
            </w:r>
          </w:p>
        </w:tc>
        <w:tc>
          <w:tcPr>
            <w:tcW w:type="dxa" w:w="2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Kural tabanlı → tek PPO (12 ay sonra)</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Basitlik, açıklanabilirlik, hızlı iterasyon</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Fake Analiz</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7 katman</w:t>
            </w:r>
          </w:p>
        </w:tc>
        <w:tc>
          <w:tcPr>
            <w:tcW w:type="dxa" w:w="2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4 katman</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Az ama etkili &gt; çok ama zayıf</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Rejim Algılama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HMM + XGBoost (hemen)</w:t>
            </w:r>
          </w:p>
        </w:tc>
        <w:tc>
          <w:tcPr>
            <w:tcW w:type="dxa" w:w="2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Kural tabanlı → HMM (6 ay sonra)</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Veri yetersizliğinde HMM güvenilmez</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Strateji Havuzu</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500+ (hedef 10.000+)</w:t>
            </w:r>
          </w:p>
        </w:tc>
        <w:tc>
          <w:tcPr>
            <w:tcW w:type="dxa" w:w="2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12-17 strateji</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Data-mining bias önleme, yönetilebilirlik</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Sentetik Veri</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GAN</w:t>
            </w:r>
          </w:p>
        </w:tc>
        <w:tc>
          <w:tcPr>
            <w:tcW w:type="dxa" w:w="2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Yok</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Güvenilir değil, risk &gt; fayda</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Anomaly Detection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LSTM-AE</w:t>
            </w:r>
          </w:p>
        </w:tc>
        <w:tc>
          <w:tcPr>
            <w:tcW w:type="dxa" w:w="2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Z-score + IQR</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Basit, açıklanabilir, güvenilir</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Kontrat Kapsamı</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49 kontrat</w:t>
            </w:r>
          </w:p>
        </w:tc>
        <w:tc>
          <w:tcPr>
            <w:tcW w:type="dxa" w:w="2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Yalnızca XU030</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VİOP likidite gerçeği</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Mimari Ortam</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MQL5 (karar) + Python (ÜSTAT)</w:t>
            </w:r>
          </w:p>
        </w:tc>
        <w:tc>
          <w:tcPr>
            <w:tcW w:type="dxa" w:w="2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Python (karar) + MQL5 (execution)</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Python ekosistemi üstün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Timeline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24 hafta</w:t>
            </w:r>
          </w:p>
        </w:tc>
        <w:tc>
          <w:tcPr>
            <w:tcW w:type="dxa" w:w="2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12 ay</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Gerçekçi planlama</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Bulut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AWS/Docker failover</w:t>
            </w:r>
          </w:p>
        </w:tc>
        <w:tc>
          <w:tcPr>
            <w:tcW w:type="dxa" w:w="2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Yerel watchdog</w:t>
            </w:r>
          </w:p>
        </w:tc>
        <w:tc>
          <w:tcPr>
            <w:tcW w:type="dxa" w:w="2326"/>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8"/>
                <w:szCs w:val="18"/>
              </w:rPr>
              <w:t xml:space="preserve">Solo developer için yeterli</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Kod Üretimi</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LLM ile otonom MQL5</w:t>
            </w:r>
          </w:p>
        </w:tc>
        <w:tc>
          <w:tcPr>
            <w:tcW w:type="dxa" w:w="2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Şablon bazlı parametre</w:t>
            </w:r>
          </w:p>
        </w:tc>
        <w:tc>
          <w:tcPr>
            <w:tcW w:type="dxa" w:w="23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Güvenilirlik</w:t>
            </w:r>
          </w:p>
        </w:tc>
      </w:tr>
    </w:tbl>
    <w:p>
      <w:pPr>
        <w:spacing w:after="100"/>
      </w:pPr>
    </w:p>
    <w:p>
      <w:pPr>
        <w:pStyle w:val="Heading2"/>
        <w:spacing w:before="300" w:after="150"/>
      </w:pPr>
      <w:r>
        <w:rPr>
          <w:rFonts w:ascii="Arial" w:cs="Arial" w:eastAsia="Arial" w:hAnsi="Arial"/>
          <w:b/>
          <w:bCs/>
          <w:color w:val="1E3A5F"/>
          <w:sz w:val="26"/>
          <w:szCs w:val="26"/>
        </w:rPr>
        <w:t xml:space="preserve">10.1 Korunan Değerli Unsurlar</w:t>
      </w:r>
    </w:p>
    <w:p>
      <w:pPr>
        <w:spacing w:after="120" w:line="300"/>
        <w:jc w:val="both"/>
      </w:pPr>
      <w:r>
        <w:rPr>
          <w:rFonts w:ascii="Arial" w:cs="Arial" w:eastAsia="Arial" w:hAnsi="Arial"/>
          <w:i w:val="false"/>
          <w:iCs w:val="false"/>
          <w:color w:val="1F2937"/>
          <w:sz w:val="21"/>
          <w:szCs w:val="21"/>
        </w:rPr>
        <w:t xml:space="preserve">v10.1’in şu unsurları değerlidir ve korunmalıdır:</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Hiyerarşik tasarım (BABA-OĞUL-ÜSTAT):</w:t>
      </w:r>
      <w:r>
        <w:rPr>
          <w:rFonts w:ascii="Arial" w:cs="Arial" w:eastAsia="Arial" w:hAnsi="Arial"/>
          <w:color w:val="1F2937"/>
          <w:sz w:val="21"/>
          <w:szCs w:val="21"/>
        </w:rPr>
        <w:t xml:space="preserve"> Sorumluluk ayrımı doğru ve korunuyor.</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Sermaye koruma önceliği:</w:t>
      </w:r>
      <w:r>
        <w:rPr>
          <w:rFonts w:ascii="Arial" w:cs="Arial" w:eastAsia="Arial" w:hAnsi="Arial"/>
          <w:color w:val="1F2937"/>
          <w:sz w:val="21"/>
          <w:szCs w:val="21"/>
        </w:rPr>
        <w:t xml:space="preserve"> Kar maksimizasyonu yerine risk yönetimi — bu felsefi olarak doğru.</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Keşif/Strateji dengesi:</w:t>
      </w:r>
      <w:r>
        <w:rPr>
          <w:rFonts w:ascii="Arial" w:cs="Arial" w:eastAsia="Arial" w:hAnsi="Arial"/>
          <w:color w:val="1F2937"/>
          <w:sz w:val="21"/>
          <w:szCs w:val="21"/>
        </w:rPr>
        <w:t xml:space="preserve"> Exploration vs exploitation dengesi önemli.</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Kademeli güven transferi:</w:t>
      </w:r>
      <w:r>
        <w:rPr>
          <w:rFonts w:ascii="Arial" w:cs="Arial" w:eastAsia="Arial" w:hAnsi="Arial"/>
          <w:color w:val="1F2937"/>
          <w:sz w:val="21"/>
          <w:szCs w:val="21"/>
        </w:rPr>
        <w:t xml:space="preserve"> Faz 0-4 yaklaşımı makul.</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Post-trade denetim:</w:t>
      </w:r>
      <w:r>
        <w:rPr>
          <w:rFonts w:ascii="Arial" w:cs="Arial" w:eastAsia="Arial" w:hAnsi="Arial"/>
          <w:color w:val="1F2937"/>
          <w:sz w:val="21"/>
          <w:szCs w:val="21"/>
        </w:rPr>
        <w:t xml:space="preserve"> Ön onay yerine post-trade analiz VİOP için doğru.</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Quarter Kelly:</w:t>
      </w:r>
      <w:r>
        <w:rPr>
          <w:rFonts w:ascii="Arial" w:cs="Arial" w:eastAsia="Arial" w:hAnsi="Arial"/>
          <w:color w:val="1F2937"/>
          <w:sz w:val="21"/>
          <w:szCs w:val="21"/>
        </w:rPr>
        <w:t xml:space="preserve"> Agresif pozisyon sizing’ı frenleme mekanizması.</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Exception handling bilinci:</w:t>
      </w:r>
      <w:r>
        <w:rPr>
          <w:rFonts w:ascii="Arial" w:cs="Arial" w:eastAsia="Arial" w:hAnsi="Arial"/>
          <w:color w:val="1F2937"/>
          <w:sz w:val="21"/>
          <w:szCs w:val="21"/>
        </w:rPr>
        <w:t xml:space="preserve"> v10.1 revizyonları bu konuda iyi ilerleme kaydetmiş.</w:t>
      </w:r>
    </w:p>
    <w:p>
      <w:pPr>
        <w:pStyle w:val="ListParagraph"/>
        <w:numPr>
          <w:ilvl w:val="0"/>
          <w:numId w:val="2"/>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OOS validasyon zorunluluğu:</w:t>
      </w:r>
      <w:r>
        <w:rPr>
          <w:rFonts w:ascii="Arial" w:cs="Arial" w:eastAsia="Arial" w:hAnsi="Arial"/>
          <w:color w:val="1F2937"/>
          <w:sz w:val="21"/>
          <w:szCs w:val="21"/>
        </w:rPr>
        <w:t xml:space="preserve"> Bu kural kesinlikle korunmalı.</w:t>
      </w:r>
    </w:p>
    <w:p>
      <w:r>
        <w:br w:type="page"/>
      </w:r>
    </w:p>
    <w:p>
      <w:pPr>
        <w:pStyle w:val="Heading1"/>
        <w:spacing w:before="400" w:after="200"/>
      </w:pPr>
      <w:r>
        <w:rPr>
          <w:rFonts w:ascii="Arial" w:cs="Arial" w:eastAsia="Arial" w:hAnsi="Arial"/>
          <w:b/>
          <w:bCs/>
          <w:color w:val="1E3A5F"/>
          <w:sz w:val="32"/>
          <w:szCs w:val="32"/>
        </w:rPr>
        <w:t xml:space="preserve">BÖLÜM 11: SONUÇ VE TAVSİYELER</w:t>
      </w:r>
    </w:p>
    <w:p>
      <w:pPr>
        <w:pStyle w:val="Heading2"/>
        <w:spacing w:before="300" w:after="150"/>
      </w:pPr>
      <w:r>
        <w:rPr>
          <w:rFonts w:ascii="Arial" w:cs="Arial" w:eastAsia="Arial" w:hAnsi="Arial"/>
          <w:b/>
          <w:bCs/>
          <w:color w:val="1E3A5F"/>
          <w:sz w:val="26"/>
          <w:szCs w:val="26"/>
        </w:rPr>
        <w:t xml:space="preserve">11.1 Özet</w:t>
      </w:r>
    </w:p>
    <w:p>
      <w:pPr>
        <w:spacing w:after="120" w:line="300"/>
        <w:jc w:val="both"/>
      </w:pPr>
      <w:r>
        <w:rPr>
          <w:rFonts w:ascii="Arial" w:cs="Arial" w:eastAsia="Arial" w:hAnsi="Arial"/>
          <w:i w:val="false"/>
          <w:iCs w:val="false"/>
          <w:color w:val="1F2937"/>
          <w:sz w:val="21"/>
          <w:szCs w:val="21"/>
        </w:rPr>
        <w:t xml:space="preserve">BABA-OĞUL-ÜSTAT vizyoner, kapsamlı ve akademik açıdan sağlam bir projedir. Ancak kağıttan üretime geçiş, pek çok algoritmik işlem projesinin başarısız olduğu noktadır. Bu dokümanın amacı vizyonu küçültmek değil, gerçekleştirilebilir hale getirmektir.</w:t>
      </w:r>
    </w:p>
    <w:p>
      <w:pPr>
        <w:pStyle w:val="Heading2"/>
        <w:spacing w:before="300" w:after="150"/>
      </w:pPr>
      <w:r>
        <w:rPr>
          <w:rFonts w:ascii="Arial" w:cs="Arial" w:eastAsia="Arial" w:hAnsi="Arial"/>
          <w:b/>
          <w:bCs/>
          <w:color w:val="1E3A5F"/>
          <w:sz w:val="26"/>
          <w:szCs w:val="26"/>
        </w:rPr>
        <w:t xml:space="preserve">11.2 En Kritik 5 Tavsiye</w:t>
      </w:r>
    </w:p>
    <w:p>
      <w:pPr>
        <w:pStyle w:val="ListParagraph"/>
        <w:numPr>
          <w:ilvl w:val="0"/>
          <w:numId w:val="3"/>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Önce çalışsın, sonra gelişsin.</w:t>
      </w:r>
      <w:r>
        <w:rPr>
          <w:rFonts w:ascii="Arial" w:cs="Arial" w:eastAsia="Arial" w:hAnsi="Arial"/>
          <w:color w:val="1F2937"/>
          <w:sz w:val="21"/>
          <w:szCs w:val="21"/>
        </w:rPr>
        <w:t xml:space="preserve"> Kural tabanlı basit bir sistemle başla. 6 ay canlıda çalıştır. RL, HMM, evrimsel döngü gibi gelişmiş bileşenleri yalnızca baseline’ı geçtikleri kanıtlandığında ekle.</w:t>
      </w:r>
    </w:p>
    <w:p>
      <w:pPr>
        <w:pStyle w:val="ListParagraph"/>
        <w:numPr>
          <w:ilvl w:val="0"/>
          <w:numId w:val="3"/>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Her bileşeni bağımsız test et.</w:t>
      </w:r>
      <w:r>
        <w:rPr>
          <w:rFonts w:ascii="Arial" w:cs="Arial" w:eastAsia="Arial" w:hAnsi="Arial"/>
          <w:color w:val="1F2937"/>
          <w:sz w:val="21"/>
          <w:szCs w:val="21"/>
        </w:rPr>
        <w:t xml:space="preserve"> Sistem bir bütün olarak çalışmadan önce, her modül (sinyal, risk, execution, rejim) kendi başına kanıtlanmış olmalı. Unit test, integration test, regression test — yazılım mühendisliğinin temelleri burada da geçerlidir.</w:t>
      </w:r>
    </w:p>
    <w:p>
      <w:pPr>
        <w:pStyle w:val="ListParagraph"/>
        <w:numPr>
          <w:ilvl w:val="0"/>
          <w:numId w:val="3"/>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Execution maliyetlerini asla hafife alma.</w:t>
      </w:r>
      <w:r>
        <w:rPr>
          <w:rFonts w:ascii="Arial" w:cs="Arial" w:eastAsia="Arial" w:hAnsi="Arial"/>
          <w:color w:val="1F2937"/>
          <w:sz w:val="21"/>
          <w:szCs w:val="21"/>
        </w:rPr>
        <w:t xml:space="preserve"> Backtest’te her işleme en az 5-10 puan maliyet ekle. Maliyet dahil kârlı olmayan strateji, canlıda kesinlikle kârlı olmaz.</w:t>
      </w:r>
    </w:p>
    <w:p>
      <w:pPr>
        <w:pStyle w:val="ListParagraph"/>
        <w:numPr>
          <w:ilvl w:val="0"/>
          <w:numId w:val="3"/>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Overfitting konusunda paranoyak ol.</w:t>
      </w:r>
      <w:r>
        <w:rPr>
          <w:rFonts w:ascii="Arial" w:cs="Arial" w:eastAsia="Arial" w:hAnsi="Arial"/>
          <w:color w:val="1F2937"/>
          <w:sz w:val="21"/>
          <w:szCs w:val="21"/>
        </w:rPr>
        <w:t xml:space="preserve"> Walk-forward OOS testi zorunlu. Parametre hassasiyet analizi zorunlu. Monte Carlo simülasyonu şiddetle tavsiye edilir. ‘Bu strateji backtest’te harika’ demek hiçbir şey ifade etmez.</w:t>
      </w:r>
    </w:p>
    <w:p>
      <w:pPr>
        <w:pStyle w:val="ListParagraph"/>
        <w:numPr>
          <w:ilvl w:val="0"/>
          <w:numId w:val="3"/>
        </w:numPr>
        <w:spacing w:after="80" w:line="280"/>
      </w:pPr>
      <w:r>
        <w:rPr>
          <w:rFonts w:ascii="Arial" w:cs="Arial" w:eastAsia="Arial" w:hAnsi="Arial"/>
          <w:color w:val="1F2937"/>
          <w:sz w:val="21"/>
          <w:szCs w:val="21"/>
        </w:rPr>
        <w:t xml:space="preserve"/>
      </w:r>
      <w:r>
        <w:rPr>
          <w:rFonts w:ascii="Arial" w:cs="Arial" w:eastAsia="Arial" w:hAnsi="Arial"/>
          <w:b/>
          <w:bCs/>
          <w:color w:val="1F2937"/>
          <w:sz w:val="21"/>
          <w:szCs w:val="21"/>
        </w:rPr>
        <w:t xml:space="preserve">Sabrı sistem tasarlasın.</w:t>
      </w:r>
      <w:r>
        <w:rPr>
          <w:rFonts w:ascii="Arial" w:cs="Arial" w:eastAsia="Arial" w:hAnsi="Arial"/>
          <w:color w:val="1F2937"/>
          <w:sz w:val="21"/>
          <w:szCs w:val="21"/>
        </w:rPr>
        <w:t xml:space="preserve"> Algoritmik işlem maratonudur, sprint değil. İlk yıl sermayeyi korumak başarıdır. İkinci yıl tutarlı kâr başarıdır. Üçüncü yıl ölçekleme başarıdır.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65F46" w:sz="12"/>
              <w:bottom w:val="none" w:sz="0"/>
              <w:right w:val="none" w:sz="0"/>
            </w:tcBorders>
            <w:shd w:fill="D1FAE5" w:val="clear"/>
            <w:tcMar>
              <w:top w:type="dxa" w:w="100"/>
              <w:left w:type="dxa" w:w="150"/>
              <w:bottom w:type="dxa" w:w="100"/>
              <w:right w:type="dxa" w:w="150"/>
            </w:tcMar>
          </w:tcPr>
          <w:p>
            <w:pPr>
              <w:spacing w:after="60"/>
            </w:pPr>
            <w:r>
              <w:rPr>
                <w:rFonts w:ascii="Arial" w:cs="Arial" w:eastAsia="Arial" w:hAnsi="Arial"/>
                <w:b/>
                <w:bCs/>
                <w:color w:val="065F46"/>
                <w:sz w:val="20"/>
                <w:szCs w:val="20"/>
              </w:rPr>
              <w:t xml:space="preserve">SON SÖZ</w:t>
            </w:r>
          </w:p>
          <w:p>
            <w:pPr>
              <w:spacing w:after="0"/>
            </w:pPr>
            <w:r>
              <w:rPr>
                <w:rFonts w:ascii="Arial" w:cs="Arial" w:eastAsia="Arial" w:hAnsi="Arial"/>
                <w:color w:val="065F46"/>
                <w:sz w:val="19"/>
                <w:szCs w:val="19"/>
              </w:rPr>
              <w:t xml:space="preserve">Manuel işlem geçmişindeki %76.8 win rate, güçlü bir piyasa sezgisinin varlığını gösterir. Bu sezgiyi kodlamak — basit kurallarla başlayıp, veriye dayalı olarak geliştirmek — doğru yoldur. Ama bu yol 24 haftada değil, 24 ayda yürünür. Sabır, disiplin ve gerçekçilik — bu üç şey, herhangi bir algoritmadan daha değerlidir.</w:t>
            </w:r>
          </w:p>
        </w:tc>
      </w:tr>
    </w:tbl>
    <w:p>
      <w:pPr>
        <w:spacing w:after="200"/>
      </w:pPr>
    </w:p>
    <w:p>
      <w:pPr>
        <w:spacing w:after="40"/>
        <w:jc w:val="center"/>
      </w:pPr>
      <w:r>
        <w:rPr>
          <w:rFonts w:ascii="Arial" w:cs="Arial" w:eastAsia="Arial" w:hAnsi="Arial"/>
          <w:b/>
          <w:bCs/>
          <w:color w:val="6B7280"/>
          <w:sz w:val="22"/>
          <w:szCs w:val="22"/>
        </w:rPr>
        <w:t xml:space="preserve">— DOKUMAN SONU —</w:t>
      </w:r>
    </w:p>
    <w:p>
      <w:pPr>
        <w:spacing w:after="40"/>
        <w:jc w:val="center"/>
      </w:pPr>
      <w:r>
        <w:rPr>
          <w:rFonts w:ascii="Arial" w:cs="Arial" w:eastAsia="Arial" w:hAnsi="Arial"/>
          <w:color w:val="6B7280"/>
          <w:sz w:val="18"/>
          <w:szCs w:val="18"/>
        </w:rPr>
        <w:t xml:space="preserve">Bağımsız Uzman Değerlendirmesi — 21 Şubat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Sayfa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BABA-OĞUL-ÜSTAT — Production-Ready Yeniden Tasarım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2026-02-21T12:18:35.873Z</dcterms:created>
  <dcterms:modified xsi:type="dcterms:W3CDTF">2026-02-21T12:18:35.873Z</dcterms:modified>
</cp:coreProperties>
</file>

<file path=docProps/custom.xml><?xml version="1.0" encoding="utf-8"?>
<Properties xmlns="http://schemas.openxmlformats.org/officeDocument/2006/custom-properties" xmlns:vt="http://schemas.openxmlformats.org/officeDocument/2006/docPropsVTypes"/>
</file>