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Arial" w:cs="Arial" w:eastAsia="Arial" w:hAnsi="Arial"/>
          <w:b/>
          <w:bCs/>
          <w:color w:val="1A3C5E"/>
          <w:sz w:val="50"/>
          <w:szCs w:val="50"/>
        </w:rPr>
        <w:t xml:space="preserve">BABA — OĞUL — ÜSTAT</w:t>
      </w:r>
    </w:p>
    <w:p>
      <w:pPr>
        <w:spacing w:after="50"/>
        <w:jc w:val="center"/>
      </w:pPr>
      <w:r>
        <w:rPr>
          <w:rFonts w:ascii="Arial" w:cs="Arial" w:eastAsia="Arial" w:hAnsi="Arial"/>
          <w:color w:val="5F6B7A"/>
          <w:sz w:val="24"/>
          <w:szCs w:val="24"/>
        </w:rPr>
        <w:t xml:space="preserve">v11.1 — Eleştiri Analizi ve Güncellenmiş Spesifikasyon</w:t>
      </w:r>
    </w:p>
    <w:p>
      <w:pPr>
        <w:spacing w:after="100"/>
      </w:pPr>
    </w:p>
    <w:p>
      <w:pPr>
        <w:spacing w:after="30"/>
        <w:jc w:val="center"/>
      </w:pPr>
      <w:r>
        <w:rPr>
          <w:rFonts w:ascii="Arial" w:cs="Arial" w:eastAsia="Arial" w:hAnsi="Arial"/>
          <w:color w:val="8B1A1A"/>
          <w:sz w:val="22"/>
          <w:szCs w:val="22"/>
        </w:rPr>
        <w:t xml:space="preserve">4 Bağımsız Eleştiri Metninin Dürüst Değerlendirmesi</w:t>
      </w:r>
    </w:p>
    <w:p>
      <w:pPr>
        <w:spacing w:after="30"/>
        <w:jc w:val="center"/>
      </w:pPr>
      <w:r>
        <w:rPr>
          <w:rFonts w:ascii="Arial" w:cs="Arial" w:eastAsia="Arial" w:hAnsi="Arial"/>
          <w:color w:val="5F6B7A"/>
          <w:sz w:val="20"/>
          <w:szCs w:val="20"/>
        </w:rPr>
        <w:t xml:space="preserve">Kabul Edilen, Reddedilen ve Kısmi Kabul Edilen Maddeler</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Alan</w:t>
            </w:r>
          </w:p>
        </w:tc>
        <w:tc>
          <w:tcPr>
            <w:tcW w:type="dxa" w:w="71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Detay</w:t>
            </w:r>
          </w:p>
        </w:tc>
      </w:tr>
      <w:tr>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Tarih</w:t>
            </w:r>
          </w:p>
        </w:tc>
        <w:tc>
          <w:tcPr>
            <w:tcW w:type="dxa" w:w="7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21 Şubat 2026</w:t>
            </w:r>
          </w:p>
        </w:tc>
      </w:tr>
      <w:tr>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Kaynak</w:t>
            </w:r>
          </w:p>
        </w:tc>
        <w:tc>
          <w:tcPr>
            <w:tcW w:type="dxa" w:w="71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GR-1, GE-2, DS-3, CG-4 eleştiri dokümanları</w:t>
            </w:r>
          </w:p>
        </w:tc>
      </w:tr>
      <w:tr>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Yaklaşım</w:t>
            </w:r>
          </w:p>
        </w:tc>
        <w:tc>
          <w:tcPr>
            <w:tcW w:type="dxa" w:w="7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Her eleştiri: gerçek piyasada geçerli mi? Solo developer için uygulanabilir mi? Risk/fayda oranı makul mü?</w:t>
            </w:r>
          </w:p>
        </w:tc>
      </w:tr>
      <w:tr>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Prensip</w:t>
            </w:r>
          </w:p>
        </w:tc>
        <w:tc>
          <w:tcPr>
            <w:tcW w:type="dxa" w:w="71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Haklı eleştiri kabul edilir. Akademik ama pratik olmayan eleştiri reddedilir. Geçerli ama erken olan eleştiri ertelenir.</w:t>
            </w:r>
          </w:p>
        </w:tc>
      </w:tr>
    </w:tbl>
    <w:p>
      <w:r>
        <w:br w:type="page"/>
      </w:r>
    </w:p>
    <w:p>
      <w:pPr>
        <w:pStyle w:val="Heading1"/>
        <w:spacing w:before="360" w:after="180"/>
      </w:pPr>
      <w:r>
        <w:rPr>
          <w:rFonts w:ascii="Arial" w:cs="Arial" w:eastAsia="Arial" w:hAnsi="Arial"/>
          <w:b/>
          <w:bCs/>
          <w:color w:val="1A3C5E"/>
          <w:sz w:val="30"/>
          <w:szCs w:val="30"/>
        </w:rPr>
        <w:t xml:space="preserve">1. GENEL DEĞERLENDİRME</w:t>
      </w:r>
    </w:p>
    <w:p>
      <w:pPr>
        <w:spacing w:after="110" w:line="288"/>
        <w:jc w:val="both"/>
      </w:pPr>
      <w:r>
        <w:rPr>
          <w:rFonts w:ascii="Arial" w:cs="Arial" w:eastAsia="Arial" w:hAnsi="Arial"/>
          <w:i w:val="false"/>
          <w:iCs w:val="false"/>
          <w:color w:val="1B2838"/>
          <w:sz w:val="20"/>
          <w:szCs w:val="20"/>
        </w:rPr>
        <w:t xml:space="preserve">4 eleştiri metnini inceledim. Genel tespitim şu: </w:t>
      </w:r>
      <w:r>
        <w:rPr>
          <w:rFonts w:ascii="Arial" w:cs="Arial" w:eastAsia="Arial" w:hAnsi="Arial"/>
          <w:b/>
          <w:bCs/>
          <w:color w:val="1B2838"/>
          <w:sz w:val="20"/>
          <w:szCs w:val="20"/>
        </w:rPr>
        <w:t xml:space="preserve">Eleştirilerin çoğu haklı ve değerlidir.</w:t>
      </w:r>
      <w:r>
        <w:rPr>
          <w:rFonts w:ascii="Arial" w:cs="Arial" w:eastAsia="Arial" w:hAnsi="Arial"/>
          <w:i w:val="false"/>
          <w:iCs w:val="false"/>
          <w:color w:val="1B2838"/>
          <w:sz w:val="20"/>
          <w:szCs w:val="20"/>
        </w:rPr>
        <w:t xml:space="preserve"> Ancak bazıları v11.0’ın kasıtlı olarak basit tuttuğu noktaları eleştiriyor — bu farkı ayırt etmek önemli. Bir sistemi ‘eksik’ diye eleştirmek ile ‘henüz o aşamada değil’ diye bilinçli erteleme yapmak farklı şeylerdir.</w:t>
      </w:r>
    </w:p>
    <w:p>
      <w:pPr>
        <w:spacing w:after="110" w:line="288"/>
        <w:jc w:val="both"/>
      </w:pPr>
      <w:r>
        <w:rPr>
          <w:rFonts w:ascii="Arial" w:cs="Arial" w:eastAsia="Arial" w:hAnsi="Arial"/>
          <w:i w:val="false"/>
          <w:iCs w:val="false"/>
          <w:color w:val="1B2838"/>
          <w:sz w:val="20"/>
          <w:szCs w:val="20"/>
        </w:rPr>
        <w:t xml:space="preserve">Eleştirileri üç kategoriye ayırdım:</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KABUL (v11.1’e eklenir):</w:t>
      </w:r>
      <w:r>
        <w:rPr>
          <w:rFonts w:ascii="Arial" w:cs="Arial" w:eastAsia="Arial" w:hAnsi="Arial"/>
          <w:color w:val="1B2838"/>
          <w:sz w:val="20"/>
          <w:szCs w:val="20"/>
        </w:rPr>
        <w:t xml:space="preserve"> Gerçek piyasada can yakar, hemen çözülmeli, solo developer için uygulanabilir.</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KISMI KABUL / ERTELE:</w:t>
      </w:r>
      <w:r>
        <w:rPr>
          <w:rFonts w:ascii="Arial" w:cs="Arial" w:eastAsia="Arial" w:hAnsi="Arial"/>
          <w:color w:val="1B2838"/>
          <w:sz w:val="20"/>
          <w:szCs w:val="20"/>
        </w:rPr>
        <w:t xml:space="preserve"> Teorik olarak doğru ama ya şu an için erken, ya da kademeli gelişimle çözülecek.</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RED:</w:t>
      </w:r>
      <w:r>
        <w:rPr>
          <w:rFonts w:ascii="Arial" w:cs="Arial" w:eastAsia="Arial" w:hAnsi="Arial"/>
          <w:color w:val="1B2838"/>
          <w:sz w:val="20"/>
          <w:szCs w:val="20"/>
        </w:rPr>
        <w:t xml:space="preserve"> Akademik olarak doğru ama pratik değeri düşük, veya solo developer için gerçekçi değil, veya v11.0’da zaten ele alınmış.</w:t>
      </w:r>
    </w:p>
    <w:p>
      <w:pPr>
        <w:spacing w:after="40"/>
      </w:pPr>
    </w:p>
    <w:p>
      <w:pPr>
        <w:spacing w:after="110" w:line="288"/>
        <w:jc w:val="both"/>
      </w:pPr>
      <w:r>
        <w:rPr>
          <w:rFonts w:ascii="Arial" w:cs="Arial" w:eastAsia="Arial" w:hAnsi="Arial"/>
          <w:i w:val="false"/>
          <w:iCs w:val="false"/>
          <w:color w:val="1B2838"/>
          <w:sz w:val="20"/>
          <w:szCs w:val="20"/>
        </w:rPr>
        <w:t xml:space="preserve"/>
      </w:r>
      <w:r>
        <w:rPr>
          <w:rFonts w:ascii="Arial" w:cs="Arial" w:eastAsia="Arial" w:hAnsi="Arial"/>
          <w:b/>
          <w:bCs/>
          <w:color w:val="1B2838"/>
          <w:sz w:val="20"/>
          <w:szCs w:val="20"/>
        </w:rPr>
        <w:t xml:space="preserve">Sonuç özeti:</w:t>
      </w:r>
      <w:r>
        <w:rPr>
          <w:rFonts w:ascii="Arial" w:cs="Arial" w:eastAsia="Arial" w:hAnsi="Arial"/>
          <w:i w:val="false"/>
          <w:iCs w:val="false"/>
          <w:color w:val="1B2838"/>
          <w:sz w:val="20"/>
          <w:szCs w:val="20"/>
        </w:rPr>
        <w:t xml:space="preserve"> 4 dokümandan toplam ~28 ayrı eleştiri maddesi tespit ettim. Bunların </w:t>
      </w:r>
      <w:r>
        <w:rPr>
          <w:rFonts w:ascii="Arial" w:cs="Arial" w:eastAsia="Arial" w:hAnsi="Arial"/>
          <w:b/>
          <w:bCs/>
          <w:color w:val="1B2838"/>
          <w:sz w:val="20"/>
          <w:szCs w:val="20"/>
        </w:rPr>
        <w:t xml:space="preserve">14’ünü kabul ediyorum</w:t>
      </w:r>
      <w:r>
        <w:rPr>
          <w:rFonts w:ascii="Arial" w:cs="Arial" w:eastAsia="Arial" w:hAnsi="Arial"/>
          <w:i w:val="false"/>
          <w:iCs w:val="false"/>
          <w:color w:val="1B2838"/>
          <w:sz w:val="20"/>
          <w:szCs w:val="20"/>
        </w:rPr>
        <w:t xml:space="preserve">, </w:t>
      </w:r>
      <w:r>
        <w:rPr>
          <w:rFonts w:ascii="Arial" w:cs="Arial" w:eastAsia="Arial" w:hAnsi="Arial"/>
          <w:b/>
          <w:bCs/>
          <w:color w:val="1B2838"/>
          <w:sz w:val="20"/>
          <w:szCs w:val="20"/>
        </w:rPr>
        <w:t xml:space="preserve">8’ini kısmi kabul / erteliyorum</w:t>
      </w:r>
      <w:r>
        <w:rPr>
          <w:rFonts w:ascii="Arial" w:cs="Arial" w:eastAsia="Arial" w:hAnsi="Arial"/>
          <w:i w:val="false"/>
          <w:iCs w:val="false"/>
          <w:color w:val="1B2838"/>
          <w:sz w:val="20"/>
          <w:szCs w:val="20"/>
        </w:rPr>
        <w:t xml:space="preserve">, </w:t>
      </w:r>
      <w:r>
        <w:rPr>
          <w:rFonts w:ascii="Arial" w:cs="Arial" w:eastAsia="Arial" w:hAnsi="Arial"/>
          <w:b/>
          <w:bCs/>
          <w:color w:val="1B2838"/>
          <w:sz w:val="20"/>
          <w:szCs w:val="20"/>
        </w:rPr>
        <w:t xml:space="preserve">6’sını reddediyorum.</w:t>
      </w:r>
      <w:r>
        <w:rPr>
          <w:rFonts w:ascii="Arial" w:cs="Arial" w:eastAsia="Arial" w:hAnsi="Arial"/>
          <w:i w:val="false"/>
          <w:iCs w:val="false"/>
          <w:color w:val="1B2838"/>
          <w:sz w:val="20"/>
          <w:szCs w:val="20"/>
        </w:rPr>
        <w:t xml:space="preserve"> Bu oran (%50 tam kabul) eleştirilerin kalitesini gösterir — ciddi ve değerli eleştiriler.</w:t>
      </w:r>
    </w:p>
    <w:p>
      <w:r>
        <w:br w:type="page"/>
      </w:r>
    </w:p>
    <w:p>
      <w:pPr>
        <w:pStyle w:val="Heading1"/>
        <w:spacing w:before="360" w:after="180"/>
      </w:pPr>
      <w:r>
        <w:rPr>
          <w:rFonts w:ascii="Arial" w:cs="Arial" w:eastAsia="Arial" w:hAnsi="Arial"/>
          <w:b/>
          <w:bCs/>
          <w:color w:val="1A3C5E"/>
          <w:sz w:val="30"/>
          <w:szCs w:val="30"/>
        </w:rPr>
        <w:t xml:space="preserve">2. GR-1 ELEŞTİRİSİ — Profesyonel Quant Standartları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5238"/>
      </w:tblGrid>
      <w:tr>
        <w:trPr>
          <w:tblHeader/>
        </w:trPr>
        <w:tc>
          <w:tcPr>
            <w:tcW w:type="dxa" w:w="6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w:t>
            </w:r>
          </w:p>
        </w:tc>
        <w:tc>
          <w:tcPr>
            <w:tcW w:type="dxa" w:w="2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Eleştiri</w:t>
            </w:r>
          </w:p>
        </w:tc>
        <w:tc>
          <w:tcPr>
            <w:tcW w:type="dxa" w:w="1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Karar</w:t>
            </w:r>
          </w:p>
        </w:tc>
        <w:tc>
          <w:tcPr>
            <w:tcW w:type="dxa" w:w="52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Aksiyon / Gerekçe</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1</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Veri kalitesi yetersiz; MT5 verisi gürültülü, resmi BIST kaynağına geçilmeli</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KISMI 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MT5 verisi VİOP için standart veri kaynağıdır — GCM’den gelen feed broker seviyesinde yeterlidir. Ancak tick-level outlier filtreleme ve gap temizleme eksiktir → v11.1’e veri temizleme pipeline’ı eklenir. BIST doğrudan feed bireysel trader için maliyet/erişim açısından gerçekçi değil.</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2</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Backtest protokolü zayıf; stress test eksik; stochastic slippage yok</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v11.0’da stress test (2020 çöküş, TCMB şokları) belirtilmemişti. Stochastic slippage modeli (normal dağılım + kuyruklarda fat-tail) eklenmeli → v11.1 backtest protokolüne eklenir.</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3</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Stratejiler temel, overfitting riski yüksek; haber/sentiment entegrasyonu eksik</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KISMI 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Stratejilerin basit olması kasıtlıdır — karmaşık önce basit baseline gerekir. Haber entegrasyonu ise haklı bir eleştiri: hisse kontratlarında bilanço ve haber etkisi çok büyük. Tam NLP değil ama ekonomik takvim + bilanço tarihleri bazlı filtre → v11.1’e eklenir.</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4</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Tek Python process, tek bilgisayar = single point of failure</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KISMI 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Doğru ama erken aşama için kabul edilebilir risk. GCM VPS veya bulut ertelenmişti. Ancak watchdog + auto-restart yeterli değil → v11.1’e graceful shutdown + pozisyon koruma protokolü eklenir.</w:t>
            </w:r>
          </w:p>
        </w:tc>
      </w:tr>
      <w:tr>
        <w:tc>
          <w:tcPr>
            <w:tcW w:type="dxa" w:w="600"/>
            <w:tcBorders>
              <w:top w:val="single" w:color="C8CDD5" w:sz="1"/>
              <w:left w:val="single" w:color="C8CDD5" w:sz="1"/>
              <w:bottom w:val="single" w:color="C8CDD5" w:sz="1"/>
              <w:right w:val="single" w:color="C8CDD5" w:sz="1"/>
            </w:tcBorders>
            <w:shd w:fill="FDE8E8" w:val="clear"/>
            <w:tcMar>
              <w:top w:type="dxa" w:w="55"/>
              <w:left w:type="dxa" w:w="90"/>
              <w:bottom w:type="dxa" w:w="55"/>
              <w:right w:type="dxa" w:w="90"/>
            </w:tcMar>
          </w:tcPr>
          <w:p>
            <w:r>
              <w:rPr>
                <w:rFonts w:ascii="Arial" w:cs="Arial" w:eastAsia="Arial" w:hAnsi="Arial"/>
                <w:b w:val="false"/>
                <w:bCs w:val="false"/>
                <w:color w:val="1B2838"/>
                <w:sz w:val="17"/>
                <w:szCs w:val="17"/>
              </w:rPr>
              <w:t xml:space="preserve">5</w:t>
            </w:r>
          </w:p>
        </w:tc>
        <w:tc>
          <w:tcPr>
            <w:tcW w:type="dxa" w:w="2800"/>
            <w:tcBorders>
              <w:top w:val="single" w:color="C8CDD5" w:sz="1"/>
              <w:left w:val="single" w:color="C8CDD5" w:sz="1"/>
              <w:bottom w:val="single" w:color="C8CDD5" w:sz="1"/>
              <w:right w:val="single" w:color="C8CDD5" w:sz="1"/>
            </w:tcBorders>
            <w:shd w:fill="FDE8E8" w:val="clear"/>
            <w:tcMar>
              <w:top w:type="dxa" w:w="55"/>
              <w:left w:type="dxa" w:w="90"/>
              <w:bottom w:type="dxa" w:w="55"/>
              <w:right w:type="dxa" w:w="90"/>
            </w:tcMar>
          </w:tcPr>
          <w:p>
            <w:r>
              <w:rPr>
                <w:rFonts w:ascii="Arial" w:cs="Arial" w:eastAsia="Arial" w:hAnsi="Arial"/>
                <w:b w:val="false"/>
                <w:bCs w:val="false"/>
                <w:color w:val="1B2838"/>
                <w:sz w:val="17"/>
                <w:szCs w:val="17"/>
              </w:rPr>
              <w:t xml:space="preserve">VaR, CVaR, dinamik korelasyon matrisi, faktör bazlı hedge eksik</w:t>
            </w:r>
          </w:p>
        </w:tc>
        <w:tc>
          <w:tcPr>
            <w:tcW w:type="dxa" w:w="1000"/>
            <w:tcBorders>
              <w:top w:val="single" w:color="C8CDD5" w:sz="1"/>
              <w:left w:val="single" w:color="C8CDD5" w:sz="1"/>
              <w:bottom w:val="single" w:color="C8CDD5" w:sz="1"/>
              <w:right w:val="single" w:color="C8CDD5" w:sz="1"/>
            </w:tcBorders>
            <w:shd w:fill="FDE8E8" w:val="clear"/>
            <w:tcMar>
              <w:top w:type="dxa" w:w="55"/>
              <w:left w:type="dxa" w:w="90"/>
              <w:bottom w:type="dxa" w:w="55"/>
              <w:right w:type="dxa" w:w="90"/>
            </w:tcMar>
          </w:tcPr>
          <w:p>
            <w:r>
              <w:rPr>
                <w:rFonts w:ascii="Arial" w:cs="Arial" w:eastAsia="Arial" w:hAnsi="Arial"/>
                <w:b/>
                <w:bCs/>
                <w:color w:val="8B1A1A"/>
                <w:sz w:val="17"/>
                <w:szCs w:val="17"/>
              </w:rPr>
              <w:t xml:space="preserve">RED</w:t>
            </w:r>
          </w:p>
        </w:tc>
        <w:tc>
          <w:tcPr>
            <w:tcW w:type="dxa" w:w="5238"/>
            <w:tcBorders>
              <w:top w:val="single" w:color="C8CDD5" w:sz="1"/>
              <w:left w:val="single" w:color="C8CDD5" w:sz="1"/>
              <w:bottom w:val="single" w:color="C8CDD5" w:sz="1"/>
              <w:right w:val="single" w:color="C8CDD5" w:sz="1"/>
            </w:tcBorders>
            <w:shd w:fill="FDE8E8" w:val="clear"/>
            <w:tcMar>
              <w:top w:type="dxa" w:w="55"/>
              <w:left w:type="dxa" w:w="90"/>
              <w:bottom w:type="dxa" w:w="55"/>
              <w:right w:type="dxa" w:w="90"/>
            </w:tcMar>
          </w:tcPr>
          <w:p>
            <w:r>
              <w:rPr>
                <w:rFonts w:ascii="Arial" w:cs="Arial" w:eastAsia="Arial" w:hAnsi="Arial"/>
                <w:b w:val="false"/>
                <w:bCs w:val="false"/>
                <w:color w:val="1B2838"/>
                <w:sz w:val="17"/>
                <w:szCs w:val="17"/>
              </w:rPr>
              <w:t xml:space="preserve">Bunlar kurumsal quant fonu metrikleridir. Solo developer, 15 kontrat, 1 lot işlem yapan test aşamasındaki bir sistem için VaR/CVaR hesaplamak over-engineering’dir. Basit risk limitleri (günlük %2, max 3 aynı yön) bu aşamada yeterlidir. Sistem olgunlaşınca eklenebilir.</w:t>
            </w:r>
          </w:p>
        </w:tc>
      </w:tr>
      <w:tr>
        <w:tc>
          <w:tcPr>
            <w:tcW w:type="dxa" w:w="600"/>
            <w:tcBorders>
              <w:top w:val="single" w:color="C8CDD5" w:sz="1"/>
              <w:left w:val="single" w:color="C8CDD5" w:sz="1"/>
              <w:bottom w:val="single" w:color="C8CDD5" w:sz="1"/>
              <w:right w:val="single" w:color="C8CDD5" w:sz="1"/>
            </w:tcBorders>
            <w:shd w:fill="FFEBEE" w:val="clear"/>
            <w:tcMar>
              <w:top w:type="dxa" w:w="55"/>
              <w:left w:type="dxa" w:w="90"/>
              <w:bottom w:type="dxa" w:w="55"/>
              <w:right w:type="dxa" w:w="90"/>
            </w:tcMar>
          </w:tcPr>
          <w:p>
            <w:r>
              <w:rPr>
                <w:rFonts w:ascii="Arial" w:cs="Arial" w:eastAsia="Arial" w:hAnsi="Arial"/>
                <w:b w:val="false"/>
                <w:bCs w:val="false"/>
                <w:color w:val="1B2838"/>
                <w:sz w:val="17"/>
                <w:szCs w:val="17"/>
              </w:rPr>
              <w:t xml:space="preserve">6</w:t>
            </w:r>
          </w:p>
        </w:tc>
        <w:tc>
          <w:tcPr>
            <w:tcW w:type="dxa" w:w="2800"/>
            <w:tcBorders>
              <w:top w:val="single" w:color="C8CDD5" w:sz="1"/>
              <w:left w:val="single" w:color="C8CDD5" w:sz="1"/>
              <w:bottom w:val="single" w:color="C8CDD5" w:sz="1"/>
              <w:right w:val="single" w:color="C8CDD5" w:sz="1"/>
            </w:tcBorders>
            <w:shd w:fill="FFEBEE" w:val="clear"/>
            <w:tcMar>
              <w:top w:type="dxa" w:w="55"/>
              <w:left w:type="dxa" w:w="90"/>
              <w:bottom w:type="dxa" w:w="55"/>
              <w:right w:type="dxa" w:w="90"/>
            </w:tcMar>
          </w:tcPr>
          <w:p>
            <w:r>
              <w:rPr>
                <w:rFonts w:ascii="Arial" w:cs="Arial" w:eastAsia="Arial" w:hAnsi="Arial"/>
                <w:b w:val="false"/>
                <w:bCs w:val="false"/>
                <w:color w:val="1B2838"/>
                <w:sz w:val="17"/>
                <w:szCs w:val="17"/>
              </w:rPr>
              <w:t xml:space="preserve">Ölçeklenebilirlik sınırlı; 50+ kontrata geçişte mimari çökebilir</w:t>
            </w:r>
          </w:p>
        </w:tc>
        <w:tc>
          <w:tcPr>
            <w:tcW w:type="dxa" w:w="1000"/>
            <w:tcBorders>
              <w:top w:val="single" w:color="C8CDD5" w:sz="1"/>
              <w:left w:val="single" w:color="C8CDD5" w:sz="1"/>
              <w:bottom w:val="single" w:color="C8CDD5" w:sz="1"/>
              <w:right w:val="single" w:color="C8CDD5" w:sz="1"/>
            </w:tcBorders>
            <w:shd w:fill="FFEBEE" w:val="clear"/>
            <w:tcMar>
              <w:top w:type="dxa" w:w="55"/>
              <w:left w:type="dxa" w:w="90"/>
              <w:bottom w:type="dxa" w:w="55"/>
              <w:right w:type="dxa" w:w="90"/>
            </w:tcMar>
          </w:tcPr>
          <w:p>
            <w:r>
              <w:rPr>
                <w:rFonts w:ascii="Arial" w:cs="Arial" w:eastAsia="Arial" w:hAnsi="Arial"/>
                <w:b/>
                <w:bCs/>
                <w:color w:val="8B1A1A"/>
                <w:sz w:val="17"/>
                <w:szCs w:val="17"/>
              </w:rPr>
              <w:t xml:space="preserve">RED</w:t>
            </w:r>
          </w:p>
        </w:tc>
        <w:tc>
          <w:tcPr>
            <w:tcW w:type="dxa" w:w="5238"/>
            <w:tcBorders>
              <w:top w:val="single" w:color="C8CDD5" w:sz="1"/>
              <w:left w:val="single" w:color="C8CDD5" w:sz="1"/>
              <w:bottom w:val="single" w:color="C8CDD5" w:sz="1"/>
              <w:right w:val="single" w:color="C8CDD5" w:sz="1"/>
            </w:tcBorders>
            <w:shd w:fill="FFEBEE" w:val="clear"/>
            <w:tcMar>
              <w:top w:type="dxa" w:w="55"/>
              <w:left w:type="dxa" w:w="90"/>
              <w:bottom w:type="dxa" w:w="55"/>
              <w:right w:type="dxa" w:w="90"/>
            </w:tcMar>
          </w:tcPr>
          <w:p>
            <w:r>
              <w:rPr>
                <w:rFonts w:ascii="Arial" w:cs="Arial" w:eastAsia="Arial" w:hAnsi="Arial"/>
                <w:b w:val="false"/>
                <w:bCs w:val="false"/>
                <w:color w:val="1B2838"/>
                <w:sz w:val="17"/>
                <w:szCs w:val="17"/>
              </w:rPr>
              <w:t xml:space="preserve">v11.0 zaten 50+ kontrat hedeflemiyor. 15 kontrat, sadece XU030-dışı likit hisseler. Mimari 15 kontrat için tasarlandı, 50+ kontrat için değil. Bu bilinçli bir sınırlama.</w:t>
            </w:r>
          </w:p>
        </w:tc>
      </w:tr>
      <w:tr>
        <w:tc>
          <w:tcPr>
            <w:tcW w:type="dxa" w:w="600"/>
            <w:tcBorders>
              <w:top w:val="single" w:color="C8CDD5" w:sz="1"/>
              <w:left w:val="single" w:color="C8CDD5" w:sz="1"/>
              <w:bottom w:val="single" w:color="C8CDD5" w:sz="1"/>
              <w:right w:val="single" w:color="C8CDD5" w:sz="1"/>
            </w:tcBorders>
            <w:shd w:fill="FDE8E8" w:val="clear"/>
            <w:tcMar>
              <w:top w:type="dxa" w:w="55"/>
              <w:left w:type="dxa" w:w="90"/>
              <w:bottom w:type="dxa" w:w="55"/>
              <w:right w:type="dxa" w:w="90"/>
            </w:tcMar>
          </w:tcPr>
          <w:p>
            <w:r>
              <w:rPr>
                <w:rFonts w:ascii="Arial" w:cs="Arial" w:eastAsia="Arial" w:hAnsi="Arial"/>
                <w:b w:val="false"/>
                <w:bCs w:val="false"/>
                <w:color w:val="1B2838"/>
                <w:sz w:val="17"/>
                <w:szCs w:val="17"/>
              </w:rPr>
              <w:t xml:space="preserve">7</w:t>
            </w:r>
          </w:p>
        </w:tc>
        <w:tc>
          <w:tcPr>
            <w:tcW w:type="dxa" w:w="2800"/>
            <w:tcBorders>
              <w:top w:val="single" w:color="C8CDD5" w:sz="1"/>
              <w:left w:val="single" w:color="C8CDD5" w:sz="1"/>
              <w:bottom w:val="single" w:color="C8CDD5" w:sz="1"/>
              <w:right w:val="single" w:color="C8CDD5" w:sz="1"/>
            </w:tcBorders>
            <w:shd w:fill="FDE8E8" w:val="clear"/>
            <w:tcMar>
              <w:top w:type="dxa" w:w="55"/>
              <w:left w:type="dxa" w:w="90"/>
              <w:bottom w:type="dxa" w:w="55"/>
              <w:right w:type="dxa" w:w="90"/>
            </w:tcMar>
          </w:tcPr>
          <w:p>
            <w:r>
              <w:rPr>
                <w:rFonts w:ascii="Arial" w:cs="Arial" w:eastAsia="Arial" w:hAnsi="Arial"/>
                <w:b w:val="false"/>
                <w:bCs w:val="false"/>
                <w:color w:val="1B2838"/>
                <w:sz w:val="17"/>
                <w:szCs w:val="17"/>
              </w:rPr>
              <w:t xml:space="preserve">İnsan gözetimi bağımlılığı yüksek; quant fonları %95+ otonom</w:t>
            </w:r>
          </w:p>
        </w:tc>
        <w:tc>
          <w:tcPr>
            <w:tcW w:type="dxa" w:w="1000"/>
            <w:tcBorders>
              <w:top w:val="single" w:color="C8CDD5" w:sz="1"/>
              <w:left w:val="single" w:color="C8CDD5" w:sz="1"/>
              <w:bottom w:val="single" w:color="C8CDD5" w:sz="1"/>
              <w:right w:val="single" w:color="C8CDD5" w:sz="1"/>
            </w:tcBorders>
            <w:shd w:fill="FDE8E8" w:val="clear"/>
            <w:tcMar>
              <w:top w:type="dxa" w:w="55"/>
              <w:left w:type="dxa" w:w="90"/>
              <w:bottom w:type="dxa" w:w="55"/>
              <w:right w:type="dxa" w:w="90"/>
            </w:tcMar>
          </w:tcPr>
          <w:p>
            <w:r>
              <w:rPr>
                <w:rFonts w:ascii="Arial" w:cs="Arial" w:eastAsia="Arial" w:hAnsi="Arial"/>
                <w:b/>
                <w:bCs/>
                <w:color w:val="8B1A1A"/>
                <w:sz w:val="17"/>
                <w:szCs w:val="17"/>
              </w:rPr>
              <w:t xml:space="preserve">RED</w:t>
            </w:r>
          </w:p>
        </w:tc>
        <w:tc>
          <w:tcPr>
            <w:tcW w:type="dxa" w:w="5238"/>
            <w:tcBorders>
              <w:top w:val="single" w:color="C8CDD5" w:sz="1"/>
              <w:left w:val="single" w:color="C8CDD5" w:sz="1"/>
              <w:bottom w:val="single" w:color="C8CDD5" w:sz="1"/>
              <w:right w:val="single" w:color="C8CDD5" w:sz="1"/>
            </w:tcBorders>
            <w:shd w:fill="FDE8E8" w:val="clear"/>
            <w:tcMar>
              <w:top w:type="dxa" w:w="55"/>
              <w:left w:type="dxa" w:w="90"/>
              <w:bottom w:type="dxa" w:w="55"/>
              <w:right w:type="dxa" w:w="90"/>
            </w:tcMar>
          </w:tcPr>
          <w:p>
            <w:r>
              <w:rPr>
                <w:rFonts w:ascii="Arial" w:cs="Arial" w:eastAsia="Arial" w:hAnsi="Arial"/>
                <w:b w:val="false"/>
                <w:bCs w:val="false"/>
                <w:color w:val="1B2838"/>
                <w:sz w:val="17"/>
                <w:szCs w:val="17"/>
              </w:rPr>
              <w:t xml:space="preserve">Quant fonları ile solo developer karşılaştırılmamalı. Bu sistemin insan gözetimi gerektirmesi bilinçli bir güvenlik kararıdır. Tam otonom bot = kontrol kaybı riski. Test aşamasında insan gözetimi şart.</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8</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VİOP’a özgü riskler için daha agresif kill-switch gerekli</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Flash spike ve hisse spesifik haber senaryoları için BABA’ya ‘acil kapatım’ (kill-switch) modu eklenmeli → v11.1.</w:t>
            </w:r>
          </w:p>
        </w:tc>
      </w:tr>
    </w:tbl>
    <w:p>
      <w:r>
        <w:br w:type="page"/>
      </w:r>
    </w:p>
    <w:p>
      <w:pPr>
        <w:pStyle w:val="Heading1"/>
        <w:spacing w:before="360" w:after="180"/>
      </w:pPr>
      <w:r>
        <w:rPr>
          <w:rFonts w:ascii="Arial" w:cs="Arial" w:eastAsia="Arial" w:hAnsi="Arial"/>
          <w:b/>
          <w:bCs/>
          <w:color w:val="1A3C5E"/>
          <w:sz w:val="30"/>
          <w:szCs w:val="30"/>
        </w:rPr>
        <w:t xml:space="preserve">3. GE-2 ELEŞTİRİSİ — Yapısal Risk Analizi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5238"/>
      </w:tblGrid>
      <w:tr>
        <w:trPr>
          <w:tblHeader/>
        </w:trPr>
        <w:tc>
          <w:tcPr>
            <w:tcW w:type="dxa" w:w="6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w:t>
            </w:r>
          </w:p>
        </w:tc>
        <w:tc>
          <w:tcPr>
            <w:tcW w:type="dxa" w:w="2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Eleştiri</w:t>
            </w:r>
          </w:p>
        </w:tc>
        <w:tc>
          <w:tcPr>
            <w:tcW w:type="dxa" w:w="1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Karar</w:t>
            </w:r>
          </w:p>
        </w:tc>
        <w:tc>
          <w:tcPr>
            <w:tcW w:type="dxa" w:w="52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Aksiyon / Gerekçe</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1</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Likidite hiyerarşisi uçurumu; düşük likiditeli kontratlar fake etiketiyle engellenir</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Çok haklı. THYAO ile ASTOR’u aynı sepette tutmak sorunlu. Çözüm: Kontratları likidite sınıfına ayır (A: yüksek, B: orta, C: düşük). Her sınıf için farklı hacim/spread eşiği → v11.1’e eklenir.</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2</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Market fallback 5s kuralı volatile’de slippage patlatır</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Volatile rejimde market fallback devreye girmemeli. Çözüm: Rejim = VOLATILE veya OLAY ise market fallback deaktif, sadece LIMIT. Dolmazsa iptal → v11.1.</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3</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Kural tabanlı rejim algılama gecikmeli (lagging)</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KISMI 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ADX ve ATR gecikmeli göstergelerdir, bu doğru. Ancak alternatif (HMM) erken aşamada daha riskli. Çözüm: Gecikmeyi azaltmak için hızlı tetikleyiciler ekle (spread ani genişleme, 1-bar %1.5+ hareket) → v11.1’e erken uyarı katmanı eklenir.</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4</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Korelasyon yönetimi statik; endeks ağırlık farkı dikkate alınmıyor</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THYAO’nun XU030’daki ağırlığı %8-10 iken SOKM %1-2. Aynı pozisyon sayılmaz. Çözüm: Endeks ağırlığına göre risk skoru hesaplaması → v11.1.</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5</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Single point of failure; Py-MT5 köprüsü kırılgan</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KISMI 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Aynı eleştiri GR-1’de de var. Erken aşama için kabul edilebilir ama graceful shutdown şart → v11.1.</w:t>
            </w:r>
          </w:p>
        </w:tc>
      </w:tr>
    </w:tbl>
    <w:p>
      <w:r>
        <w:br w:type="page"/>
      </w:r>
    </w:p>
    <w:p>
      <w:pPr>
        <w:pStyle w:val="Heading1"/>
        <w:spacing w:before="360" w:after="180"/>
      </w:pPr>
      <w:r>
        <w:rPr>
          <w:rFonts w:ascii="Arial" w:cs="Arial" w:eastAsia="Arial" w:hAnsi="Arial"/>
          <w:b/>
          <w:bCs/>
          <w:color w:val="1A3C5E"/>
          <w:sz w:val="30"/>
          <w:szCs w:val="30"/>
        </w:rPr>
        <w:t xml:space="preserve">4. DS-3 ELEŞTİRİSİ — Zayıf Yönler ve Gelişim Alanları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5238"/>
      </w:tblGrid>
      <w:tr>
        <w:trPr>
          <w:tblHeader/>
        </w:trPr>
        <w:tc>
          <w:tcPr>
            <w:tcW w:type="dxa" w:w="6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w:t>
            </w:r>
          </w:p>
        </w:tc>
        <w:tc>
          <w:tcPr>
            <w:tcW w:type="dxa" w:w="2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Eleştiri</w:t>
            </w:r>
          </w:p>
        </w:tc>
        <w:tc>
          <w:tcPr>
            <w:tcW w:type="dxa" w:w="1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Karar</w:t>
            </w:r>
          </w:p>
        </w:tc>
        <w:tc>
          <w:tcPr>
            <w:tcW w:type="dxa" w:w="52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Aksiyon / Gerekçe</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1</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Rejim geçişi için nicel veri eşiği tanımlanmamış</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HMM’e geçiş için net kriter gerekli. Çözüm: Min 500 canlı işlem + 6 ay veri + kural tabanlı baseline Sharpe kaydedilmiş olmalı → v11.1’e eklenir.</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2</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Puanlama ağırlıkları subjektif</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KISMI 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Başlangıçta subjektif olması kaçınılmaz — veri olmadan optimize edemezsin. Ancak 6 ay sonra ağırlıkların veriye dayalı kalibrasyonu yapılmalı → v11.1 yol haritasına eklenir.</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3</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Monte Carlo simülasyonu eksik</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v11.0 backtest bölümünde Monte Carlo zaten önerilmişti ama validasyon protokolüne zorunlu olarak eklenmemişti. Şimdi zorunlu → v11.1.</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4</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Regime drift analizi yetersiz</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Piyasa rejim değiştirdiğinde parametrelerin nasıl tepki vereceği test edilmeli. Çözüm: Backtest’te kasıtlı rejim kırılma dönemleri (TCMB, seçim) ayrıca test edilir → v11.1.</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5</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Sektör bazlı korelasyon riski göz ardı edilmiş</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Çok haklı. 3 banka hissesinde long = tek pozisyon gibi. Çözüm: Sektör bazlı max 2 aynı yön pozisyon kuralı → v11.1.</w:t>
            </w:r>
          </w:p>
        </w:tc>
      </w:tr>
      <w:tr>
        <w:tc>
          <w:tcPr>
            <w:tcW w:type="dxa" w:w="600"/>
            <w:tcBorders>
              <w:top w:val="single" w:color="C8CDD5" w:sz="1"/>
              <w:left w:val="single" w:color="C8CDD5" w:sz="1"/>
              <w:bottom w:val="single" w:color="C8CDD5" w:sz="1"/>
              <w:right w:val="single" w:color="C8CDD5" w:sz="1"/>
            </w:tcBorders>
            <w:shd w:fill="FFF9E6" w:val="clear"/>
            <w:tcMar>
              <w:top w:type="dxa" w:w="55"/>
              <w:left w:type="dxa" w:w="90"/>
              <w:bottom w:type="dxa" w:w="55"/>
              <w:right w:type="dxa" w:w="90"/>
            </w:tcMar>
          </w:tcPr>
          <w:p>
            <w:r>
              <w:rPr>
                <w:rFonts w:ascii="Arial" w:cs="Arial" w:eastAsia="Arial" w:hAnsi="Arial"/>
                <w:b w:val="false"/>
                <w:bCs w:val="false"/>
                <w:color w:val="1B2838"/>
                <w:sz w:val="17"/>
                <w:szCs w:val="17"/>
              </w:rPr>
              <w:t xml:space="preserve">6</w:t>
            </w:r>
          </w:p>
        </w:tc>
        <w:tc>
          <w:tcPr>
            <w:tcW w:type="dxa" w:w="2800"/>
            <w:tcBorders>
              <w:top w:val="single" w:color="C8CDD5" w:sz="1"/>
              <w:left w:val="single" w:color="C8CDD5" w:sz="1"/>
              <w:bottom w:val="single" w:color="C8CDD5" w:sz="1"/>
              <w:right w:val="single" w:color="C8CDD5" w:sz="1"/>
            </w:tcBorders>
            <w:shd w:fill="FFF9E6" w:val="clear"/>
            <w:tcMar>
              <w:top w:type="dxa" w:w="55"/>
              <w:left w:type="dxa" w:w="90"/>
              <w:bottom w:type="dxa" w:w="55"/>
              <w:right w:type="dxa" w:w="90"/>
            </w:tcMar>
          </w:tcPr>
          <w:p>
            <w:r>
              <w:rPr>
                <w:rFonts w:ascii="Arial" w:cs="Arial" w:eastAsia="Arial" w:hAnsi="Arial"/>
                <w:b w:val="false"/>
                <w:bCs w:val="false"/>
                <w:color w:val="1B2838"/>
                <w:sz w:val="17"/>
                <w:szCs w:val="17"/>
              </w:rPr>
              <w:t xml:space="preserve">Endeks hedge mekanizması yok</w:t>
            </w:r>
          </w:p>
        </w:tc>
        <w:tc>
          <w:tcPr>
            <w:tcW w:type="dxa" w:w="1000"/>
            <w:tcBorders>
              <w:top w:val="single" w:color="C8CDD5" w:sz="1"/>
              <w:left w:val="single" w:color="C8CDD5" w:sz="1"/>
              <w:bottom w:val="single" w:color="C8CDD5" w:sz="1"/>
              <w:right w:val="single" w:color="C8CDD5" w:sz="1"/>
            </w:tcBorders>
            <w:shd w:fill="FFF9E6" w:val="clear"/>
            <w:tcMar>
              <w:top w:type="dxa" w:w="55"/>
              <w:left w:type="dxa" w:w="90"/>
              <w:bottom w:type="dxa" w:w="55"/>
              <w:right w:type="dxa" w:w="90"/>
            </w:tcMar>
          </w:tcPr>
          <w:p>
            <w:r>
              <w:rPr>
                <w:rFonts w:ascii="Arial" w:cs="Arial" w:eastAsia="Arial" w:hAnsi="Arial"/>
                <w:b/>
                <w:bCs/>
                <w:color w:val="7C4A03"/>
                <w:sz w:val="17"/>
                <w:szCs w:val="17"/>
              </w:rPr>
              <w:t xml:space="preserve">ERTELE</w:t>
            </w:r>
          </w:p>
        </w:tc>
        <w:tc>
          <w:tcPr>
            <w:tcW w:type="dxa" w:w="5238"/>
            <w:tcBorders>
              <w:top w:val="single" w:color="C8CDD5" w:sz="1"/>
              <w:left w:val="single" w:color="C8CDD5" w:sz="1"/>
              <w:bottom w:val="single" w:color="C8CDD5" w:sz="1"/>
              <w:right w:val="single" w:color="C8CDD5" w:sz="1"/>
            </w:tcBorders>
            <w:shd w:fill="FFF9E6" w:val="clear"/>
            <w:tcMar>
              <w:top w:type="dxa" w:w="55"/>
              <w:left w:type="dxa" w:w="90"/>
              <w:bottom w:type="dxa" w:w="55"/>
              <w:right w:type="dxa" w:w="90"/>
            </w:tcMar>
          </w:tcPr>
          <w:p>
            <w:r>
              <w:rPr>
                <w:rFonts w:ascii="Arial" w:cs="Arial" w:eastAsia="Arial" w:hAnsi="Arial"/>
                <w:b w:val="false"/>
                <w:bCs w:val="false"/>
                <w:color w:val="1B2838"/>
                <w:sz w:val="17"/>
                <w:szCs w:val="17"/>
              </w:rPr>
              <w:t xml:space="preserve">Teorik olarak doğru ama test aşamasında 1 kontrat işlem yapan sistemin hedge pozisyonu açması karmaşıklık ekler. Sistem olgunlaşınca (Faz E+) değerlendirilir.</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7</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Manuel müdahale logu ve acil durum butonu yok</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Her manuel müdahale loglanmalı, acil ‘hepsini kapat’ butonu olmalı → v11.1.</w:t>
            </w:r>
          </w:p>
        </w:tc>
      </w:tr>
      <w:tr>
        <w:tc>
          <w:tcPr>
            <w:tcW w:type="dxa" w:w="600"/>
            <w:tcBorders>
              <w:top w:val="single" w:color="C8CDD5" w:sz="1"/>
              <w:left w:val="single" w:color="C8CDD5" w:sz="1"/>
              <w:bottom w:val="single" w:color="C8CDD5" w:sz="1"/>
              <w:right w:val="single" w:color="C8CDD5" w:sz="1"/>
            </w:tcBorders>
            <w:shd w:fill="FFF9E6" w:val="clear"/>
            <w:tcMar>
              <w:top w:type="dxa" w:w="55"/>
              <w:left w:type="dxa" w:w="90"/>
              <w:bottom w:type="dxa" w:w="55"/>
              <w:right w:type="dxa" w:w="90"/>
            </w:tcMar>
          </w:tcPr>
          <w:p>
            <w:r>
              <w:rPr>
                <w:rFonts w:ascii="Arial" w:cs="Arial" w:eastAsia="Arial" w:hAnsi="Arial"/>
                <w:b w:val="false"/>
                <w:bCs w:val="false"/>
                <w:color w:val="1B2838"/>
                <w:sz w:val="17"/>
                <w:szCs w:val="17"/>
              </w:rPr>
              <w:t xml:space="preserve">8</w:t>
            </w:r>
          </w:p>
        </w:tc>
        <w:tc>
          <w:tcPr>
            <w:tcW w:type="dxa" w:w="2800"/>
            <w:tcBorders>
              <w:top w:val="single" w:color="C8CDD5" w:sz="1"/>
              <w:left w:val="single" w:color="C8CDD5" w:sz="1"/>
              <w:bottom w:val="single" w:color="C8CDD5" w:sz="1"/>
              <w:right w:val="single" w:color="C8CDD5" w:sz="1"/>
            </w:tcBorders>
            <w:shd w:fill="FFF9E6" w:val="clear"/>
            <w:tcMar>
              <w:top w:type="dxa" w:w="55"/>
              <w:left w:type="dxa" w:w="90"/>
              <w:bottom w:type="dxa" w:w="55"/>
              <w:right w:type="dxa" w:w="90"/>
            </w:tcMar>
          </w:tcPr>
          <w:p>
            <w:r>
              <w:rPr>
                <w:rFonts w:ascii="Arial" w:cs="Arial" w:eastAsia="Arial" w:hAnsi="Arial"/>
                <w:b w:val="false"/>
                <w:bCs w:val="false"/>
                <w:color w:val="1B2838"/>
                <w:sz w:val="17"/>
                <w:szCs w:val="17"/>
              </w:rPr>
              <w:t xml:space="preserve">SQLite ölçeklenebilirlik riski</w:t>
            </w:r>
          </w:p>
        </w:tc>
        <w:tc>
          <w:tcPr>
            <w:tcW w:type="dxa" w:w="1000"/>
            <w:tcBorders>
              <w:top w:val="single" w:color="C8CDD5" w:sz="1"/>
              <w:left w:val="single" w:color="C8CDD5" w:sz="1"/>
              <w:bottom w:val="single" w:color="C8CDD5" w:sz="1"/>
              <w:right w:val="single" w:color="C8CDD5" w:sz="1"/>
            </w:tcBorders>
            <w:shd w:fill="FFF9E6" w:val="clear"/>
            <w:tcMar>
              <w:top w:type="dxa" w:w="55"/>
              <w:left w:type="dxa" w:w="90"/>
              <w:bottom w:type="dxa" w:w="55"/>
              <w:right w:type="dxa" w:w="90"/>
            </w:tcMar>
          </w:tcPr>
          <w:p>
            <w:r>
              <w:rPr>
                <w:rFonts w:ascii="Arial" w:cs="Arial" w:eastAsia="Arial" w:hAnsi="Arial"/>
                <w:b/>
                <w:bCs/>
                <w:color w:val="7C4A03"/>
                <w:sz w:val="17"/>
                <w:szCs w:val="17"/>
              </w:rPr>
              <w:t xml:space="preserve">ERTELE</w:t>
            </w:r>
          </w:p>
        </w:tc>
        <w:tc>
          <w:tcPr>
            <w:tcW w:type="dxa" w:w="5238"/>
            <w:tcBorders>
              <w:top w:val="single" w:color="C8CDD5" w:sz="1"/>
              <w:left w:val="single" w:color="C8CDD5" w:sz="1"/>
              <w:bottom w:val="single" w:color="C8CDD5" w:sz="1"/>
              <w:right w:val="single" w:color="C8CDD5" w:sz="1"/>
            </w:tcBorders>
            <w:shd w:fill="FFF9E6" w:val="clear"/>
            <w:tcMar>
              <w:top w:type="dxa" w:w="55"/>
              <w:left w:type="dxa" w:w="90"/>
              <w:bottom w:type="dxa" w:w="55"/>
              <w:right w:type="dxa" w:w="90"/>
            </w:tcMar>
          </w:tcPr>
          <w:p>
            <w:r>
              <w:rPr>
                <w:rFonts w:ascii="Arial" w:cs="Arial" w:eastAsia="Arial" w:hAnsi="Arial"/>
                <w:b w:val="false"/>
                <w:bCs w:val="false"/>
                <w:color w:val="1B2838"/>
                <w:sz w:val="17"/>
                <w:szCs w:val="17"/>
              </w:rPr>
              <w:t xml:space="preserve">Doğru ama erken. SQLite yıllarca yeterli (günde 5 işlem + bar verisi = yılda ~2-3 GB). Sorun yaşanırsa TimescaleDB geçiş planı yapılır.</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9</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Tek bilgisayar riski; bulut failover şart</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KISMI 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GR-1 ile aynı. Erken aşama için watchdog + graceful shutdown. GCM VPS Faz D’de değerlendirilir.</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10</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Paper trade süresi kısa; 8 hafta olmalı</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4 hafta yetersiz. Farklı piyasa koşullarını görmek için 8 hafta → v11.1.</w:t>
            </w:r>
          </w:p>
        </w:tc>
      </w:tr>
    </w:tbl>
    <w:p>
      <w:r>
        <w:br w:type="page"/>
      </w:r>
    </w:p>
    <w:p>
      <w:pPr>
        <w:pStyle w:val="Heading1"/>
        <w:spacing w:before="360" w:after="180"/>
      </w:pPr>
      <w:r>
        <w:rPr>
          <w:rFonts w:ascii="Arial" w:cs="Arial" w:eastAsia="Arial" w:hAnsi="Arial"/>
          <w:b/>
          <w:bCs/>
          <w:color w:val="1A3C5E"/>
          <w:sz w:val="30"/>
          <w:szCs w:val="30"/>
        </w:rPr>
        <w:t xml:space="preserve">5. CG-4 ELEŞTİRİSİ — Teknik-Operasyonel Analiz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5238"/>
      </w:tblGrid>
      <w:tr>
        <w:trPr>
          <w:tblHeader/>
        </w:trPr>
        <w:tc>
          <w:tcPr>
            <w:tcW w:type="dxa" w:w="6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w:t>
            </w:r>
          </w:p>
        </w:tc>
        <w:tc>
          <w:tcPr>
            <w:tcW w:type="dxa" w:w="2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Eleştiri</w:t>
            </w:r>
          </w:p>
        </w:tc>
        <w:tc>
          <w:tcPr>
            <w:tcW w:type="dxa" w:w="1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Karar</w:t>
            </w:r>
          </w:p>
        </w:tc>
        <w:tc>
          <w:tcPr>
            <w:tcW w:type="dxa" w:w="52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Aksiyon / Gerekçe</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1</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Slippage birimi belirsiz; tick mi price step mi? Enstrüman bazlı tablo yok</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Çok haklı. 15 kontratın her biri için fiyat adımı, kontrat çarpanı, tick value, komisyon, teminat tablosu şart → v11.1’e eklenir.</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2</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Emir state-machine tanımı yok; deterministik akış eksik</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Emir yaşam döngüsü (PENDING → SENT → PARTIAL → FILLED/CANCELLED/REJECTED) state diagramı olmalı → v11.1.</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3</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Backtest’te veri tipi, spread simülasyonu, roll-over ele alınmış</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Backtest’in bar mı tick mi veriye dayalı olduğu, spread’in nasıl modelleneceği, seans boşluklarının nasıl ele alınacağı → v11.1.</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4</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Floating PnL hesaplama standardı, teminat kullanım oranı formüle edilmemiş</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Floating PnL = Σ(pozisyon_yön × (mevcut_fiyat - giriş_fiyat) × çarpan × lot) formülü ve teminat kullanım oranı = kullanılan_teminat / toplam_equity → v11.1.</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5</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Puanlama normalizasyonu ve outlier filtreleme tanımsız</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ÜSTAT puanlamasında her bileşen 0-100’e nasıl normalize edilecek, outlier nasıl filtrelenecek → v11.1’e eklenir.</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6</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Config değişikliği için versiyonlama/audit trail/rollback yok</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Her parametre değişikliği loglanmalı, önceki değerle birlikte kaydedilmeli → v11.1.</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7</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Dış bağımlılıklarda fail-safe davranışı belirsiz</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Ekonomik takvim erişilemezse, SMS gönderilemezse ne olur? Cevap: </w:t>
            </w:r>
            <w:r>
              <w:rPr>
                <w:rFonts w:ascii="Arial" w:cs="Arial" w:eastAsia="Arial" w:hAnsi="Arial"/>
                <w:b/>
                <w:bCs/>
                <w:color w:val="1B2838"/>
                <w:sz w:val="17"/>
                <w:szCs w:val="17"/>
              </w:rPr>
              <w:t xml:space="preserve">Fail-closed</w:t>
            </w:r>
            <w:r>
              <w:rPr>
                <w:rFonts w:ascii="Arial" w:cs="Arial" w:eastAsia="Arial" w:hAnsi="Arial"/>
                <w:b w:val="false"/>
                <w:bCs w:val="false"/>
                <w:color w:val="1B2838"/>
                <w:sz w:val="17"/>
                <w:szCs w:val="17"/>
              </w:rPr>
              <w:t xml:space="preserve"> — dış veri yoksa sistem güvenli tarafa geçer (yeni işlem açmaz) → v11.1.</w:t>
            </w:r>
          </w:p>
        </w:tc>
      </w:tr>
      <w:tr>
        <w:tc>
          <w:tcPr>
            <w:tcW w:type="dxa" w:w="6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8</w:t>
            </w:r>
          </w:p>
        </w:tc>
        <w:tc>
          <w:tcPr>
            <w:tcW w:type="dxa" w:w="28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Dashboard / canlı izleme altyapısı tanımsız</w:t>
            </w:r>
          </w:p>
        </w:tc>
        <w:tc>
          <w:tcPr>
            <w:tcW w:type="dxa" w:w="1000"/>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bCs/>
                <w:color w:val="1A5C3A"/>
                <w:sz w:val="17"/>
                <w:szCs w:val="17"/>
              </w:rPr>
              <w:t xml:space="preserve">KISMI KABUL</w:t>
            </w:r>
          </w:p>
        </w:tc>
        <w:tc>
          <w:tcPr>
            <w:tcW w:type="dxa" w:w="5238"/>
            <w:tcBorders>
              <w:top w:val="single" w:color="C8CDD5" w:sz="1"/>
              <w:left w:val="single" w:color="C8CDD5" w:sz="1"/>
              <w:bottom w:val="single" w:color="C8CDD5" w:sz="1"/>
              <w:right w:val="single" w:color="C8CDD5" w:sz="1"/>
            </w:tcBorders>
            <w:shd w:fill="E8F5E9" w:val="clear"/>
            <w:tcMar>
              <w:top w:type="dxa" w:w="55"/>
              <w:left w:type="dxa" w:w="90"/>
              <w:bottom w:type="dxa" w:w="55"/>
              <w:right w:type="dxa" w:w="90"/>
            </w:tcMar>
          </w:tcPr>
          <w:p>
            <w:r>
              <w:rPr>
                <w:rFonts w:ascii="Arial" w:cs="Arial" w:eastAsia="Arial" w:hAnsi="Arial"/>
                <w:b w:val="false"/>
                <w:bCs w:val="false"/>
                <w:color w:val="1B2838"/>
                <w:sz w:val="17"/>
                <w:szCs w:val="17"/>
              </w:rPr>
              <w:t xml:space="preserve">Doğru ama erken aşamada terminal log yeterli. Basit web dashboard Faz C’de eklenir → v11.1 yol haritası.</w:t>
            </w:r>
          </w:p>
        </w:tc>
      </w:tr>
      <w:tr>
        <w:tc>
          <w:tcPr>
            <w:tcW w:type="dxa" w:w="6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9</w:t>
            </w:r>
          </w:p>
        </w:tc>
        <w:tc>
          <w:tcPr>
            <w:tcW w:type="dxa" w:w="28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Stres testi / kapasite planı yok</w:t>
            </w:r>
          </w:p>
        </w:tc>
        <w:tc>
          <w:tcPr>
            <w:tcW w:type="dxa" w:w="1000"/>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bCs/>
                <w:color w:val="1A5C3A"/>
                <w:sz w:val="17"/>
                <w:szCs w:val="17"/>
              </w:rPr>
              <w:t xml:space="preserve">KABUL</w:t>
            </w:r>
          </w:p>
        </w:tc>
        <w:tc>
          <w:tcPr>
            <w:tcW w:type="dxa" w:w="5238"/>
            <w:tcBorders>
              <w:top w:val="single" w:color="C8CDD5" w:sz="1"/>
              <w:left w:val="single" w:color="C8CDD5" w:sz="1"/>
              <w:bottom w:val="single" w:color="C8CDD5" w:sz="1"/>
              <w:right w:val="single" w:color="C8CDD5" w:sz="1"/>
            </w:tcBorders>
            <w:shd w:fill="E1F5EA" w:val="clear"/>
            <w:tcMar>
              <w:top w:type="dxa" w:w="55"/>
              <w:left w:type="dxa" w:w="90"/>
              <w:bottom w:type="dxa" w:w="55"/>
              <w:right w:type="dxa" w:w="90"/>
            </w:tcMar>
          </w:tcPr>
          <w:p>
            <w:r>
              <w:rPr>
                <w:rFonts w:ascii="Arial" w:cs="Arial" w:eastAsia="Arial" w:hAnsi="Arial"/>
                <w:b w:val="false"/>
                <w:bCs w:val="false"/>
                <w:color w:val="1B2838"/>
                <w:sz w:val="17"/>
                <w:szCs w:val="17"/>
              </w:rPr>
              <w:t xml:space="preserve">Haklı. 15 kontratta aynı anda volatilite olduğunda CPU/IO yükü, işlem kuyruğu davranışı test edilmeli → v11.1.</w:t>
            </w:r>
          </w:p>
        </w:tc>
      </w:tr>
    </w:tbl>
    <w:p>
      <w:r>
        <w:br w:type="page"/>
      </w:r>
    </w:p>
    <w:p>
      <w:pPr>
        <w:pStyle w:val="Heading1"/>
        <w:spacing w:before="360" w:after="180"/>
      </w:pPr>
      <w:r>
        <w:rPr>
          <w:rFonts w:ascii="Arial" w:cs="Arial" w:eastAsia="Arial" w:hAnsi="Arial"/>
          <w:b/>
          <w:bCs/>
          <w:color w:val="1A3C5E"/>
          <w:sz w:val="30"/>
          <w:szCs w:val="30"/>
        </w:rPr>
        <w:t xml:space="preserve">6. v11.1 GÜNCELLEMELERİ — Kabul Edilen Eleştiriler</w:t>
      </w:r>
    </w:p>
    <w:p>
      <w:pPr>
        <w:spacing w:after="110" w:line="288"/>
        <w:jc w:val="both"/>
      </w:pPr>
      <w:r>
        <w:rPr>
          <w:rFonts w:ascii="Arial" w:cs="Arial" w:eastAsia="Arial" w:hAnsi="Arial"/>
          <w:i w:val="false"/>
          <w:iCs w:val="false"/>
          <w:color w:val="1B2838"/>
          <w:sz w:val="20"/>
          <w:szCs w:val="20"/>
        </w:rPr>
        <w:t xml:space="preserve">Aşağıdaki güncellemeler, 4 eleştiriden kabul edilen maddelerin v11.0’a entegrasyonudur.</w:t>
      </w:r>
    </w:p>
    <w:p>
      <w:pPr>
        <w:pStyle w:val="Heading2"/>
        <w:spacing w:before="280" w:after="140"/>
      </w:pPr>
      <w:r>
        <w:rPr>
          <w:rFonts w:ascii="Arial" w:cs="Arial" w:eastAsia="Arial" w:hAnsi="Arial"/>
          <w:b/>
          <w:bCs/>
          <w:color w:val="1A3C5E"/>
          <w:sz w:val="25"/>
          <w:szCs w:val="25"/>
        </w:rPr>
        <w:t xml:space="preserve">6.1 Enstrüman Bazlı Parametre Tablosu (YENİ)</w:t>
      </w:r>
    </w:p>
    <w:p>
      <w:pPr>
        <w:spacing w:after="110" w:line="288"/>
        <w:jc w:val="both"/>
      </w:pPr>
      <w:r>
        <w:rPr>
          <w:rFonts w:ascii="Arial" w:cs="Arial" w:eastAsia="Arial" w:hAnsi="Arial"/>
          <w:i w:val="false"/>
          <w:iCs w:val="false"/>
          <w:color w:val="1B2838"/>
          <w:sz w:val="20"/>
          <w:szCs w:val="20"/>
        </w:rPr>
        <w:t xml:space="preserve">CG-4’ün en haklı eleştirisi: her kontratın fiyat adımı, çarpanı, tick değeri farklıdır. Slippage ‘3 puan’ her kontratta farklı anlama gelir.</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1100"/>
        <w:gridCol w:w="1700"/>
        <w:gridCol w:w="1438"/>
      </w:tblGrid>
      <w:tr>
        <w:trPr>
          <w:tblHeader/>
        </w:trPr>
        <w:tc>
          <w:tcPr>
            <w:tcW w:type="dxa" w:w="1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Sembol</w:t>
            </w:r>
          </w:p>
        </w:tc>
        <w:tc>
          <w:tcPr>
            <w:tcW w:type="dxa" w:w="1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Fiyat Adımı</w:t>
            </w:r>
          </w:p>
        </w:tc>
        <w:tc>
          <w:tcPr>
            <w:tcW w:type="dxa" w:w="1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Kontrat Çarpanı</w:t>
            </w:r>
          </w:p>
        </w:tc>
        <w:tc>
          <w:tcPr>
            <w:tcW w:type="dxa" w:w="11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1 Tick Değeri</w:t>
            </w:r>
          </w:p>
        </w:tc>
        <w:tc>
          <w:tcPr>
            <w:tcW w:type="dxa" w:w="17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Tahmini Spread (normal)</w:t>
            </w:r>
          </w:p>
        </w:tc>
        <w:tc>
          <w:tcPr>
            <w:tcW w:type="dxa" w:w="14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Likidite Sınıfı</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F_THYAO</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0.02 TL</w:t>
            </w:r>
          </w:p>
        </w:tc>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 TL</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0.04-0.08 TL</w:t>
            </w:r>
          </w:p>
        </w:tc>
        <w:tc>
          <w:tcPr>
            <w:tcW w:type="dxa" w:w="1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A (Yüksek)</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F_AKBNK</w:t>
            </w:r>
          </w:p>
        </w:tc>
        <w:tc>
          <w:tcPr>
            <w:tcW w:type="dxa" w:w="1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0.01 TL</w:t>
            </w:r>
          </w:p>
        </w:tc>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 TL</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0.02-0.04 TL</w:t>
            </w:r>
          </w:p>
        </w:tc>
        <w:tc>
          <w:tcPr>
            <w:tcW w:type="dxa" w:w="1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A</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F_ASELS</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0.02 TL</w:t>
            </w:r>
          </w:p>
        </w:tc>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 TL</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0.04-0.10 TL</w:t>
            </w:r>
          </w:p>
        </w:tc>
        <w:tc>
          <w:tcPr>
            <w:tcW w:type="dxa" w:w="1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A</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F_TCELL</w:t>
            </w:r>
          </w:p>
        </w:tc>
        <w:tc>
          <w:tcPr>
            <w:tcW w:type="dxa" w:w="1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0.02 TL</w:t>
            </w:r>
          </w:p>
        </w:tc>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 TL</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0.04-0.08 TL</w:t>
            </w:r>
          </w:p>
        </w:tc>
        <w:tc>
          <w:tcPr>
            <w:tcW w:type="dxa" w:w="1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A</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F_HALKB</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0.01 TL</w:t>
            </w:r>
          </w:p>
        </w:tc>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 TL</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0.02-0.06 TL</w:t>
            </w:r>
          </w:p>
        </w:tc>
        <w:tc>
          <w:tcPr>
            <w:tcW w:type="dxa" w:w="1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A</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F_PGSUS</w:t>
            </w:r>
          </w:p>
        </w:tc>
        <w:tc>
          <w:tcPr>
            <w:tcW w:type="dxa" w:w="1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0.10 TL</w:t>
            </w:r>
          </w:p>
        </w:tc>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10 TL</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0.20-0.50 TL</w:t>
            </w:r>
          </w:p>
        </w:tc>
        <w:tc>
          <w:tcPr>
            <w:tcW w:type="dxa" w:w="1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B (Orta)</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F_GUBRF</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0.02 TL</w:t>
            </w:r>
          </w:p>
        </w:tc>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 TL</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0.06-0.15 TL</w:t>
            </w:r>
          </w:p>
        </w:tc>
        <w:tc>
          <w:tcPr>
            <w:tcW w:type="dxa" w:w="1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B</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F_EKGYO</w:t>
            </w:r>
          </w:p>
        </w:tc>
        <w:tc>
          <w:tcPr>
            <w:tcW w:type="dxa" w:w="1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0.01 TL</w:t>
            </w:r>
          </w:p>
        </w:tc>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 TL</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0.02-0.06 TL</w:t>
            </w:r>
          </w:p>
        </w:tc>
        <w:tc>
          <w:tcPr>
            <w:tcW w:type="dxa" w:w="1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B</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F_SOKM</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0.02 TL</w:t>
            </w:r>
          </w:p>
        </w:tc>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 TL</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0.06-0.15 TL</w:t>
            </w:r>
          </w:p>
        </w:tc>
        <w:tc>
          <w:tcPr>
            <w:tcW w:type="dxa" w:w="1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B</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F_TKFEN</w:t>
            </w:r>
          </w:p>
        </w:tc>
        <w:tc>
          <w:tcPr>
            <w:tcW w:type="dxa" w:w="1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0.02 TL</w:t>
            </w:r>
          </w:p>
        </w:tc>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 TL</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0.06-0.15 TL</w:t>
            </w:r>
          </w:p>
        </w:tc>
        <w:tc>
          <w:tcPr>
            <w:tcW w:type="dxa" w:w="1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B</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F_OYAKC</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0.02 TL</w:t>
            </w:r>
          </w:p>
        </w:tc>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 TL</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0.06-0.20 TL</w:t>
            </w:r>
          </w:p>
        </w:tc>
        <w:tc>
          <w:tcPr>
            <w:tcW w:type="dxa" w:w="1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B</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F_BRSAN</w:t>
            </w:r>
          </w:p>
        </w:tc>
        <w:tc>
          <w:tcPr>
            <w:tcW w:type="dxa" w:w="1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0.02 TL</w:t>
            </w:r>
          </w:p>
        </w:tc>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2 TL</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0.06-0.20 TL</w:t>
            </w:r>
          </w:p>
        </w:tc>
        <w:tc>
          <w:tcPr>
            <w:tcW w:type="dxa" w:w="1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B</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F_AKSEN</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0.02 TL</w:t>
            </w:r>
          </w:p>
        </w:tc>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 TL</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0.06-0.20 TL</w:t>
            </w:r>
          </w:p>
        </w:tc>
        <w:tc>
          <w:tcPr>
            <w:tcW w:type="dxa" w:w="1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B</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F_ASTOR</w:t>
            </w:r>
          </w:p>
        </w:tc>
        <w:tc>
          <w:tcPr>
            <w:tcW w:type="dxa" w:w="1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0.10 TL</w:t>
            </w:r>
          </w:p>
        </w:tc>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10 TL</w:t>
            </w:r>
          </w:p>
        </w:tc>
        <w:tc>
          <w:tcPr>
            <w:tcW w:type="dxa" w:w="17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0.30-0.80 TL</w:t>
            </w:r>
          </w:p>
        </w:tc>
        <w:tc>
          <w:tcPr>
            <w:tcW w:type="dxa" w:w="1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C (Düşük)</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F_KONTR</w:t>
            </w:r>
          </w:p>
        </w:tc>
        <w:tc>
          <w:tcPr>
            <w:tcW w:type="dxa" w:w="1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0.02 TL</w:t>
            </w:r>
          </w:p>
        </w:tc>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100</w:t>
            </w:r>
          </w:p>
        </w:tc>
        <w:tc>
          <w:tcPr>
            <w:tcW w:type="dxa" w:w="11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2 TL</w:t>
            </w:r>
          </w:p>
        </w:tc>
        <w:tc>
          <w:tcPr>
            <w:tcW w:type="dxa" w:w="17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0.10-0.30 TL</w:t>
            </w:r>
          </w:p>
        </w:tc>
        <w:tc>
          <w:tcPr>
            <w:tcW w:type="dxa" w:w="1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C</w:t>
            </w:r>
            <w:r>
              <w:rPr>
                <w:rFonts w:ascii="Arial" w:cs="Arial" w:eastAsia="Arial" w:hAnsi="Arial"/>
                <w:color w:val="1B2838"/>
                <w:sz w:val="17"/>
                <w:szCs w:val="17"/>
              </w:rPr>
              <w:t xml:space="preserve"/>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1A3C5E" w:sz="12"/>
              <w:bottom w:val="none" w:sz="0"/>
              <w:right w:val="none" w:sz="0"/>
            </w:tcBorders>
            <w:shd w:fill="E3EDF7" w:val="clear"/>
            <w:tcMar>
              <w:top w:type="dxa" w:w="90"/>
              <w:left w:type="dxa" w:w="140"/>
              <w:bottom w:type="dxa" w:w="90"/>
              <w:right w:type="dxa" w:w="140"/>
            </w:tcMar>
          </w:tcPr>
          <w:p>
            <w:pPr>
              <w:spacing w:after="50"/>
            </w:pPr>
            <w:r>
              <w:rPr>
                <w:rFonts w:ascii="Arial" w:cs="Arial" w:eastAsia="Arial" w:hAnsi="Arial"/>
                <w:b/>
                <w:bCs/>
                <w:color w:val="1A3C5E"/>
                <w:sz w:val="19"/>
                <w:szCs w:val="19"/>
              </w:rPr>
              <w:t xml:space="preserve">LİKİDİTE SINIFI ETKİSİ</w:t>
            </w:r>
          </w:p>
          <w:p>
            <w:pPr>
              <w:spacing w:after="0"/>
            </w:pPr>
            <w:r>
              <w:rPr>
                <w:rFonts w:ascii="Arial" w:cs="Arial" w:eastAsia="Arial" w:hAnsi="Arial"/>
                <w:color w:val="1A3C5E"/>
                <w:sz w:val="18"/>
                <w:szCs w:val="18"/>
              </w:rPr>
              <w:t xml:space="preserve">Sınıf A kontratlar: Normal hacim/spread eşikleri uygulanır. Sınıf B: Hacim eşiği %30 yükseltilir, spread eşiği %50 gevşetilir. Sınıf C: Hacim eşiği %50 yükseltilir, spread eşiği 2x gevşetilir. Böylece düşük likiditeli kontratlar gereksiz yere engellenmez ama risk de kontrol altında kalır.</w:t>
            </w:r>
          </w:p>
        </w:tc>
      </w:tr>
    </w:tbl>
    <w:p>
      <w:pPr>
        <w:spacing w:after="60"/>
      </w:pPr>
    </w:p>
    <w:p>
      <w:pPr>
        <w:spacing w:after="110" w:line="288"/>
        <w:jc w:val="both"/>
      </w:pPr>
      <w:r>
        <w:rPr>
          <w:rFonts w:ascii="Arial" w:cs="Arial" w:eastAsia="Arial" w:hAnsi="Arial"/>
          <w:i w:val="false"/>
          <w:iCs w:val="false"/>
          <w:color w:val="1B2838"/>
          <w:sz w:val="20"/>
          <w:szCs w:val="20"/>
        </w:rPr>
        <w:t xml:space="preserve"/>
      </w:r>
      <w:r>
        <w:rPr>
          <w:rFonts w:ascii="Arial" w:cs="Arial" w:eastAsia="Arial" w:hAnsi="Arial"/>
          <w:b/>
          <w:bCs/>
          <w:color w:val="1B2838"/>
          <w:sz w:val="20"/>
          <w:szCs w:val="20"/>
        </w:rPr>
        <w:t xml:space="preserve">NOT:</w:t>
      </w:r>
      <w:r>
        <w:rPr>
          <w:rFonts w:ascii="Arial" w:cs="Arial" w:eastAsia="Arial" w:hAnsi="Arial"/>
          <w:i w:val="false"/>
          <w:iCs w:val="false"/>
          <w:color w:val="1B2838"/>
          <w:sz w:val="20"/>
          <w:szCs w:val="20"/>
        </w:rPr>
        <w:t xml:space="preserve"> Yukarıdaki tablo tahmini değerlerdir. Sistem canlıya geçmeden önce her kontratın gerçek fiyat adımı, çarpan ve spread verisi MT5’ten çekilip doğrulanacaktır. Bu tablo v11.1 ile birlikte runtime’da otomatik güncellenir.</w:t>
      </w:r>
    </w:p>
    <w:p>
      <w:pPr>
        <w:spacing w:after="60"/>
      </w:pPr>
    </w:p>
    <w:p>
      <w:pPr>
        <w:pStyle w:val="Heading2"/>
        <w:spacing w:before="280" w:after="140"/>
      </w:pPr>
      <w:r>
        <w:rPr>
          <w:rFonts w:ascii="Arial" w:cs="Arial" w:eastAsia="Arial" w:hAnsi="Arial"/>
          <w:b/>
          <w:bCs/>
          <w:color w:val="1A3C5E"/>
          <w:sz w:val="25"/>
          <w:szCs w:val="25"/>
        </w:rPr>
        <w:t xml:space="preserve">6.2 Emir Yaşam Döngüsü — State Machine (YENİ)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838"/>
      </w:tblGrid>
      <w:tr>
        <w:trPr>
          <w:tblHeader/>
        </w:trPr>
        <w:tc>
          <w:tcPr>
            <w:tcW w:type="dxa" w:w="1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State</w:t>
            </w:r>
          </w:p>
        </w:tc>
        <w:tc>
          <w:tcPr>
            <w:tcW w:type="dxa" w:w="2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Açıklama</w:t>
            </w:r>
          </w:p>
        </w:tc>
        <w:tc>
          <w:tcPr>
            <w:tcW w:type="dxa" w:w="24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Geçiş</w:t>
            </w:r>
          </w:p>
        </w:tc>
        <w:tc>
          <w:tcPr>
            <w:tcW w:type="dxa" w:w="38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Aksiyon</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SIGNAL</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Sinyal oluştu, BABA onayı bekleniyor</w:t>
            </w:r>
          </w:p>
        </w:tc>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BABA onay → PENDING, BABA red → CANCELLED</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Fake analiz çalıştır</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PENDING</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Emir hazırlandı, gönderim bekleniyor</w:t>
            </w:r>
          </w:p>
        </w:tc>
        <w:tc>
          <w:tcPr>
            <w:tcW w:type="dxa" w:w="2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Gönderim → SENT</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Risk limiti son kontrol</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SENT</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LIMIT emir MT5’e gönderildi</w:t>
            </w:r>
          </w:p>
        </w:tc>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Dolu → FILLED, Kısmi → PARTIAL, Timeout → TIMEOUT</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Timer başlat (5s normal, sadece LIMIT)</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PARTIAL</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Kısmi dolum</w:t>
            </w:r>
          </w:p>
        </w:tc>
        <w:tc>
          <w:tcPr>
            <w:tcW w:type="dxa" w:w="2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Kalan için yeni emir → SENT, İptal → CANCELLED</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Kalan lot hesapla</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TIMEOUT</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5s içinde dolmadı</w:t>
            </w:r>
          </w:p>
        </w:tc>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Rejim TREND/RANGE → MARKET_RETRY, Rejim VOLATILE/OLAY → CANCELLED</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
            </w:r>
            <w:r>
              <w:rPr>
                <w:rFonts w:ascii="Arial" w:cs="Arial" w:eastAsia="Arial" w:hAnsi="Arial"/>
                <w:b/>
                <w:bCs/>
                <w:color w:val="1B2838"/>
                <w:sz w:val="17"/>
                <w:szCs w:val="17"/>
              </w:rPr>
              <w:t xml:space="preserve">Volatile’de market fallback YOK</w:t>
            </w:r>
            <w:r>
              <w:rPr>
                <w:rFonts w:ascii="Arial" w:cs="Arial" w:eastAsia="Arial" w:hAnsi="Arial"/>
                <w:color w:val="1B2838"/>
                <w:sz w:val="17"/>
                <w:szCs w:val="17"/>
              </w:rPr>
              <w:t xml:space="preserve"/>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MARKET_RETRY</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Market emir gönderildi</w:t>
            </w:r>
          </w:p>
        </w:tc>
        <w:tc>
          <w:tcPr>
            <w:tcW w:type="dxa" w:w="2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Dolu → FILLED, Red → REJECTED</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Max slippage kontrolü (3 puan)</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FILLED</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İşlem tamamlandı</w:t>
            </w:r>
          </w:p>
        </w:tc>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BABA izlemeye alır</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Loglama, BABA denetim başlat</w:t>
            </w:r>
          </w:p>
        </w:tc>
      </w:tr>
      <w:tr>
        <w:tc>
          <w:tcPr>
            <w:tcW w:type="dxa" w:w="1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REJECTED</w:t>
            </w:r>
          </w:p>
        </w:tc>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Emir reddedildi</w:t>
            </w:r>
          </w:p>
        </w:tc>
        <w:tc>
          <w:tcPr>
            <w:tcW w:type="dxa" w:w="2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CANCELLED</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Neden logla, BABA’ya bildir</w:t>
            </w:r>
          </w:p>
        </w:tc>
      </w:tr>
      <w:tr>
        <w:tc>
          <w:tcPr>
            <w:tcW w:type="dxa" w:w="1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CANCELLED</w:t>
            </w:r>
          </w:p>
        </w:tc>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İptal edildi</w:t>
            </w:r>
          </w:p>
        </w:tc>
        <w:tc>
          <w:tcPr>
            <w:tcW w:type="dxa" w:w="2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Neden logla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8B1A1A" w:sz="12"/>
              <w:bottom w:val="none" w:sz="0"/>
              <w:right w:val="none" w:sz="0"/>
            </w:tcBorders>
            <w:shd w:fill="FDE8E8" w:val="clear"/>
            <w:tcMar>
              <w:top w:type="dxa" w:w="90"/>
              <w:left w:type="dxa" w:w="140"/>
              <w:bottom w:type="dxa" w:w="90"/>
              <w:right w:type="dxa" w:w="140"/>
            </w:tcMar>
          </w:tcPr>
          <w:p>
            <w:pPr>
              <w:spacing w:after="50"/>
            </w:pPr>
            <w:r>
              <w:rPr>
                <w:rFonts w:ascii="Arial" w:cs="Arial" w:eastAsia="Arial" w:hAnsi="Arial"/>
                <w:b/>
                <w:bCs/>
                <w:color w:val="8B1A1A"/>
                <w:sz w:val="19"/>
                <w:szCs w:val="19"/>
              </w:rPr>
              <w:t xml:space="preserve">VOLATILE REJİMDE MARKET EMRİ YASAK</w:t>
            </w:r>
          </w:p>
          <w:p>
            <w:pPr>
              <w:spacing w:after="0"/>
            </w:pPr>
            <w:r>
              <w:rPr>
                <w:rFonts w:ascii="Arial" w:cs="Arial" w:eastAsia="Arial" w:hAnsi="Arial"/>
                <w:color w:val="8B1A1A"/>
                <w:sz w:val="18"/>
                <w:szCs w:val="18"/>
              </w:rPr>
              <w:t xml:space="preserve">GE-2’nin en değerli eleştirisi: Volatile rejimde limit → market fallback slippage patlatır. v11.1 kuralı: Rejim = VOLATILE veya OLAY ise timeout = CANCELLED. Dolmayan emir iptal edilir, market’e dönüştürülmez. Kaçan fırsat kabul edilir; slippage zararı kabul edilmez.</w:t>
            </w:r>
          </w:p>
        </w:tc>
      </w:tr>
    </w:tbl>
    <w:p>
      <w:pPr>
        <w:spacing w:after="60"/>
      </w:pPr>
    </w:p>
    <w:p>
      <w:pPr>
        <w:pStyle w:val="Heading2"/>
        <w:spacing w:before="280" w:after="140"/>
      </w:pPr>
      <w:r>
        <w:rPr>
          <w:rFonts w:ascii="Arial" w:cs="Arial" w:eastAsia="Arial" w:hAnsi="Arial"/>
          <w:b/>
          <w:bCs/>
          <w:color w:val="1A3C5E"/>
          <w:sz w:val="25"/>
          <w:szCs w:val="25"/>
        </w:rPr>
        <w:t xml:space="preserve">6.3 Geliştirilmiş Korelasyon Yönetimi (YENİ)</w:t>
      </w:r>
    </w:p>
    <w:p>
      <w:pPr>
        <w:spacing w:after="110" w:line="288"/>
        <w:jc w:val="both"/>
      </w:pPr>
      <w:r>
        <w:rPr>
          <w:rFonts w:ascii="Arial" w:cs="Arial" w:eastAsia="Arial" w:hAnsi="Arial"/>
          <w:i w:val="false"/>
          <w:iCs w:val="false"/>
          <w:color w:val="1B2838"/>
          <w:sz w:val="20"/>
          <w:szCs w:val="20"/>
        </w:rPr>
        <w:t xml:space="preserve">GE-2 ve DS-3’ün ortak eleştirisi: Korelasyon yönetimi çok basit. v11.1 üç katmanlı korelasyon kontrolü getirir: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38"/>
        <w:gridCol w:w="3800"/>
      </w:tblGrid>
      <w:tr>
        <w:trPr>
          <w:tblHeader/>
        </w:trPr>
        <w:tc>
          <w:tcPr>
            <w:tcW w:type="dxa" w:w="2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Kontrol</w:t>
            </w:r>
          </w:p>
        </w:tc>
        <w:tc>
          <w:tcPr>
            <w:tcW w:type="dxa" w:w="38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Kural</w:t>
            </w:r>
          </w:p>
        </w:tc>
        <w:tc>
          <w:tcPr>
            <w:tcW w:type="dxa" w:w="3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Gerekçe</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Yön Limiti</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Max 3 pozisyon aynı yönde (long veya short)</w:t>
            </w:r>
          </w:p>
        </w:tc>
        <w:tc>
          <w:tcPr>
            <w:tcW w:type="dxa" w:w="3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v11.0’dan korundu</w:t>
            </w:r>
          </w:p>
        </w:tc>
      </w:tr>
      <w:tr>
        <w:tc>
          <w:tcPr>
            <w:tcW w:type="dxa" w:w="2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Sektör Limiti</w:t>
            </w:r>
          </w:p>
        </w:tc>
        <w:tc>
          <w:tcPr>
            <w:tcW w:type="dxa" w:w="3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Aynı sektörde max 2 pozisyon aynı yönde</w:t>
            </w:r>
          </w:p>
        </w:tc>
        <w:tc>
          <w:tcPr>
            <w:tcW w:type="dxa" w:w="3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3 banka hissesinde long = tek pozisyon riski (DS-3)</w:t>
            </w:r>
          </w:p>
        </w:tc>
      </w:tr>
      <w:tr>
        <w:tc>
          <w:tcPr>
            <w:tcW w:type="dxa" w:w="2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Endeks Ağırlık Skoru</w:t>
            </w:r>
          </w:p>
        </w:tc>
        <w:tc>
          <w:tcPr>
            <w:tcW w:type="dxa" w:w="3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Her pozisyonun risk skoru = lot × hissenin XU030 ağırlığı. Toplam skor &lt; 0.25</w:t>
            </w:r>
          </w:p>
        </w:tc>
        <w:tc>
          <w:tcPr>
            <w:tcW w:type="dxa" w:w="3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THYAO (%8-10 ağırlık) vs SOKM (%1-2) aynı risk değil (GE-2)</w:t>
            </w:r>
          </w:p>
        </w:tc>
      </w:tr>
    </w:tbl>
    <w:p>
      <w:pPr>
        <w:spacing w:after="60"/>
      </w:pPr>
    </w:p>
    <w:p>
      <w:pPr>
        <w:spacing w:after="110" w:line="288"/>
        <w:jc w:val="both"/>
      </w:pPr>
      <w:r>
        <w:rPr>
          <w:rFonts w:ascii="Arial" w:cs="Arial" w:eastAsia="Arial" w:hAnsi="Arial"/>
          <w:i w:val="false"/>
          <w:iCs w:val="false"/>
          <w:color w:val="1B2838"/>
          <w:sz w:val="20"/>
          <w:szCs w:val="20"/>
        </w:rPr>
        <w:t xml:space="preserve"/>
      </w:r>
      <w:r>
        <w:rPr>
          <w:rFonts w:ascii="Arial" w:cs="Arial" w:eastAsia="Arial" w:hAnsi="Arial"/>
          <w:b/>
          <w:bCs/>
          <w:color w:val="1B2838"/>
          <w:sz w:val="20"/>
          <w:szCs w:val="20"/>
        </w:rPr>
        <w:t xml:space="preserve">Sektör tanımları:</w:t>
      </w:r>
      <w:r>
        <w:rPr>
          <w:rFonts w:ascii="Arial" w:cs="Arial" w:eastAsia="Arial" w:hAnsi="Arial"/>
          <w:i w:val="false"/>
          <w:iCs w:val="false"/>
          <w:color w:val="1B2838"/>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Sektör</w:t>
            </w:r>
          </w:p>
        </w:tc>
        <w:tc>
          <w:tcPr>
            <w:tcW w:type="dxa" w:w="71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Kontratlar</w:t>
            </w:r>
          </w:p>
        </w:tc>
      </w:tr>
      <w:tr>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Bankacılık</w:t>
            </w:r>
          </w:p>
        </w:tc>
        <w:tc>
          <w:tcPr>
            <w:tcW w:type="dxa" w:w="7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F_AKBNK, F_HALKB</w:t>
            </w:r>
          </w:p>
        </w:tc>
      </w:tr>
      <w:tr>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Havacılık/Turizm</w:t>
            </w:r>
          </w:p>
        </w:tc>
        <w:tc>
          <w:tcPr>
            <w:tcW w:type="dxa" w:w="71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F_THYAO, F_PGSUS</w:t>
            </w:r>
          </w:p>
        </w:tc>
      </w:tr>
      <w:tr>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Enerji</w:t>
            </w:r>
          </w:p>
        </w:tc>
        <w:tc>
          <w:tcPr>
            <w:tcW w:type="dxa" w:w="7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F_AKSEN, F_ASTOR</w:t>
            </w:r>
          </w:p>
        </w:tc>
      </w:tr>
      <w:tr>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Sanayi</w:t>
            </w:r>
          </w:p>
        </w:tc>
        <w:tc>
          <w:tcPr>
            <w:tcW w:type="dxa" w:w="71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F_BRSAN, F_OYAKC, F_TKFEN</w:t>
            </w:r>
          </w:p>
        </w:tc>
      </w:tr>
      <w:tr>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Teknoloji/Savunma</w:t>
            </w:r>
          </w:p>
        </w:tc>
        <w:tc>
          <w:tcPr>
            <w:tcW w:type="dxa" w:w="7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F_ASELS, F_KONTR</w:t>
            </w:r>
          </w:p>
        </w:tc>
      </w:tr>
      <w:tr>
        <w:tc>
          <w:tcPr>
            <w:tcW w:type="dxa" w:w="25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Perakende/Telekom</w:t>
            </w:r>
          </w:p>
        </w:tc>
        <w:tc>
          <w:tcPr>
            <w:tcW w:type="dxa" w:w="71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F_SOKM, F_TCELL</w:t>
            </w:r>
          </w:p>
        </w:tc>
      </w:tr>
      <w:tr>
        <w:tc>
          <w:tcPr>
            <w:tcW w:type="dxa" w:w="25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Diğer</w:t>
            </w:r>
          </w:p>
        </w:tc>
        <w:tc>
          <w:tcPr>
            <w:tcW w:type="dxa" w:w="71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F_EKGYO, F_GUBRF</w:t>
            </w:r>
          </w:p>
        </w:tc>
      </w:tr>
    </w:tbl>
    <w:p>
      <w:pPr>
        <w:spacing w:after="60"/>
      </w:pPr>
    </w:p>
    <w:p>
      <w:pPr>
        <w:pStyle w:val="Heading2"/>
        <w:spacing w:before="280" w:after="140"/>
      </w:pPr>
      <w:r>
        <w:rPr>
          <w:rFonts w:ascii="Arial" w:cs="Arial" w:eastAsia="Arial" w:hAnsi="Arial"/>
          <w:b/>
          <w:bCs/>
          <w:color w:val="1A3C5E"/>
          <w:sz w:val="25"/>
          <w:szCs w:val="25"/>
        </w:rPr>
        <w:t xml:space="preserve">6.4 Rejim Erken Uyarı Katmanı (YENİ)</w:t>
      </w:r>
    </w:p>
    <w:p>
      <w:pPr>
        <w:spacing w:after="110" w:line="288"/>
        <w:jc w:val="both"/>
      </w:pPr>
      <w:r>
        <w:rPr>
          <w:rFonts w:ascii="Arial" w:cs="Arial" w:eastAsia="Arial" w:hAnsi="Arial"/>
          <w:i w:val="false"/>
          <w:iCs w:val="false"/>
          <w:color w:val="1B2838"/>
          <w:sz w:val="20"/>
          <w:szCs w:val="20"/>
        </w:rPr>
        <w:t xml:space="preserve">GE-2 haklı: ADX ve ATR gecikmeli göstergeler. Rejim değişikliğini daha hızlı yakalamak için mevcut kural tabanlı sisteme </w:t>
      </w:r>
      <w:r>
        <w:rPr>
          <w:rFonts w:ascii="Arial" w:cs="Arial" w:eastAsia="Arial" w:hAnsi="Arial"/>
          <w:b/>
          <w:bCs/>
          <w:color w:val="1B2838"/>
          <w:sz w:val="20"/>
          <w:szCs w:val="20"/>
        </w:rPr>
        <w:t xml:space="preserve">erken uyarı tetikleyicileri</w:t>
      </w:r>
      <w:r>
        <w:rPr>
          <w:rFonts w:ascii="Arial" w:cs="Arial" w:eastAsia="Arial" w:hAnsi="Arial"/>
          <w:i w:val="false"/>
          <w:iCs w:val="false"/>
          <w:color w:val="1B2838"/>
          <w:sz w:val="20"/>
          <w:szCs w:val="20"/>
        </w:rPr>
        <w:t xml:space="preserve"> eklenir: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38"/>
        <w:gridCol w:w="4000"/>
      </w:tblGrid>
      <w:tr>
        <w:trPr>
          <w:tblHeader/>
        </w:trPr>
        <w:tc>
          <w:tcPr>
            <w:tcW w:type="dxa" w:w="22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Tetikleyici</w:t>
            </w:r>
          </w:p>
        </w:tc>
        <w:tc>
          <w:tcPr>
            <w:tcW w:type="dxa" w:w="34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Koşul</w:t>
            </w:r>
          </w:p>
        </w:tc>
        <w:tc>
          <w:tcPr>
            <w:tcW w:type="dxa" w:w="4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Aksiyon</w:t>
            </w:r>
          </w:p>
        </w:tc>
      </w:tr>
      <w:tr>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Spread Patlaması</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Herhangi bir kontratın spread’i 10 saniye içinde 3x+ genişledi</w:t>
            </w:r>
          </w:p>
        </w:tc>
        <w:tc>
          <w:tcPr>
            <w:tcW w:type="dxa" w:w="4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 kontratta yeni işlem durdur, VOLATILE ön-alarmı</w:t>
            </w:r>
          </w:p>
        </w:tc>
      </w:tr>
      <w:tr>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Ani Fiyat Hareketi</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Son 1 bar içinde %1.5+ hareket (kontrat fiyatına göre)</w:t>
            </w:r>
          </w:p>
        </w:tc>
        <w:tc>
          <w:tcPr>
            <w:tcW w:type="dxa" w:w="4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VOLATILE ön-alarmı, SL sıkılaştır</w:t>
            </w:r>
          </w:p>
        </w:tc>
      </w:tr>
      <w:tr>
        <w:tc>
          <w:tcPr>
            <w:tcW w:type="dxa" w:w="22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Hacim Patlaması</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Son 5 dakikada hacim, 20-bar ortalamanın 5x+ üzerinde</w:t>
            </w:r>
          </w:p>
        </w:tc>
        <w:tc>
          <w:tcPr>
            <w:tcW w:type="dxa" w:w="4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Olumlu: sinyal güçlendirme. Olumsuz: manipulasyon uyarısı</w:t>
            </w:r>
          </w:p>
        </w:tc>
      </w:tr>
      <w:tr>
        <w:tc>
          <w:tcPr>
            <w:tcW w:type="dxa" w:w="22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USD/TRY Ani Hareket</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USD/TRY’de 5 dakikada %0.5+ hareket</w:t>
            </w:r>
          </w:p>
        </w:tc>
        <w:tc>
          <w:tcPr>
            <w:tcW w:type="dxa" w:w="4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TÜM kontratlarda OLAY ön-alarmı</w:t>
            </w:r>
          </w:p>
        </w:tc>
      </w:tr>
    </w:tbl>
    <w:p>
      <w:pPr>
        <w:spacing w:after="60"/>
      </w:pPr>
    </w:p>
    <w:p>
      <w:pPr>
        <w:spacing w:after="110" w:line="288"/>
        <w:jc w:val="both"/>
      </w:pPr>
      <w:r>
        <w:rPr>
          <w:rFonts w:ascii="Arial" w:cs="Arial" w:eastAsia="Arial" w:hAnsi="Arial"/>
          <w:i w:val="false"/>
          <w:iCs w:val="false"/>
          <w:color w:val="1B2838"/>
          <w:sz w:val="20"/>
          <w:szCs w:val="20"/>
        </w:rPr>
        <w:t xml:space="preserve">Bu tetikleyiciler ADX/ATR’nin gecikme sorununu çözer. Klasik rejim algılama hala çalışır ama erken uyarı tetikleyicileri daha hızlı tepki verir.</w:t>
      </w:r>
    </w:p>
    <w:p>
      <w:pPr>
        <w:spacing w:after="60"/>
      </w:pPr>
    </w:p>
    <w:p>
      <w:pPr>
        <w:pStyle w:val="Heading2"/>
        <w:spacing w:before="280" w:after="140"/>
      </w:pPr>
      <w:r>
        <w:rPr>
          <w:rFonts w:ascii="Arial" w:cs="Arial" w:eastAsia="Arial" w:hAnsi="Arial"/>
          <w:b/>
          <w:bCs/>
          <w:color w:val="1A3C5E"/>
          <w:sz w:val="25"/>
          <w:szCs w:val="25"/>
        </w:rPr>
        <w:t xml:space="preserve">6.5 Güncellenmiş Backtest ve Validasyon Protokolü</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Veri tipi:</w:t>
      </w:r>
      <w:r>
        <w:rPr>
          <w:rFonts w:ascii="Arial" w:cs="Arial" w:eastAsia="Arial" w:hAnsi="Arial"/>
          <w:color w:val="1B2838"/>
          <w:sz w:val="20"/>
          <w:szCs w:val="20"/>
        </w:rPr>
        <w:t xml:space="preserve"> M5 bar verisi (ana). Tick verisi spread modeli için ayrıca kullanılır.</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Spread modeli:</w:t>
      </w:r>
      <w:r>
        <w:rPr>
          <w:rFonts w:ascii="Arial" w:cs="Arial" w:eastAsia="Arial" w:hAnsi="Arial"/>
          <w:color w:val="1B2838"/>
          <w:sz w:val="20"/>
          <w:szCs w:val="20"/>
        </w:rPr>
        <w:t xml:space="preserve"> Tarihsel ortalama spread + stochastic noise (normal dağılım, σ = ortalama spread × 0.3). Volatil dönemlerde fat-tail (t-distribution, df=5).</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Slippage modeli:</w:t>
      </w:r>
      <w:r>
        <w:rPr>
          <w:rFonts w:ascii="Arial" w:cs="Arial" w:eastAsia="Arial" w:hAnsi="Arial"/>
          <w:color w:val="1B2838"/>
          <w:sz w:val="20"/>
          <w:szCs w:val="20"/>
        </w:rPr>
        <w:t xml:space="preserve"> Stochastic: μ = 1 tick, σ = 0.5 tick (normal), μ = 3 tick, σ = 2 tick (volatile). Market emir: 2x çarpan.</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Seans boşlukları:</w:t>
      </w:r>
      <w:r>
        <w:rPr>
          <w:rFonts w:ascii="Arial" w:cs="Arial" w:eastAsia="Arial" w:hAnsi="Arial"/>
          <w:color w:val="1B2838"/>
          <w:sz w:val="20"/>
          <w:szCs w:val="20"/>
        </w:rPr>
        <w:t xml:space="preserve"> Açılış gap’leri (gece seansı → gündüz) ayrıca modellenir; gap içinde SL tetiklenmesi simülasyonu.</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Walk-forward OOS:</w:t>
      </w:r>
      <w:r>
        <w:rPr>
          <w:rFonts w:ascii="Arial" w:cs="Arial" w:eastAsia="Arial" w:hAnsi="Arial"/>
          <w:color w:val="1B2838"/>
          <w:sz w:val="20"/>
          <w:szCs w:val="20"/>
        </w:rPr>
        <w:t xml:space="preserve"> 4 ay eğitim, 2 ay test, min 3 pencere. Tüm pencerelerde Sharpe &gt; 0.</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Monte Carlo (ZORUNLU):</w:t>
      </w:r>
      <w:r>
        <w:rPr>
          <w:rFonts w:ascii="Arial" w:cs="Arial" w:eastAsia="Arial" w:hAnsi="Arial"/>
          <w:color w:val="1B2838"/>
          <w:sz w:val="20"/>
          <w:szCs w:val="20"/>
        </w:rPr>
        <w:t xml:space="preserve"> 1000 permütasyon ile işlem sırası karıştırma. %95 güven aralığında DD &lt; %15.</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Stress Test (YENİ):</w:t>
      </w:r>
      <w:r>
        <w:rPr>
          <w:rFonts w:ascii="Arial" w:cs="Arial" w:eastAsia="Arial" w:hAnsi="Arial"/>
          <w:color w:val="1B2838"/>
          <w:sz w:val="20"/>
          <w:szCs w:val="20"/>
        </w:rPr>
        <w:t xml:space="preserve"> Şu dönemlerde ayrıca test: 2020 Mart çöküşü, 2023 seçim dönemi, 2024 TCMB şokları. Her dönemde DD &lt; %20.</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Regime Drift Testi (YENİ):</w:t>
      </w:r>
      <w:r>
        <w:rPr>
          <w:rFonts w:ascii="Arial" w:cs="Arial" w:eastAsia="Arial" w:hAnsi="Arial"/>
          <w:color w:val="1B2838"/>
          <w:sz w:val="20"/>
          <w:szCs w:val="20"/>
        </w:rPr>
        <w:t xml:space="preserve"> Her strateji, farklı rejim geçiş dönemlerinde (trend→range, range→volatile) ayrıca test edilir.</w:t>
      </w:r>
    </w:p>
    <w:p>
      <w:pPr>
        <w:pStyle w:val="ListParagraph"/>
        <w:numPr>
          <w:ilvl w:val="0"/>
          <w:numId w:val="3"/>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Paper trade süresi:</w:t>
      </w:r>
      <w:r>
        <w:rPr>
          <w:rFonts w:ascii="Arial" w:cs="Arial" w:eastAsia="Arial" w:hAnsi="Arial"/>
          <w:color w:val="1B2838"/>
          <w:sz w:val="20"/>
          <w:szCs w:val="20"/>
        </w:rPr>
        <w:t xml:space="preserve"> 4 hafta → </w:t>
      </w:r>
      <w:r>
        <w:rPr>
          <w:rFonts w:ascii="Arial" w:cs="Arial" w:eastAsia="Arial" w:hAnsi="Arial"/>
          <w:b/>
          <w:bCs/>
          <w:color w:val="1B2838"/>
          <w:sz w:val="20"/>
          <w:szCs w:val="20"/>
        </w:rPr>
        <w:t xml:space="preserve">8 hafta</w:t>
      </w:r>
      <w:r>
        <w:rPr>
          <w:rFonts w:ascii="Arial" w:cs="Arial" w:eastAsia="Arial" w:hAnsi="Arial"/>
          <w:color w:val="1B2838"/>
          <w:sz w:val="20"/>
          <w:szCs w:val="20"/>
        </w:rPr>
        <w:t xml:space="preserve"> (DS-3 eleştirisi kabul).</w:t>
      </w:r>
    </w:p>
    <w:p>
      <w:pPr>
        <w:spacing w:after="60"/>
      </w:pPr>
    </w:p>
    <w:p>
      <w:pPr>
        <w:pStyle w:val="Heading2"/>
        <w:spacing w:before="280" w:after="140"/>
      </w:pPr>
      <w:r>
        <w:rPr>
          <w:rFonts w:ascii="Arial" w:cs="Arial" w:eastAsia="Arial" w:hAnsi="Arial"/>
          <w:b/>
          <w:bCs/>
          <w:color w:val="1A3C5E"/>
          <w:sz w:val="25"/>
          <w:szCs w:val="25"/>
        </w:rPr>
        <w:t xml:space="preserve">6.6 Operasyonel Güncellemeler</w:t>
      </w:r>
    </w:p>
    <w:p>
      <w:pPr>
        <w:spacing w:before="200" w:after="100"/>
      </w:pPr>
      <w:r>
        <w:rPr>
          <w:rFonts w:ascii="Arial" w:cs="Arial" w:eastAsia="Arial" w:hAnsi="Arial"/>
          <w:b/>
          <w:bCs/>
          <w:color w:val="1B2838"/>
          <w:sz w:val="22"/>
          <w:szCs w:val="22"/>
        </w:rPr>
        <w:t xml:space="preserve">6.6.1 Kill-Switch Mekanizması (YENİ)</w:t>
      </w:r>
    </w:p>
    <w:p>
      <w:pPr>
        <w:spacing w:after="110" w:line="288"/>
        <w:jc w:val="both"/>
      </w:pPr>
      <w:r>
        <w:rPr>
          <w:rFonts w:ascii="Arial" w:cs="Arial" w:eastAsia="Arial" w:hAnsi="Arial"/>
          <w:i w:val="false"/>
          <w:iCs w:val="false"/>
          <w:color w:val="1B2838"/>
          <w:sz w:val="20"/>
          <w:szCs w:val="20"/>
        </w:rPr>
        <w:t xml:space="preserve">GR-1 ve DS-3’ün eleştirisi: Acil durum butonu yok. v11.1 üç seviyeli kill-switch ekler: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438"/>
        <w:gridCol w:w="4400"/>
      </w:tblGrid>
      <w:tr>
        <w:trPr>
          <w:tblHeader/>
        </w:trPr>
        <w:tc>
          <w:tcPr>
            <w:tcW w:type="dxa" w:w="1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Seviye</w:t>
            </w:r>
          </w:p>
        </w:tc>
        <w:tc>
          <w:tcPr>
            <w:tcW w:type="dxa" w:w="34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Tetikleyici</w:t>
            </w:r>
          </w:p>
        </w:tc>
        <w:tc>
          <w:tcPr>
            <w:tcW w:type="dxa" w:w="44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Aksiyon</w:t>
            </w:r>
          </w:p>
        </w:tc>
      </w:tr>
      <w:tr>
        <w:tc>
          <w:tcPr>
            <w:tcW w:type="dxa" w:w="1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LEVEL 1: Kontrat Durdur</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Tek kontratta anomali (spread patlaması, haber spike)</w:t>
            </w:r>
          </w:p>
        </w:tc>
        <w:tc>
          <w:tcPr>
            <w:tcW w:type="dxa" w:w="4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O kontratta yeni işlem yok, açık pozisyon sıkı SL</w:t>
            </w:r>
          </w:p>
        </w:tc>
      </w:tr>
      <w:tr>
        <w:tc>
          <w:tcPr>
            <w:tcW w:type="dxa" w:w="1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LEVEL 2: Sistem Pause</w:t>
            </w:r>
          </w:p>
        </w:tc>
        <w:tc>
          <w:tcPr>
            <w:tcW w:type="dxa" w:w="34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Risk limiti aşımı, 3 üst üste kayıp, rejim=OLAY</w:t>
            </w:r>
          </w:p>
        </w:tc>
        <w:tc>
          <w:tcPr>
            <w:tcW w:type="dxa" w:w="44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TÜM yeni işlemler durdurulur, açık pozisyonlar yönetilir</w:t>
            </w:r>
          </w:p>
        </w:tc>
      </w:tr>
      <w:tr>
        <w:tc>
          <w:tcPr>
            <w:tcW w:type="dxa" w:w="1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LEVEL 3: Tam Kapanış</w:t>
            </w:r>
          </w:p>
        </w:tc>
        <w:tc>
          <w:tcPr>
            <w:tcW w:type="dxa" w:w="34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Manuel buton VEYA max DD %10+ VEYA flash crash</w:t>
            </w:r>
          </w:p>
        </w:tc>
        <w:tc>
          <w:tcPr>
            <w:tcW w:type="dxa" w:w="44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TÜM pozisyonlar MARKET ile anında kapatılır, sistem durdurulur</w:t>
            </w:r>
          </w:p>
        </w:tc>
      </w:tr>
    </w:tbl>
    <w:p>
      <w:pPr>
        <w:spacing w:after="60"/>
      </w:pPr>
    </w:p>
    <w:p>
      <w:pPr>
        <w:spacing w:before="200" w:after="100"/>
      </w:pPr>
      <w:r>
        <w:rPr>
          <w:rFonts w:ascii="Arial" w:cs="Arial" w:eastAsia="Arial" w:hAnsi="Arial"/>
          <w:b/>
          <w:bCs/>
          <w:color w:val="1B2838"/>
          <w:sz w:val="22"/>
          <w:szCs w:val="22"/>
        </w:rPr>
        <w:t xml:space="preserve">6.6.2 Fail-Safe Davranış Kuralı (YENİ)</w:t>
      </w:r>
    </w:p>
    <w:p>
      <w:pPr>
        <w:spacing w:after="110" w:line="288"/>
        <w:jc w:val="both"/>
      </w:pPr>
      <w:r>
        <w:rPr>
          <w:rFonts w:ascii="Arial" w:cs="Arial" w:eastAsia="Arial" w:hAnsi="Arial"/>
          <w:i w:val="false"/>
          <w:iCs w:val="false"/>
          <w:color w:val="1B2838"/>
          <w:sz w:val="20"/>
          <w:szCs w:val="20"/>
        </w:rPr>
        <w:t xml:space="preserve">CG-4 haklı: Dış bağımlılık kesildiğinde ne olur? </w:t>
      </w:r>
      <w:r>
        <w:rPr>
          <w:rFonts w:ascii="Arial" w:cs="Arial" w:eastAsia="Arial" w:hAnsi="Arial"/>
          <w:b/>
          <w:bCs/>
          <w:color w:val="1B2838"/>
          <w:sz w:val="20"/>
          <w:szCs w:val="20"/>
        </w:rPr>
        <w:t xml:space="preserve">Cevap: Sistem her zaman fail-closed çalışır.</w:t>
      </w:r>
      <w:r>
        <w:rPr>
          <w:rFonts w:ascii="Arial" w:cs="Arial" w:eastAsia="Arial" w:hAnsi="Arial"/>
          <w:i w:val="false"/>
          <w:iCs w:val="false"/>
          <w:color w:val="1B2838"/>
          <w:sz w:val="20"/>
          <w:szCs w:val="20"/>
        </w:rPr>
        <w:t xml:space="preserve"/>
      </w:r>
    </w:p>
    <w:p>
      <w:pPr>
        <w:pStyle w:val="ListParagraph"/>
        <w:numPr>
          <w:ilvl w:val="0"/>
          <w:numId w:val="2"/>
        </w:numPr>
        <w:spacing w:after="70" w:line="276"/>
      </w:pPr>
      <w:r>
        <w:rPr>
          <w:rFonts w:ascii="Arial" w:cs="Arial" w:eastAsia="Arial" w:hAnsi="Arial"/>
          <w:color w:val="1B2838"/>
          <w:sz w:val="20"/>
          <w:szCs w:val="20"/>
        </w:rPr>
        <w:t xml:space="preserve">Ekonomik takvim erişilemezse → TÜM günler OLAY rejimi gibi muamele görür (yeni işlem yok)</w:t>
      </w:r>
    </w:p>
    <w:p>
      <w:pPr>
        <w:pStyle w:val="ListParagraph"/>
        <w:numPr>
          <w:ilvl w:val="0"/>
          <w:numId w:val="2"/>
        </w:numPr>
        <w:spacing w:after="70" w:line="276"/>
      </w:pPr>
      <w:r>
        <w:rPr>
          <w:rFonts w:ascii="Arial" w:cs="Arial" w:eastAsia="Arial" w:hAnsi="Arial"/>
          <w:color w:val="1B2838"/>
          <w:sz w:val="20"/>
          <w:szCs w:val="20"/>
        </w:rPr>
        <w:t xml:space="preserve">SMS/email gönderilemezse → Sistem çalışmaya devam eder ama alert log’a yazılır</w:t>
      </w:r>
    </w:p>
    <w:p>
      <w:pPr>
        <w:pStyle w:val="ListParagraph"/>
        <w:numPr>
          <w:ilvl w:val="0"/>
          <w:numId w:val="2"/>
        </w:numPr>
        <w:spacing w:after="70" w:line="276"/>
      </w:pPr>
      <w:r>
        <w:rPr>
          <w:rFonts w:ascii="Arial" w:cs="Arial" w:eastAsia="Arial" w:hAnsi="Arial"/>
          <w:color w:val="1B2838"/>
          <w:sz w:val="20"/>
          <w:szCs w:val="20"/>
        </w:rPr>
        <w:t xml:space="preserve">MT5 bağlantısı koparsa → 5 kez yeniden bağlanma, başarısız → sistem durdur (açık pozisyonlar MT5’in kendi SL/TP’siyle korunur)</w:t>
      </w:r>
    </w:p>
    <w:p>
      <w:pPr>
        <w:pStyle w:val="ListParagraph"/>
        <w:numPr>
          <w:ilvl w:val="0"/>
          <w:numId w:val="2"/>
        </w:numPr>
        <w:spacing w:after="70" w:line="276"/>
      </w:pPr>
      <w:r>
        <w:rPr>
          <w:rFonts w:ascii="Arial" w:cs="Arial" w:eastAsia="Arial" w:hAnsi="Arial"/>
          <w:color w:val="1B2838"/>
          <w:sz w:val="20"/>
          <w:szCs w:val="20"/>
        </w:rPr>
        <w:t xml:space="preserve">Veri anomalisi tespit edilirse → O kontrat için veri reddedilir, işlem durdurulur</w:t>
      </w:r>
    </w:p>
    <w:p>
      <w:pPr>
        <w:spacing w:after="60"/>
      </w:pPr>
    </w:p>
    <w:p>
      <w:pPr>
        <w:spacing w:before="200" w:after="100"/>
      </w:pPr>
      <w:r>
        <w:rPr>
          <w:rFonts w:ascii="Arial" w:cs="Arial" w:eastAsia="Arial" w:hAnsi="Arial"/>
          <w:b/>
          <w:bCs/>
          <w:color w:val="1B2838"/>
          <w:sz w:val="22"/>
          <w:szCs w:val="22"/>
        </w:rPr>
        <w:t xml:space="preserve">6.6.3 Config Versiyonlama (YENİ)</w:t>
      </w:r>
    </w:p>
    <w:p>
      <w:pPr>
        <w:spacing w:after="110" w:line="288"/>
        <w:jc w:val="both"/>
      </w:pPr>
      <w:r>
        <w:rPr>
          <w:rFonts w:ascii="Arial" w:cs="Arial" w:eastAsia="Arial" w:hAnsi="Arial"/>
          <w:i w:val="false"/>
          <w:iCs w:val="false"/>
          <w:color w:val="1B2838"/>
          <w:sz w:val="20"/>
          <w:szCs w:val="20"/>
        </w:rPr>
        <w:t xml:space="preserve">CG-4 haklı: Parametre değişikliği için audit trail şart. v11.1 kuralı:</w:t>
      </w:r>
    </w:p>
    <w:p>
      <w:pPr>
        <w:pStyle w:val="ListParagraph"/>
        <w:numPr>
          <w:ilvl w:val="0"/>
          <w:numId w:val="2"/>
        </w:numPr>
        <w:spacing w:after="70" w:line="276"/>
      </w:pPr>
      <w:r>
        <w:rPr>
          <w:rFonts w:ascii="Arial" w:cs="Arial" w:eastAsia="Arial" w:hAnsi="Arial"/>
          <w:color w:val="1B2838"/>
          <w:sz w:val="20"/>
          <w:szCs w:val="20"/>
        </w:rPr>
        <w:t xml:space="preserve">Her parametre değişikliği `config_history` tablosuna yazılır: timestamp, parametre_adı, eski_değer, yeni_değer, değiştiren (sistem/insan)</w:t>
      </w:r>
    </w:p>
    <w:p>
      <w:pPr>
        <w:pStyle w:val="ListParagraph"/>
        <w:numPr>
          <w:ilvl w:val="0"/>
          <w:numId w:val="2"/>
        </w:numPr>
        <w:spacing w:after="70" w:line="276"/>
      </w:pPr>
      <w:r>
        <w:rPr>
          <w:rFonts w:ascii="Arial" w:cs="Arial" w:eastAsia="Arial" w:hAnsi="Arial"/>
          <w:color w:val="1B2838"/>
          <w:sz w:val="20"/>
          <w:szCs w:val="20"/>
        </w:rPr>
        <w:t xml:space="preserve">Aktif config her zaman JSON olarak snapshot’lanır</w:t>
      </w:r>
    </w:p>
    <w:p>
      <w:pPr>
        <w:pStyle w:val="ListParagraph"/>
        <w:numPr>
          <w:ilvl w:val="0"/>
          <w:numId w:val="2"/>
        </w:numPr>
        <w:spacing w:after="70" w:line="276"/>
      </w:pPr>
      <w:r>
        <w:rPr>
          <w:rFonts w:ascii="Arial" w:cs="Arial" w:eastAsia="Arial" w:hAnsi="Arial"/>
          <w:color w:val="1B2838"/>
          <w:sz w:val="20"/>
          <w:szCs w:val="20"/>
        </w:rPr>
        <w:t xml:space="preserve">Rollback: herhangi bir geçmiş snapshot’a 1 komutla dönülabilir</w:t>
      </w:r>
    </w:p>
    <w:p>
      <w:pPr>
        <w:spacing w:after="60"/>
      </w:pPr>
    </w:p>
    <w:p>
      <w:pPr>
        <w:spacing w:before="200" w:after="100"/>
      </w:pPr>
      <w:r>
        <w:rPr>
          <w:rFonts w:ascii="Arial" w:cs="Arial" w:eastAsia="Arial" w:hAnsi="Arial"/>
          <w:b/>
          <w:bCs/>
          <w:color w:val="1B2838"/>
          <w:sz w:val="22"/>
          <w:szCs w:val="22"/>
        </w:rPr>
        <w:t xml:space="preserve">6.6.4 Haber/Bilanço Filtresi (YENİ)</w:t>
      </w:r>
    </w:p>
    <w:p>
      <w:pPr>
        <w:spacing w:after="110" w:line="288"/>
        <w:jc w:val="both"/>
      </w:pPr>
      <w:r>
        <w:rPr>
          <w:rFonts w:ascii="Arial" w:cs="Arial" w:eastAsia="Arial" w:hAnsi="Arial"/>
          <w:i w:val="false"/>
          <w:iCs w:val="false"/>
          <w:color w:val="1B2838"/>
          <w:sz w:val="20"/>
          <w:szCs w:val="20"/>
        </w:rPr>
        <w:t xml:space="preserve">GR-1 haklı: Hisse kontratlarında haber etkisi çok büyük. Tam NLP entegrasyonu erken aşamada gerçekçi değil ama basit filtre uygulanabilir:</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Bilanço takvimi:</w:t>
      </w:r>
      <w:r>
        <w:rPr>
          <w:rFonts w:ascii="Arial" w:cs="Arial" w:eastAsia="Arial" w:hAnsi="Arial"/>
          <w:color w:val="1B2838"/>
          <w:sz w:val="20"/>
          <w:szCs w:val="20"/>
        </w:rPr>
        <w:t xml:space="preserve"> Her kontratın bilanço açıklama tarihi sisteme tanımlanır. Açıklama günü ±1 iş günü = o kontratta işlem yok.</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TCMB/FED takvimi:</w:t>
      </w:r>
      <w:r>
        <w:rPr>
          <w:rFonts w:ascii="Arial" w:cs="Arial" w:eastAsia="Arial" w:hAnsi="Arial"/>
          <w:color w:val="1B2838"/>
          <w:sz w:val="20"/>
          <w:szCs w:val="20"/>
        </w:rPr>
        <w:t xml:space="preserve"> Karar günleri = TÜM kontratlarda OLAY rejimi.</w:t>
      </w:r>
    </w:p>
    <w:p>
      <w:pPr>
        <w:pStyle w:val="ListParagraph"/>
        <w:numPr>
          <w:ilvl w:val="0"/>
          <w:numId w:val="2"/>
        </w:numPr>
        <w:spacing w:after="70" w:line="276"/>
      </w:pPr>
      <w:r>
        <w:rPr>
          <w:rFonts w:ascii="Arial" w:cs="Arial" w:eastAsia="Arial" w:hAnsi="Arial"/>
          <w:color w:val="1B2838"/>
          <w:sz w:val="20"/>
          <w:szCs w:val="20"/>
        </w:rPr>
        <w:t xml:space="preserve"/>
      </w:r>
      <w:r>
        <w:rPr>
          <w:rFonts w:ascii="Arial" w:cs="Arial" w:eastAsia="Arial" w:hAnsi="Arial"/>
          <w:b/>
          <w:bCs/>
          <w:color w:val="1B2838"/>
          <w:sz w:val="20"/>
          <w:szCs w:val="20"/>
        </w:rPr>
        <w:t xml:space="preserve">Manuell haber girişi:</w:t>
      </w:r>
      <w:r>
        <w:rPr>
          <w:rFonts w:ascii="Arial" w:cs="Arial" w:eastAsia="Arial" w:hAnsi="Arial"/>
          <w:color w:val="1B2838"/>
          <w:sz w:val="20"/>
          <w:szCs w:val="20"/>
        </w:rPr>
        <w:t xml:space="preserve"> Kullanıcı ‘bugün X hissesinde haber var’ diye işaretleyebilir → o kontrat gün boyu deaktif.</w:t>
      </w:r>
    </w:p>
    <w:p>
      <w:r>
        <w:br w:type="page"/>
      </w:r>
    </w:p>
    <w:p>
      <w:pPr>
        <w:pStyle w:val="Heading1"/>
        <w:spacing w:before="360" w:after="180"/>
      </w:pPr>
      <w:r>
        <w:rPr>
          <w:rFonts w:ascii="Arial" w:cs="Arial" w:eastAsia="Arial" w:hAnsi="Arial"/>
          <w:b/>
          <w:bCs/>
          <w:color w:val="1A3C5E"/>
          <w:sz w:val="30"/>
          <w:szCs w:val="30"/>
        </w:rPr>
        <w:t xml:space="preserve">7. REDDEDILEN ELEŞTİRİLER VE GEREKÇELERİ</w:t>
      </w:r>
    </w:p>
    <w:p>
      <w:pPr>
        <w:spacing w:after="110" w:line="288"/>
        <w:jc w:val="both"/>
      </w:pPr>
      <w:r>
        <w:rPr>
          <w:rFonts w:ascii="Arial" w:cs="Arial" w:eastAsia="Arial" w:hAnsi="Arial"/>
          <w:i w:val="false"/>
          <w:iCs w:val="false"/>
          <w:color w:val="1B2838"/>
          <w:sz w:val="20"/>
          <w:szCs w:val="20"/>
        </w:rPr>
        <w:t xml:space="preserve">Aşağıdaki eleştiriler akademik olarak doğru olabilir ama bu projenin mevcut aşaması ve kapsamı için uygun değildir: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838"/>
      </w:tblGrid>
      <w:tr>
        <w:trPr>
          <w:tblHeader/>
        </w:trPr>
        <w:tc>
          <w:tcPr>
            <w:tcW w:type="dxa" w:w="3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Eleştiri</w:t>
            </w:r>
          </w:p>
        </w:tc>
        <w:tc>
          <w:tcPr>
            <w:tcW w:type="dxa" w:w="8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Kaynak</w:t>
            </w:r>
          </w:p>
        </w:tc>
        <w:tc>
          <w:tcPr>
            <w:tcW w:type="dxa" w:w="58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Neden Reddedildi</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VaR, CVaR, beklenen shortfall, dinamik korelasyon matrisi</w:t>
            </w:r>
          </w:p>
        </w:tc>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GR-1</w:t>
            </w:r>
          </w:p>
        </w:tc>
        <w:tc>
          <w:tcPr>
            <w:tcW w:type="dxa" w:w="5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Kurumsal quant fonu metrikleri. 1 kontrat, 15 hisse, test aşaması için over-engineering. Basit risk limitleri (günlük %2, max DD %10) bu ölçekte yeterli.</w:t>
            </w:r>
          </w:p>
        </w:tc>
      </w:tr>
      <w:tr>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50+ kontrata ölçeklenebilirlik</w:t>
            </w:r>
          </w:p>
        </w:tc>
        <w:tc>
          <w:tcPr>
            <w:tcW w:type="dxa" w:w="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GR-1</w:t>
            </w:r>
          </w:p>
        </w:tc>
        <w:tc>
          <w:tcPr>
            <w:tcW w:type="dxa" w:w="5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Sistem 15 kontrat için tasarlandı. 50+ kontrat hedeflenmiyor. Bilinçli sınırlama.</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İnsan gözetimi = zayıflık</w:t>
            </w:r>
          </w:p>
        </w:tc>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GR-1</w:t>
            </w:r>
          </w:p>
        </w:tc>
        <w:tc>
          <w:tcPr>
            <w:tcW w:type="dxa" w:w="5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Test aşamasında insan gözetimi güvenlik önlemidir, zayıflık değil. Quant fonu standartları solo developer projesine uygulanamaz.</w:t>
            </w:r>
          </w:p>
        </w:tc>
      </w:tr>
      <w:tr>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Resmi BIST veri feed’ine geçiş</w:t>
            </w:r>
          </w:p>
        </w:tc>
        <w:tc>
          <w:tcPr>
            <w:tcW w:type="dxa" w:w="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GR-1</w:t>
            </w:r>
          </w:p>
        </w:tc>
        <w:tc>
          <w:tcPr>
            <w:tcW w:type="dxa" w:w="5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Bireysel trader için maliyet ve erişim açısından gerçekçi değil. GCM’den gelen MT5 verisi yeterli kalitededir.</w:t>
            </w:r>
          </w:p>
        </w:tc>
      </w:tr>
      <w:tr>
        <w:tc>
          <w:tcPr>
            <w:tcW w:type="dxa" w:w="3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Endeks hedge mekanizması</w:t>
            </w:r>
          </w:p>
        </w:tc>
        <w:tc>
          <w:tcPr>
            <w:tcW w:type="dxa" w:w="8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DS-3</w:t>
            </w:r>
          </w:p>
        </w:tc>
        <w:tc>
          <w:tcPr>
            <w:tcW w:type="dxa" w:w="58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Test aşamasında 1 kontrat işlem yaparken hedge karmaşıklık ekler. Sistem olgunlaşınca değerlendirilir.</w:t>
            </w:r>
          </w:p>
        </w:tc>
      </w:tr>
      <w:tr>
        <w:tc>
          <w:tcPr>
            <w:tcW w:type="dxa" w:w="3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SQLite’tan TimescaleDB’ye geçiş</w:t>
            </w:r>
          </w:p>
        </w:tc>
        <w:tc>
          <w:tcPr>
            <w:tcW w:type="dxa" w:w="8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DS-3</w:t>
            </w:r>
          </w:p>
        </w:tc>
        <w:tc>
          <w:tcPr>
            <w:tcW w:type="dxa" w:w="58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Günde 5 işlem + bar verisi = yılda 2-3 GB. SQLite yıllarca yeterli. Sorun yaşanırsa geçilir.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7C4A03" w:sz="12"/>
              <w:bottom w:val="none" w:sz="0"/>
              <w:right w:val="none" w:sz="0"/>
            </w:tcBorders>
            <w:shd w:fill="FFF8E1" w:val="clear"/>
            <w:tcMar>
              <w:top w:type="dxa" w:w="90"/>
              <w:left w:type="dxa" w:w="140"/>
              <w:bottom w:type="dxa" w:w="90"/>
              <w:right w:type="dxa" w:w="140"/>
            </w:tcMar>
          </w:tcPr>
          <w:p>
            <w:pPr>
              <w:spacing w:after="50"/>
            </w:pPr>
            <w:r>
              <w:rPr>
                <w:rFonts w:ascii="Arial" w:cs="Arial" w:eastAsia="Arial" w:hAnsi="Arial"/>
                <w:b/>
                <w:bCs/>
                <w:color w:val="7C4A03"/>
                <w:sz w:val="19"/>
                <w:szCs w:val="19"/>
              </w:rPr>
              <w:t xml:space="preserve">NEDEN BAZI ELEŞTİRİLER REDDEDILDİ?</w:t>
            </w:r>
          </w:p>
          <w:p>
            <w:pPr>
              <w:spacing w:after="0"/>
            </w:pPr>
            <w:r>
              <w:rPr>
                <w:rFonts w:ascii="Arial" w:cs="Arial" w:eastAsia="Arial" w:hAnsi="Arial"/>
                <w:color w:val="7C4A03"/>
                <w:sz w:val="18"/>
                <w:szCs w:val="18"/>
              </w:rPr>
              <w:t xml:space="preserve">Reddedilen eleştiriler yanlış değildir — sadece bu projenin mevcut aşaması için uygun değildir. Bir sistem önce çalışmalı, sonra mükemmelleştirilmelidir. VaR hesaplayan ama emir gönderemeyen sistem, VaR hesaplamayan ama disiplinli çalışan sistemden daha kötüdür.</w:t>
            </w:r>
          </w:p>
        </w:tc>
      </w:tr>
    </w:tbl>
    <w:p>
      <w:r>
        <w:br w:type="page"/>
      </w:r>
    </w:p>
    <w:p>
      <w:pPr>
        <w:pStyle w:val="Heading1"/>
        <w:spacing w:before="360" w:after="180"/>
      </w:pPr>
      <w:r>
        <w:rPr>
          <w:rFonts w:ascii="Arial" w:cs="Arial" w:eastAsia="Arial" w:hAnsi="Arial"/>
          <w:b/>
          <w:bCs/>
          <w:color w:val="1A3C5E"/>
          <w:sz w:val="30"/>
          <w:szCs w:val="30"/>
        </w:rPr>
        <w:t xml:space="preserve">8. SONUÇ</w:t>
      </w:r>
    </w:p>
    <w:p>
      <w:pPr>
        <w:pStyle w:val="Heading2"/>
        <w:spacing w:before="280" w:after="140"/>
      </w:pPr>
      <w:r>
        <w:rPr>
          <w:rFonts w:ascii="Arial" w:cs="Arial" w:eastAsia="Arial" w:hAnsi="Arial"/>
          <w:b/>
          <w:bCs/>
          <w:color w:val="1A3C5E"/>
          <w:sz w:val="25"/>
          <w:szCs w:val="25"/>
        </w:rPr>
        <w:t xml:space="preserve">8.1 v11.0 → v11.1 Değişiklik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Eklenen / Güncellenen</w:t>
            </w:r>
          </w:p>
        </w:tc>
        <w:tc>
          <w:tcPr>
            <w:tcW w:type="dxa" w:w="3638"/>
            <w:tcBorders>
              <w:top w:val="single" w:color="C8CDD5" w:sz="1"/>
              <w:left w:val="single" w:color="C8CDD5" w:sz="1"/>
              <w:bottom w:val="single" w:color="C8CDD5" w:sz="1"/>
              <w:right w:val="single" w:color="C8CDD5" w:sz="1"/>
            </w:tcBorders>
            <w:shd w:fill="1A3C5E" w:val="clear"/>
            <w:tcMar>
              <w:top w:type="dxa" w:w="55"/>
              <w:left w:type="dxa" w:w="90"/>
              <w:bottom w:type="dxa" w:w="55"/>
              <w:right w:type="dxa" w:w="90"/>
            </w:tcMar>
          </w:tcPr>
          <w:p>
            <w:r>
              <w:rPr>
                <w:rFonts w:ascii="Arial" w:cs="Arial" w:eastAsia="Arial" w:hAnsi="Arial"/>
                <w:b/>
                <w:bCs/>
                <w:color w:val="FFFFFF"/>
                <w:sz w:val="18"/>
                <w:szCs w:val="18"/>
              </w:rPr>
              <w:t xml:space="preserve">Kaynak Eleştiri</w:t>
            </w:r>
          </w:p>
        </w:tc>
      </w:tr>
      <w:tr>
        <w:tc>
          <w:tcPr>
            <w:tcW w:type="dxa" w:w="6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Enstrüman bazlı parametre tablosu (fiyat adımı, çarpan, tick değeri)</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CG-4</w:t>
            </w:r>
          </w:p>
        </w:tc>
      </w:tr>
      <w:tr>
        <w:tc>
          <w:tcPr>
            <w:tcW w:type="dxa" w:w="6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Likidite sınıfları (A/B/C) ve sınıfa göre farklı eşikler</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GE-2</w:t>
            </w:r>
          </w:p>
        </w:tc>
      </w:tr>
      <w:tr>
        <w:tc>
          <w:tcPr>
            <w:tcW w:type="dxa" w:w="6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Emir state-machine (SIGNAL → FILLED/CANCELLED)</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CG-4</w:t>
            </w:r>
          </w:p>
        </w:tc>
      </w:tr>
      <w:tr>
        <w:tc>
          <w:tcPr>
            <w:tcW w:type="dxa" w:w="6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Volatile rejimde market fallback yasak</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GE-2</w:t>
            </w:r>
          </w:p>
        </w:tc>
      </w:tr>
      <w:tr>
        <w:tc>
          <w:tcPr>
            <w:tcW w:type="dxa" w:w="6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3 katmanlı korelasyon yönetimi (yön + sektör + endeks ağırlık)</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GE-2, DS-3</w:t>
            </w:r>
          </w:p>
        </w:tc>
      </w:tr>
      <w:tr>
        <w:tc>
          <w:tcPr>
            <w:tcW w:type="dxa" w:w="6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Rejim erken uyarı tetikleyicileri</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GE-2</w:t>
            </w:r>
          </w:p>
        </w:tc>
      </w:tr>
      <w:tr>
        <w:tc>
          <w:tcPr>
            <w:tcW w:type="dxa" w:w="6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Stochastic slippage ve spread modeli</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GR-1, CG-4</w:t>
            </w:r>
          </w:p>
        </w:tc>
      </w:tr>
      <w:tr>
        <w:tc>
          <w:tcPr>
            <w:tcW w:type="dxa" w:w="6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Monte Carlo zorunlu, stress test eklendi</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DS-3, GR-1</w:t>
            </w:r>
          </w:p>
        </w:tc>
      </w:tr>
      <w:tr>
        <w:tc>
          <w:tcPr>
            <w:tcW w:type="dxa" w:w="6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Regime drift testi</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DS-3</w:t>
            </w:r>
          </w:p>
        </w:tc>
      </w:tr>
      <w:tr>
        <w:tc>
          <w:tcPr>
            <w:tcW w:type="dxa" w:w="6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Paper trade 4 hafta → 8 hafta</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DS-3</w:t>
            </w:r>
          </w:p>
        </w:tc>
      </w:tr>
      <w:tr>
        <w:tc>
          <w:tcPr>
            <w:tcW w:type="dxa" w:w="6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3 seviyeli kill-switch</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GR-1</w:t>
            </w:r>
          </w:p>
        </w:tc>
      </w:tr>
      <w:tr>
        <w:tc>
          <w:tcPr>
            <w:tcW w:type="dxa" w:w="6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Fail-closed kuralı</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CG-4</w:t>
            </w:r>
          </w:p>
        </w:tc>
      </w:tr>
      <w:tr>
        <w:tc>
          <w:tcPr>
            <w:tcW w:type="dxa" w:w="6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Config versiyonlama ve audit trail</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CG-4</w:t>
            </w:r>
          </w:p>
        </w:tc>
      </w:tr>
      <w:tr>
        <w:tc>
          <w:tcPr>
            <w:tcW w:type="dxa" w:w="6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Bilanço/haber takvimi filtresi</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GR-1</w:t>
            </w:r>
          </w:p>
        </w:tc>
      </w:tr>
      <w:tr>
        <w:tc>
          <w:tcPr>
            <w:tcW w:type="dxa" w:w="6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Floating PnL ve teminat kullanım formülü</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CG-4</w:t>
            </w:r>
          </w:p>
        </w:tc>
      </w:tr>
      <w:tr>
        <w:tc>
          <w:tcPr>
            <w:tcW w:type="dxa" w:w="6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Puanlama normalizasyonu tanımı</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CG-4</w:t>
            </w:r>
          </w:p>
        </w:tc>
      </w:tr>
      <w:tr>
        <w:tc>
          <w:tcPr>
            <w:tcW w:type="dxa" w:w="6000"/>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Veri temizleme pipeline (outlier, gap)</w:t>
            </w:r>
          </w:p>
        </w:tc>
        <w:tc>
          <w:tcPr>
            <w:tcW w:type="dxa" w:w="3638"/>
            <w:tcBorders>
              <w:top w:val="single" w:color="C8CDD5" w:sz="1"/>
              <w:left w:val="single" w:color="C8CDD5" w:sz="1"/>
              <w:bottom w:val="single" w:color="C8CDD5" w:sz="1"/>
              <w:right w:val="single" w:color="C8CDD5" w:sz="1"/>
            </w:tcBorders>
            <w:shd w:fill="FFFFFF" w:val="clear"/>
            <w:tcMar>
              <w:top w:type="dxa" w:w="55"/>
              <w:left w:type="dxa" w:w="90"/>
              <w:bottom w:type="dxa" w:w="55"/>
              <w:right w:type="dxa" w:w="90"/>
            </w:tcMar>
          </w:tcPr>
          <w:p>
            <w:r>
              <w:rPr>
                <w:rFonts w:ascii="Arial" w:cs="Arial" w:eastAsia="Arial" w:hAnsi="Arial"/>
                <w:color w:val="1B2838"/>
                <w:sz w:val="17"/>
                <w:szCs w:val="17"/>
              </w:rPr>
              <w:t xml:space="preserve">GR-1</w:t>
            </w:r>
          </w:p>
        </w:tc>
      </w:tr>
      <w:tr>
        <w:tc>
          <w:tcPr>
            <w:tcW w:type="dxa" w:w="6000"/>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HMM geçiş için nicel kriter</w:t>
            </w:r>
          </w:p>
        </w:tc>
        <w:tc>
          <w:tcPr>
            <w:tcW w:type="dxa" w:w="3638"/>
            <w:tcBorders>
              <w:top w:val="single" w:color="C8CDD5" w:sz="1"/>
              <w:left w:val="single" w:color="C8CDD5" w:sz="1"/>
              <w:bottom w:val="single" w:color="C8CDD5" w:sz="1"/>
              <w:right w:val="single" w:color="C8CDD5" w:sz="1"/>
            </w:tcBorders>
            <w:shd w:fill="F5F6F8" w:val="clear"/>
            <w:tcMar>
              <w:top w:type="dxa" w:w="55"/>
              <w:left w:type="dxa" w:w="90"/>
              <w:bottom w:type="dxa" w:w="55"/>
              <w:right w:type="dxa" w:w="90"/>
            </w:tcMar>
          </w:tcPr>
          <w:p>
            <w:r>
              <w:rPr>
                <w:rFonts w:ascii="Arial" w:cs="Arial" w:eastAsia="Arial" w:hAnsi="Arial"/>
                <w:color w:val="1B2838"/>
                <w:sz w:val="17"/>
                <w:szCs w:val="17"/>
              </w:rPr>
              <w:t xml:space="preserve">DS-3</w:t>
            </w:r>
          </w:p>
        </w:tc>
      </w:tr>
    </w:tbl>
    <w:p>
      <w:pPr>
        <w:spacing w:after="80"/>
      </w:pPr>
    </w:p>
    <w:p>
      <w:pPr>
        <w:spacing w:after="110" w:line="288"/>
        <w:jc w:val="both"/>
      </w:pPr>
      <w:r>
        <w:rPr>
          <w:rFonts w:ascii="Arial" w:cs="Arial" w:eastAsia="Arial" w:hAnsi="Arial"/>
          <w:i w:val="false"/>
          <w:iCs w:val="false"/>
          <w:color w:val="1B2838"/>
          <w:sz w:val="20"/>
          <w:szCs w:val="20"/>
        </w:rPr>
        <w:t xml:space="preserve">v11.1 toplam </w:t>
      </w:r>
      <w:r>
        <w:rPr>
          <w:rFonts w:ascii="Arial" w:cs="Arial" w:eastAsia="Arial" w:hAnsi="Arial"/>
          <w:b/>
          <w:bCs/>
          <w:color w:val="1B2838"/>
          <w:sz w:val="20"/>
          <w:szCs w:val="20"/>
        </w:rPr>
        <w:t xml:space="preserve">18 güncelleme</w:t>
      </w:r>
      <w:r>
        <w:rPr>
          <w:rFonts w:ascii="Arial" w:cs="Arial" w:eastAsia="Arial" w:hAnsi="Arial"/>
          <w:i w:val="false"/>
          <w:iCs w:val="false"/>
          <w:color w:val="1B2838"/>
          <w:sz w:val="20"/>
          <w:szCs w:val="20"/>
        </w:rPr>
        <w:t xml:space="preserve"> içermektedir. Bunların tamamı gerçek piyasada can yakabilecek, somut, çözülebilir sorunlardır.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single" w:color="1A5C3A" w:sz="12"/>
              <w:bottom w:val="none" w:sz="0"/>
              <w:right w:val="none" w:sz="0"/>
            </w:tcBorders>
            <w:shd w:fill="E1F5EA" w:val="clear"/>
            <w:tcMar>
              <w:top w:type="dxa" w:w="90"/>
              <w:left w:type="dxa" w:w="140"/>
              <w:bottom w:type="dxa" w:w="90"/>
              <w:right w:type="dxa" w:w="140"/>
            </w:tcMar>
          </w:tcPr>
          <w:p>
            <w:pPr>
              <w:spacing w:after="50"/>
            </w:pPr>
            <w:r>
              <w:rPr>
                <w:rFonts w:ascii="Arial" w:cs="Arial" w:eastAsia="Arial" w:hAnsi="Arial"/>
                <w:b/>
                <w:bCs/>
                <w:color w:val="1A5C3A"/>
                <w:sz w:val="19"/>
                <w:szCs w:val="19"/>
              </w:rPr>
              <w:t xml:space="preserve">SON SÖZ</w:t>
            </w:r>
          </w:p>
          <w:p>
            <w:pPr>
              <w:spacing w:after="0"/>
            </w:pPr>
            <w:r>
              <w:rPr>
                <w:rFonts w:ascii="Arial" w:cs="Arial" w:eastAsia="Arial" w:hAnsi="Arial"/>
                <w:color w:val="1A5C3A"/>
                <w:sz w:val="18"/>
                <w:szCs w:val="18"/>
              </w:rPr>
              <w:t xml:space="preserve">4 eleştiri dokümanı bu projeye büyük değer kattı. Eleştirilerin %50’sinin tam kabul edilmesi, projenin açık olduğunu ve gelişmeye hazır olduğunu gösterir. Reddedilen maddeler yanlış değil, sadece zamanlaması erken. Sistem önce çalışsın, veriler biriksin, sonra bu maddeler de değerlendirilir. Dürüstlük, gerçekçilik, disiplin.</w:t>
            </w:r>
          </w:p>
        </w:tc>
      </w:tr>
    </w:tbl>
    <w:p>
      <w:pPr>
        <w:spacing w:after="100"/>
      </w:pPr>
    </w:p>
    <w:p>
      <w:pPr>
        <w:spacing w:after="30"/>
        <w:jc w:val="center"/>
      </w:pPr>
      <w:r>
        <w:rPr>
          <w:rFonts w:ascii="Arial" w:cs="Arial" w:eastAsia="Arial" w:hAnsi="Arial"/>
          <w:b/>
          <w:bCs/>
          <w:color w:val="5F6B7A"/>
          <w:sz w:val="22"/>
          <w:szCs w:val="22"/>
        </w:rPr>
        <w:t xml:space="preserve">— DOKUMAN SONU —</w:t>
      </w:r>
    </w:p>
    <w:p>
      <w:pPr>
        <w:spacing w:after="20"/>
        <w:jc w:val="center"/>
      </w:pPr>
      <w:r>
        <w:rPr>
          <w:rFonts w:ascii="Arial" w:cs="Arial" w:eastAsia="Arial" w:hAnsi="Arial"/>
          <w:color w:val="5F6B7A"/>
          <w:sz w:val="18"/>
          <w:szCs w:val="18"/>
        </w:rPr>
        <w:t xml:space="preserve">BABA-OĞUL-ÜSTAT v11.1 — 21 Şubat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A"/>
        <w:sz w:val="15"/>
        <w:szCs w:val="15"/>
      </w:rPr>
      <w:t xml:space="preserve">Sayfa </w:t>
    </w:r>
    <w:r>
      <w:rPr>
        <w:rFonts w:ascii="Arial" w:cs="Arial" w:eastAsia="Arial" w:hAnsi="Arial"/>
        <w:color w:val="5F6B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B7A"/>
        <w:sz w:val="15"/>
        <w:szCs w:val="15"/>
      </w:rPr>
      <w:t xml:space="preserve">BABA-OĞUL-ÜSTAT v11.1 — Eleştiri Analizi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C5E"/>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1A3C5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2026-02-21T14:18:09.829Z</dcterms:created>
  <dcterms:modified xsi:type="dcterms:W3CDTF">2026-02-21T14:18:09.831Z</dcterms:modified>
</cp:coreProperties>
</file>

<file path=docProps/custom.xml><?xml version="1.0" encoding="utf-8"?>
<Properties xmlns="http://schemas.openxmlformats.org/officeDocument/2006/custom-properties" xmlns:vt="http://schemas.openxmlformats.org/officeDocument/2006/docPropsVTypes"/>
</file>