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B4D73" w14:textId="77777777" w:rsidR="00F91457" w:rsidRPr="00F91457" w:rsidRDefault="00F91457" w:rsidP="00F914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tr-TR"/>
          <w14:ligatures w14:val="none"/>
        </w:rPr>
        <w:t>BABA-OĞUL-ÜSTAT v11.0 — ZAYIF YÖNLER VE KRİTİK GELİŞİM ALANLARI</w:t>
      </w:r>
    </w:p>
    <w:p w14:paraId="33471D27" w14:textId="77777777" w:rsidR="00F91457" w:rsidRPr="00F91457" w:rsidRDefault="00F91457" w:rsidP="00F914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Bu bölüm, sistemin mevcut tasarımındaki eksiklikleri, riskleri ve profesyonel standartların gerisinde kalan noktaları özetler. Bu maddeler, sistemin uzun vadeli başarısı için mutlaka ele alınması gereken konulardır.</w:t>
      </w:r>
    </w:p>
    <w:p w14:paraId="4A363BFB" w14:textId="77777777" w:rsidR="00F91457" w:rsidRPr="00F91457" w:rsidRDefault="00F91457" w:rsidP="00F9145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1. VERİ VE MODELLEME EKSİKLERİ</w:t>
      </w:r>
    </w:p>
    <w:p w14:paraId="1DA7EBB8" w14:textId="77777777" w:rsidR="00F91457" w:rsidRPr="00F91457" w:rsidRDefault="00F91457" w:rsidP="00F914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Rejim Algılamada Net Eşik Yok: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Kural tabanlı rejim algılamadan (TREND/RANGE/VOLATILE) HMM gibi makine öğrenmesi modellerine geçiş için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nicel bir veri eşiği tanımlanmamış.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Kaç bar, kaç rejim değişimi, kaç işlem sonrası bu geçişin yapılacağı net değil. Bu, kararın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subjektif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kalmasına ve gecikmesine yol açabilir.</w:t>
      </w:r>
    </w:p>
    <w:p w14:paraId="4E0ABC06" w14:textId="77777777" w:rsidR="00F91457" w:rsidRPr="00F91457" w:rsidRDefault="00F91457" w:rsidP="00F914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Puanlama Ağırlıkları 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Subjektif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ÜSTAT'ın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kontratları puanlarken kullandığı ağırlıklar (Teknik Sinyal %35, Hacim %20, vb.) mantıklı görünse </w:t>
      </w:r>
      <w:proofErr w:type="gram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de,</w:t>
      </w:r>
      <w:proofErr w:type="gram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bu ağırlıkların veriye dayalı bir optimizasyon (genetik algoritma,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search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gibi) ile belirlendiğine dair bir kanıt yok. "Kulağa hoş gelen" bu ağırlıklar, gerçek piyasa dinamiklerinde optimal olmayabilir.</w:t>
      </w:r>
    </w:p>
    <w:p w14:paraId="0CDC0547" w14:textId="77777777" w:rsidR="00F91457" w:rsidRPr="00F91457" w:rsidRDefault="00F91457" w:rsidP="00F914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Validasyonda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Monte Carlo Eksikliği: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validasyonu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için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walk-forward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analizi öngörülmüş, ancak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Monte Carlo simülasyonları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(farklı fiyat yolları, rastgele giriş/çıkış,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bootstrap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yöntemleri) yer almıyor. Bu simülasyonlar, özellikle kaldıraçlı VİOP piyasasında, stratejinin "seri korelasyonu" ve "kayıp sürüklenmesi" gibi risklere karşı dayanıklılığını test etmek için olmazsa olmazdır.</w:t>
      </w:r>
    </w:p>
    <w:p w14:paraId="6FC33920" w14:textId="77777777" w:rsidR="00F91457" w:rsidRPr="00F91457" w:rsidRDefault="00F91457" w:rsidP="00F914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Genetik Sürüklenme (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Drift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) Analizi Yetersiz: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Parametre hassasiyet testi öngörülmüş, ancak piyasanın rejim değiştirmesi durumunda (örneğin düşük volatiliteden yüksek volatiliteye geçiş) strateji parametrelerinin nasıl tepki vereceği analiz edilmemiş. Bu,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overfitting'in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en sinsi türlerinden biridir.</w:t>
      </w:r>
    </w:p>
    <w:p w14:paraId="2F7373A4" w14:textId="77777777" w:rsidR="00F91457" w:rsidRPr="00F91457" w:rsidRDefault="00F91457" w:rsidP="00F9145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2. RİSK YÖNETİMİNDEKİ İNCE AYAR EKSİKLERİ</w:t>
      </w:r>
    </w:p>
    <w:p w14:paraId="7B282D85" w14:textId="77777777" w:rsidR="00F91457" w:rsidRPr="00F91457" w:rsidRDefault="00F91457" w:rsidP="00F914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Korelasyon Riski Yönetimi Sığ: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Aynı yönde maksimum 3 pozisyon açılması iyi bir başlangıç, ancak bu sadece "yön" bazlı.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Sektör bazlı korelasyon riski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göz ardı edilmiş. Örneğin, 3 farklı banka hissesinde (AKBNK, HALKB, GARAN)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long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olmak, aslında aynı sektöre bağımlı tek bir büyük pozisyon gibidir. Sektör bazında da limit getirilmesi gerekir.</w:t>
      </w:r>
    </w:p>
    <w:p w14:paraId="4F674A71" w14:textId="77777777" w:rsidR="00F91457" w:rsidRPr="00F91457" w:rsidRDefault="00F91457" w:rsidP="00F914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Endeks Hedge Mekanizması Yok: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Sistem, 5 farklı hissede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long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pozisyon taşırken endeksin (XU030) tersine hareket etmesi durumunda tüm pozisyonların zarar edeceği bir senaryoya karşı korumasız. Bu durumu yönetmek için 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opsiyonel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bir endeks 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mekanizması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(örneğin XU030 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lastRenderedPageBreak/>
        <w:t>vadeli kontratında kısa pozisyon) düşünülebilir. Bu bir zorunluluk değil, ancak profesyonel portföy yönetiminin bir aracıdır.</w:t>
      </w:r>
    </w:p>
    <w:p w14:paraId="489FA618" w14:textId="77777777" w:rsidR="00F91457" w:rsidRPr="00F91457" w:rsidRDefault="00F91457" w:rsidP="00F914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Psikolojik Risk ve Manuel Müdahale: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Sistem insan gözetimi gerektiriyor, ancak insanın panik anında sisteme müdahale etme riski yönetilmemiş.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"Acil durum butonu"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ve tüm manuel müdahalelerin kaydedildiği bir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mekanizması olmaması, insan hatasının analiz edilmesini ve tekrarlanmasını engeller.</w:t>
      </w:r>
    </w:p>
    <w:p w14:paraId="2FB3C6C7" w14:textId="77777777" w:rsidR="00F91457" w:rsidRPr="00F91457" w:rsidRDefault="00F91457" w:rsidP="00F9145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3. OPERASYONEL VE TEKNİK ZAYIFLIKLAR</w:t>
      </w:r>
    </w:p>
    <w:p w14:paraId="1EDD94E4" w14:textId="77777777" w:rsidR="00F91457" w:rsidRPr="00F91457" w:rsidRDefault="00F91457" w:rsidP="00F914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Veritabanı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Ölçeklenebilirlik Riski: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SQLite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başlangıç ve test için idealdir. Ancak yıllar içinde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tick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verisi, bar verisi ve işlem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loglarıyla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birlikte veri hacmi arttığında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ciddi performans sorunları yaşanması kaçınılmazdır.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Bu bir "ölüm anı" riskidir. Zaman serisi verileri için özel olarak tasarlanmış bir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veritabanına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InfluxDB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TimescaleDB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) geçiş planı yapılmalıdır.</w:t>
      </w:r>
    </w:p>
    <w:p w14:paraId="35A5A514" w14:textId="77777777" w:rsidR="00F91457" w:rsidRPr="00F91457" w:rsidRDefault="00F91457" w:rsidP="00F914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Tek Nokta Arızası (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Single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Point of 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Failure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):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Sistem tek bir bilgisayarda çalışıyor. Elektrik kesintisi, internet kopması, donanım arızası gibi durumlarda sistem tamamen devre dışı kalır. Bu, profesyonel bir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operasyonu için kabul edilemez bir risktir.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Bulut tabanlı bir yedek sistem (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failover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)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veya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GCM'nin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VPS hizmeti gibi daha güvenilir bir barındırma çözümü şarttır.</w:t>
      </w:r>
    </w:p>
    <w:p w14:paraId="2EBAB739" w14:textId="77777777" w:rsidR="00F91457" w:rsidRPr="00F91457" w:rsidRDefault="00F91457" w:rsidP="00F9145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</w:pP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 xml:space="preserve"> Süresi Kısa: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 4 haftalık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 xml:space="preserve"> süresi, özellikle düşük işlem hacmi hedefiyle (günde 1-3 işlem) birleştiğinde istatistiksel olarak anlamlı bir veri sağlamak için yetersiz kalabilir. Farklı piyasa koşullarını (yükseliş, düşüş, yatay) görebilmek için </w:t>
      </w:r>
      <w:r w:rsidRPr="00F9145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tr-TR"/>
          <w14:ligatures w14:val="none"/>
        </w:rPr>
        <w:t>minimum 8 hafta</w:t>
      </w:r>
      <w:r w:rsidRPr="00F9145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tr-TR"/>
          <w14:ligatures w14:val="none"/>
        </w:rPr>
        <w:t> daha sağlıklı olacaktır.</w:t>
      </w:r>
    </w:p>
    <w:p w14:paraId="77D11C79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12939"/>
    <w:multiLevelType w:val="multilevel"/>
    <w:tmpl w:val="4E7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436A1"/>
    <w:multiLevelType w:val="multilevel"/>
    <w:tmpl w:val="04B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B6D49"/>
    <w:multiLevelType w:val="multilevel"/>
    <w:tmpl w:val="9526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AA"/>
    <w:rsid w:val="001A321C"/>
    <w:rsid w:val="003D6AAA"/>
    <w:rsid w:val="00F9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A086CC-AA8C-447F-A138-2D2EFA77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2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2026-02-21T14:06:00Z</dcterms:created>
  <dcterms:modified xsi:type="dcterms:W3CDTF">2026-02-21T14:06:00Z</dcterms:modified>
</cp:coreProperties>
</file>