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79CA8" w14:textId="77777777" w:rsidR="00BE704E" w:rsidRPr="00BE704E" w:rsidRDefault="00BE704E" w:rsidP="00BE704E">
      <w:pPr>
        <w:rPr>
          <w:b/>
          <w:bCs/>
        </w:rPr>
      </w:pPr>
      <w:r w:rsidRPr="00BE704E">
        <w:rPr>
          <w:b/>
          <w:bCs/>
        </w:rPr>
        <w:t>. Suç ve Cezaların Kanuniliği İlkesi</w:t>
      </w:r>
    </w:p>
    <w:p w14:paraId="0D31C71B" w14:textId="77777777" w:rsidR="00BE704E" w:rsidRPr="00BE704E" w:rsidRDefault="00BE704E" w:rsidP="00BE704E">
      <w:r w:rsidRPr="00BE704E">
        <w:t>Bu savunmanın omurgasıdır. Geçmişteki yasal ve rutin faaliyetlerin (banka, sendika, okul, gazete) sonradan geriye dönük olarak suç delili yapılmasını hedefler.</w:t>
      </w:r>
    </w:p>
    <w:p w14:paraId="49B003C4" w14:textId="77777777" w:rsidR="00BE704E" w:rsidRPr="00BE704E" w:rsidRDefault="00BE704E" w:rsidP="00BE704E">
      <w:pPr>
        <w:numPr>
          <w:ilvl w:val="0"/>
          <w:numId w:val="1"/>
        </w:numPr>
      </w:pPr>
      <w:r w:rsidRPr="00BE704E">
        <w:rPr>
          <w:b/>
          <w:bCs/>
        </w:rPr>
        <w:t>Dayanak Maddeler:</w:t>
      </w:r>
      <w:r w:rsidRPr="00BE704E">
        <w:t xml:space="preserve"> </w:t>
      </w:r>
      <w:r w:rsidRPr="00BE704E">
        <w:rPr>
          <w:b/>
          <w:bCs/>
        </w:rPr>
        <w:t>Anayasa Madde 38</w:t>
      </w:r>
      <w:r w:rsidRPr="00BE704E">
        <w:t xml:space="preserve"> ve </w:t>
      </w:r>
      <w:r w:rsidRPr="00BE704E">
        <w:rPr>
          <w:b/>
          <w:bCs/>
        </w:rPr>
        <w:t>AİHS Madde 7</w:t>
      </w:r>
      <w:r w:rsidRPr="00BE704E">
        <w:t xml:space="preserve"> (Suç ve cezaların kanuniliği ilkesi / Cezaların geçmişe yürümesi yasağı).</w:t>
      </w:r>
    </w:p>
    <w:p w14:paraId="008D4F72" w14:textId="77777777" w:rsidR="00BE704E" w:rsidRPr="00BE704E" w:rsidRDefault="00BE704E" w:rsidP="00BE704E">
      <w:pPr>
        <w:numPr>
          <w:ilvl w:val="0"/>
          <w:numId w:val="1"/>
        </w:numPr>
      </w:pPr>
      <w:r w:rsidRPr="00BE704E">
        <w:rPr>
          <w:b/>
          <w:bCs/>
        </w:rPr>
        <w:t>Savunma Argümanı:</w:t>
      </w:r>
      <w:r w:rsidRPr="00BE704E">
        <w:t xml:space="preserve"> Fiilin işlendiği iddia edilen tarihte yasal olan, devletin denetimi altında faaliyet gösteren kurumlara para yatırmak, buralarda çalışmak veya sendikaya üye olmak öngörülebilir bir suç oluşturamaz. Mahkemelerin bu yasal faaliyetleri kümülatif olarak toplayıp "örgüt üyeliği" suçunun delili sayması, kanunun öngörülemez bir şekilde sanık aleyhine genişletilmesidir ve geçmişe yürüme yasağının açık ihlalidir.</w:t>
      </w:r>
    </w:p>
    <w:p w14:paraId="482D88B4" w14:textId="77777777" w:rsidR="00BE704E" w:rsidRPr="00BE704E" w:rsidRDefault="00BE704E" w:rsidP="00BE704E">
      <w:pPr>
        <w:rPr>
          <w:b/>
          <w:bCs/>
        </w:rPr>
      </w:pPr>
      <w:r w:rsidRPr="00BE704E">
        <w:rPr>
          <w:b/>
          <w:bCs/>
        </w:rPr>
        <w:t>2. Adil Yargılanma Hakkı (Silahların Eşitliği ve Gerekçeli Karar)</w:t>
      </w:r>
    </w:p>
    <w:p w14:paraId="15E23564" w14:textId="77777777" w:rsidR="00BE704E" w:rsidRPr="00BE704E" w:rsidRDefault="00BE704E" w:rsidP="00BE704E">
      <w:r w:rsidRPr="00BE704E">
        <w:t>ByLock verilerinin hukuka aykırı elde edilmesi, ham verilerin savunmaya verilmemesi ve mahkemelerin ezbere matbu gerekçeler kullanmasına karşı yapılır.</w:t>
      </w:r>
    </w:p>
    <w:p w14:paraId="2226EDA9" w14:textId="77777777" w:rsidR="00BE704E" w:rsidRPr="00BE704E" w:rsidRDefault="00BE704E" w:rsidP="00BE704E">
      <w:pPr>
        <w:numPr>
          <w:ilvl w:val="0"/>
          <w:numId w:val="2"/>
        </w:numPr>
      </w:pPr>
      <w:r w:rsidRPr="00BE704E">
        <w:rPr>
          <w:b/>
          <w:bCs/>
        </w:rPr>
        <w:t>Dayanak Maddeler:</w:t>
      </w:r>
      <w:r w:rsidRPr="00BE704E">
        <w:t xml:space="preserve"> </w:t>
      </w:r>
      <w:r w:rsidRPr="00BE704E">
        <w:rPr>
          <w:b/>
          <w:bCs/>
        </w:rPr>
        <w:t>Anayasa Madde 36</w:t>
      </w:r>
      <w:r w:rsidRPr="00BE704E">
        <w:t xml:space="preserve"> ve </w:t>
      </w:r>
      <w:r w:rsidRPr="00BE704E">
        <w:rPr>
          <w:b/>
          <w:bCs/>
        </w:rPr>
        <w:t>AİHS Madde 6</w:t>
      </w:r>
      <w:r w:rsidRPr="00BE704E">
        <w:t xml:space="preserve"> (Adil yargılanma hakkı).</w:t>
      </w:r>
    </w:p>
    <w:p w14:paraId="4A7825F0" w14:textId="77777777" w:rsidR="00BE704E" w:rsidRPr="00BE704E" w:rsidRDefault="00BE704E" w:rsidP="00BE704E">
      <w:pPr>
        <w:numPr>
          <w:ilvl w:val="0"/>
          <w:numId w:val="2"/>
        </w:numPr>
      </w:pPr>
      <w:r w:rsidRPr="00BE704E">
        <w:rPr>
          <w:b/>
          <w:bCs/>
        </w:rPr>
        <w:t>Savunma Argümanı:</w:t>
      </w:r>
    </w:p>
    <w:p w14:paraId="7E545534" w14:textId="77777777" w:rsidR="00BE704E" w:rsidRPr="00BE704E" w:rsidRDefault="00BE704E" w:rsidP="00BE704E">
      <w:pPr>
        <w:numPr>
          <w:ilvl w:val="1"/>
          <w:numId w:val="2"/>
        </w:numPr>
      </w:pPr>
      <w:r w:rsidRPr="00BE704E">
        <w:rPr>
          <w:b/>
          <w:bCs/>
        </w:rPr>
        <w:t>Silahların Eşitliği ve Çelişmeli Yargılama:</w:t>
      </w:r>
      <w:r w:rsidRPr="00BE704E">
        <w:t xml:space="preserve"> ByLock veri tabanının doğruluğu, bütünlüğü ve hukuka uygunluğu savunma tarafından test edilememiştir. Dijital verilerin ham halleri (imajları) savunma incelemesine sunulmamış, dijital delillere itiraz hakkı fiilen ellerinden alınmıştır.</w:t>
      </w:r>
    </w:p>
    <w:p w14:paraId="0455B71D" w14:textId="77777777" w:rsidR="00BE704E" w:rsidRPr="00BE704E" w:rsidRDefault="00BE704E" w:rsidP="00BE704E">
      <w:pPr>
        <w:numPr>
          <w:ilvl w:val="1"/>
          <w:numId w:val="2"/>
        </w:numPr>
      </w:pPr>
      <w:r w:rsidRPr="00BE704E">
        <w:rPr>
          <w:b/>
          <w:bCs/>
        </w:rPr>
        <w:t>Gerekçeli Karar Hakkı:</w:t>
      </w:r>
      <w:r w:rsidRPr="00BE704E">
        <w:t xml:space="preserve"> Mahkeme, sanığın kastını (örgütün nihai amacını bilip bilmediğini) somut olarak tartışmamış; savunmanın argümanlarını karşılamadan, "Bylock varsa üyesidir" şeklinde otomatik ve şablon bir gerekçeyle karar kurmuştur.</w:t>
      </w:r>
    </w:p>
    <w:p w14:paraId="675E7387" w14:textId="77777777" w:rsidR="00BE704E" w:rsidRPr="00BE704E" w:rsidRDefault="00BE704E" w:rsidP="00BE704E">
      <w:pPr>
        <w:rPr>
          <w:b/>
          <w:bCs/>
        </w:rPr>
      </w:pPr>
      <w:r w:rsidRPr="00BE704E">
        <w:rPr>
          <w:b/>
          <w:bCs/>
        </w:rPr>
        <w:t>3. Özel Hayata ve Haberleşmeye Saygı Hakkı</w:t>
      </w:r>
    </w:p>
    <w:p w14:paraId="2D82F163" w14:textId="77777777" w:rsidR="00BE704E" w:rsidRPr="00BE704E" w:rsidRDefault="00BE704E" w:rsidP="00BE704E">
      <w:r w:rsidRPr="00BE704E">
        <w:t>ByLock kullanımı ve dijital materyal incelemelerindeki usulsüzlüklere karşı öne sürülür.</w:t>
      </w:r>
    </w:p>
    <w:p w14:paraId="137339A9" w14:textId="77777777" w:rsidR="00BE704E" w:rsidRPr="00BE704E" w:rsidRDefault="00BE704E" w:rsidP="00BE704E">
      <w:pPr>
        <w:numPr>
          <w:ilvl w:val="0"/>
          <w:numId w:val="3"/>
        </w:numPr>
      </w:pPr>
      <w:r w:rsidRPr="00BE704E">
        <w:rPr>
          <w:b/>
          <w:bCs/>
        </w:rPr>
        <w:t>Dayanak Maddeler:</w:t>
      </w:r>
      <w:r w:rsidRPr="00BE704E">
        <w:t xml:space="preserve"> </w:t>
      </w:r>
      <w:r w:rsidRPr="00BE704E">
        <w:rPr>
          <w:b/>
          <w:bCs/>
        </w:rPr>
        <w:t>Anayasa Madde 20 ve 22</w:t>
      </w:r>
      <w:r w:rsidRPr="00BE704E">
        <w:t xml:space="preserve"> ve </w:t>
      </w:r>
      <w:r w:rsidRPr="00BE704E">
        <w:rPr>
          <w:b/>
          <w:bCs/>
        </w:rPr>
        <w:t>AİHS Madde 8</w:t>
      </w:r>
      <w:r w:rsidRPr="00BE704E">
        <w:t xml:space="preserve"> (Özel hayata ve aile hayatına saygı hakkı / Haberleşme hürriyeti).</w:t>
      </w:r>
    </w:p>
    <w:p w14:paraId="4677C1F0" w14:textId="77777777" w:rsidR="00BE704E" w:rsidRPr="00BE704E" w:rsidRDefault="00BE704E" w:rsidP="00BE704E">
      <w:pPr>
        <w:numPr>
          <w:ilvl w:val="0"/>
          <w:numId w:val="3"/>
        </w:numPr>
      </w:pPr>
      <w:r w:rsidRPr="00BE704E">
        <w:rPr>
          <w:b/>
          <w:bCs/>
        </w:rPr>
        <w:t>Savunma Argümanı:</w:t>
      </w:r>
      <w:r w:rsidRPr="00BE704E">
        <w:t xml:space="preserve"> İstihbarat amaçlı toplanan veya usulüne uygun hakim kararı olmadan genel tarama yöntemiyle elde edilen dijital verilerin (ByLock sunucu bilgileri vb.) ceza yargılamasında delil olarak kullanılması, haberleşme hürriyetine ve özel hayatın gizliliğine yönelik hukuka aykırı bir müdahaledir.</w:t>
      </w:r>
    </w:p>
    <w:p w14:paraId="7B580134" w14:textId="77777777" w:rsidR="00BE704E" w:rsidRPr="00BE704E" w:rsidRDefault="00BE704E" w:rsidP="00BE704E">
      <w:pPr>
        <w:rPr>
          <w:b/>
          <w:bCs/>
        </w:rPr>
      </w:pPr>
      <w:r w:rsidRPr="00BE704E">
        <w:rPr>
          <w:b/>
          <w:bCs/>
        </w:rPr>
        <w:t>4. Dernek Kurma ve Toplantı Özgürlüğü (Varsa)</w:t>
      </w:r>
    </w:p>
    <w:p w14:paraId="7A33331B" w14:textId="77777777" w:rsidR="00BE704E" w:rsidRPr="00BE704E" w:rsidRDefault="00BE704E" w:rsidP="00BE704E">
      <w:r w:rsidRPr="00BE704E">
        <w:lastRenderedPageBreak/>
        <w:t>Örgüte müzahir olduğu gerekçesiyle kapatılan sendika, dernek üyelikleri veya yasal toplantılara katılım suçlama konusu yapıldıysa eklenmelidir.</w:t>
      </w:r>
    </w:p>
    <w:p w14:paraId="193C7F88" w14:textId="77777777" w:rsidR="00BE704E" w:rsidRPr="00BE704E" w:rsidRDefault="00BE704E" w:rsidP="00BE704E">
      <w:pPr>
        <w:numPr>
          <w:ilvl w:val="0"/>
          <w:numId w:val="4"/>
        </w:numPr>
      </w:pPr>
      <w:r w:rsidRPr="00BE704E">
        <w:rPr>
          <w:b/>
          <w:bCs/>
        </w:rPr>
        <w:t>Dayanak Maddeler:</w:t>
      </w:r>
      <w:r w:rsidRPr="00BE704E">
        <w:t xml:space="preserve"> </w:t>
      </w:r>
      <w:r w:rsidRPr="00BE704E">
        <w:rPr>
          <w:b/>
          <w:bCs/>
        </w:rPr>
        <w:t>Anayasa Madde 33 ve 34</w:t>
      </w:r>
      <w:r w:rsidRPr="00BE704E">
        <w:t xml:space="preserve"> ve </w:t>
      </w:r>
      <w:r w:rsidRPr="00BE704E">
        <w:rPr>
          <w:b/>
          <w:bCs/>
        </w:rPr>
        <w:t>AİHS Madde 11</w:t>
      </w:r>
      <w:r w:rsidRPr="00BE704E">
        <w:t xml:space="preserve"> (Toplantı ve dernek kurma özgürlüğü).</w:t>
      </w:r>
    </w:p>
    <w:p w14:paraId="40F54D76" w14:textId="77777777" w:rsidR="00BE704E" w:rsidRPr="00BE704E" w:rsidRDefault="00BE704E" w:rsidP="00BE704E">
      <w:pPr>
        <w:numPr>
          <w:ilvl w:val="0"/>
          <w:numId w:val="4"/>
        </w:numPr>
      </w:pPr>
      <w:r w:rsidRPr="00BE704E">
        <w:rPr>
          <w:b/>
          <w:bCs/>
        </w:rPr>
        <w:t>Savunma Argümanı:</w:t>
      </w:r>
      <w:r w:rsidRPr="00BE704E">
        <w:t xml:space="preserve"> O dönem yasal olarak faaliyet gösteren bir sendikaya, derneğe üye olmak veya barışçıl bir toplantıya katılmak anayasal bir hakkın kullanımıdır. Bu hakkın kullanımı, terör örgütü üyeliği kastına delil olarak gösterilemez.</w:t>
      </w:r>
    </w:p>
    <w:p w14:paraId="1DA98588" w14:textId="77777777" w:rsidR="00BE704E" w:rsidRPr="00BE704E" w:rsidRDefault="00BE704E" w:rsidP="00BE704E">
      <w:pPr>
        <w:rPr>
          <w:b/>
          <w:bCs/>
        </w:rPr>
      </w:pPr>
      <w:r w:rsidRPr="00BE704E">
        <w:rPr>
          <w:b/>
          <w:bCs/>
        </w:rPr>
        <w:t xml:space="preserve">AYM Başvurusunda "Sihirli" Vurgu: </w:t>
      </w:r>
      <w:r w:rsidRPr="00BE704E">
        <w:rPr>
          <w:b/>
          <w:bCs/>
          <w:i/>
          <w:iCs/>
        </w:rPr>
        <w:t>Özel Kastın Yokluğu</w:t>
      </w:r>
    </w:p>
    <w:p w14:paraId="0B7467D5" w14:textId="77777777" w:rsidR="00BE704E" w:rsidRPr="00BE704E" w:rsidRDefault="00BE704E" w:rsidP="00BE704E">
      <w:r w:rsidRPr="00BE704E">
        <w:t xml:space="preserve">AYM formunu doldururken tüm bu maddeleri yazdıktan sonra dilekçenin merkezine şu </w:t>
      </w:r>
      <w:r w:rsidRPr="00BE704E">
        <w:rPr>
          <w:b/>
          <w:bCs/>
        </w:rPr>
        <w:t>AİHM vurgusunu</w:t>
      </w:r>
      <w:r w:rsidRPr="00BE704E">
        <w:t xml:space="preserve"> koyman gerekir:</w:t>
      </w:r>
    </w:p>
    <w:p w14:paraId="0BC01D6A" w14:textId="77777777" w:rsidR="00BE704E" w:rsidRPr="00BE704E" w:rsidRDefault="00BE704E" w:rsidP="00BE704E">
      <w:r w:rsidRPr="00BE704E">
        <w:rPr>
          <w:i/>
          <w:iCs/>
        </w:rPr>
        <w:t xml:space="preserve">"AİHM'in Yalçınkaya, Demirhan ve Yasak kararlarında açıkça belirttiği üzere; TCK m. 314/2 anlamında silahlı terör örgütü üyeliği suçu ancak </w:t>
      </w:r>
      <w:r w:rsidRPr="00BE704E">
        <w:rPr>
          <w:b/>
          <w:bCs/>
          <w:i/>
          <w:iCs/>
        </w:rPr>
        <w:t>özel kast</w:t>
      </w:r>
      <w:r w:rsidRPr="00BE704E">
        <w:rPr>
          <w:i/>
          <w:iCs/>
        </w:rPr>
        <w:t xml:space="preserve"> ile işlenebilir. Mahkeme, başvurucunun örgütün nihai amacını (şiddet, darbe vb.) bilerek ve isteyerek hiyerarşiye dahil olduğunu </w:t>
      </w:r>
      <w:r w:rsidRPr="00BE704E">
        <w:rPr>
          <w:b/>
          <w:bCs/>
          <w:i/>
          <w:iCs/>
        </w:rPr>
        <w:t>somut ve şüpheye yer bırakmayacak şekilde</w:t>
      </w:r>
      <w:r w:rsidRPr="00BE704E">
        <w:rPr>
          <w:i/>
          <w:iCs/>
        </w:rPr>
        <w:t xml:space="preserve"> ispatlamak zorundadır. Sadece ByLock sinyali veya Bank Asya hesap hareketi gibi unsurlara dayanarak kastın varlığını 'otomatik olarak varsaymak', Anayasa m. 38 ve AİHS m. 7'nin açık ihlalidir."</w:t>
      </w:r>
    </w:p>
    <w:p w14:paraId="067139B0" w14:textId="77777777" w:rsidR="00A96AF5" w:rsidRDefault="00A96AF5"/>
    <w:sectPr w:rsidR="00A96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D409F"/>
    <w:multiLevelType w:val="multilevel"/>
    <w:tmpl w:val="93E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33934"/>
    <w:multiLevelType w:val="multilevel"/>
    <w:tmpl w:val="6E6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51E05"/>
    <w:multiLevelType w:val="multilevel"/>
    <w:tmpl w:val="CE58B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86F4C"/>
    <w:multiLevelType w:val="multilevel"/>
    <w:tmpl w:val="E96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06559">
    <w:abstractNumId w:val="3"/>
  </w:num>
  <w:num w:numId="2" w16cid:durableId="2085257119">
    <w:abstractNumId w:val="2"/>
  </w:num>
  <w:num w:numId="3" w16cid:durableId="513346822">
    <w:abstractNumId w:val="1"/>
  </w:num>
  <w:num w:numId="4" w16cid:durableId="176248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F5"/>
    <w:rsid w:val="00A96AF5"/>
    <w:rsid w:val="00B46F94"/>
    <w:rsid w:val="00BE7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6BF5D-0ED0-4113-ACB3-195B2509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AF5"/>
    <w:rPr>
      <w:rFonts w:eastAsiaTheme="majorEastAsia" w:cstheme="majorBidi"/>
      <w:color w:val="272727" w:themeColor="text1" w:themeTint="D8"/>
    </w:rPr>
  </w:style>
  <w:style w:type="paragraph" w:styleId="Title">
    <w:name w:val="Title"/>
    <w:basedOn w:val="Normal"/>
    <w:next w:val="Normal"/>
    <w:link w:val="TitleChar"/>
    <w:uiPriority w:val="10"/>
    <w:qFormat/>
    <w:rsid w:val="00A96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AF5"/>
    <w:pPr>
      <w:spacing w:before="160"/>
      <w:jc w:val="center"/>
    </w:pPr>
    <w:rPr>
      <w:i/>
      <w:iCs/>
      <w:color w:val="404040" w:themeColor="text1" w:themeTint="BF"/>
    </w:rPr>
  </w:style>
  <w:style w:type="character" w:customStyle="1" w:styleId="QuoteChar">
    <w:name w:val="Quote Char"/>
    <w:basedOn w:val="DefaultParagraphFont"/>
    <w:link w:val="Quote"/>
    <w:uiPriority w:val="29"/>
    <w:rsid w:val="00A96AF5"/>
    <w:rPr>
      <w:i/>
      <w:iCs/>
      <w:color w:val="404040" w:themeColor="text1" w:themeTint="BF"/>
    </w:rPr>
  </w:style>
  <w:style w:type="paragraph" w:styleId="ListParagraph">
    <w:name w:val="List Paragraph"/>
    <w:basedOn w:val="Normal"/>
    <w:uiPriority w:val="34"/>
    <w:qFormat/>
    <w:rsid w:val="00A96AF5"/>
    <w:pPr>
      <w:ind w:left="720"/>
      <w:contextualSpacing/>
    </w:pPr>
  </w:style>
  <w:style w:type="character" w:styleId="IntenseEmphasis">
    <w:name w:val="Intense Emphasis"/>
    <w:basedOn w:val="DefaultParagraphFont"/>
    <w:uiPriority w:val="21"/>
    <w:qFormat/>
    <w:rsid w:val="00A96AF5"/>
    <w:rPr>
      <w:i/>
      <w:iCs/>
      <w:color w:val="0F4761" w:themeColor="accent1" w:themeShade="BF"/>
    </w:rPr>
  </w:style>
  <w:style w:type="paragraph" w:styleId="IntenseQuote">
    <w:name w:val="Intense Quote"/>
    <w:basedOn w:val="Normal"/>
    <w:next w:val="Normal"/>
    <w:link w:val="IntenseQuoteChar"/>
    <w:uiPriority w:val="30"/>
    <w:qFormat/>
    <w:rsid w:val="00A96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AF5"/>
    <w:rPr>
      <w:i/>
      <w:iCs/>
      <w:color w:val="0F4761" w:themeColor="accent1" w:themeShade="BF"/>
    </w:rPr>
  </w:style>
  <w:style w:type="character" w:styleId="IntenseReference">
    <w:name w:val="Intense Reference"/>
    <w:basedOn w:val="DefaultParagraphFont"/>
    <w:uiPriority w:val="32"/>
    <w:qFormat/>
    <w:rsid w:val="00A96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6242">
      <w:bodyDiv w:val="1"/>
      <w:marLeft w:val="0"/>
      <w:marRight w:val="0"/>
      <w:marTop w:val="0"/>
      <w:marBottom w:val="0"/>
      <w:divBdr>
        <w:top w:val="none" w:sz="0" w:space="0" w:color="auto"/>
        <w:left w:val="none" w:sz="0" w:space="0" w:color="auto"/>
        <w:bottom w:val="none" w:sz="0" w:space="0" w:color="auto"/>
        <w:right w:val="none" w:sz="0" w:space="0" w:color="auto"/>
      </w:divBdr>
      <w:divsChild>
        <w:div w:id="510024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10075">
      <w:bodyDiv w:val="1"/>
      <w:marLeft w:val="0"/>
      <w:marRight w:val="0"/>
      <w:marTop w:val="0"/>
      <w:marBottom w:val="0"/>
      <w:divBdr>
        <w:top w:val="none" w:sz="0" w:space="0" w:color="auto"/>
        <w:left w:val="none" w:sz="0" w:space="0" w:color="auto"/>
        <w:bottom w:val="none" w:sz="0" w:space="0" w:color="auto"/>
        <w:right w:val="none" w:sz="0" w:space="0" w:color="auto"/>
      </w:divBdr>
      <w:divsChild>
        <w:div w:id="105345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Taş</dc:creator>
  <cp:keywords/>
  <dc:description/>
  <cp:lastModifiedBy>Turan Taş</cp:lastModifiedBy>
  <cp:revision>2</cp:revision>
  <dcterms:created xsi:type="dcterms:W3CDTF">2026-06-27T19:51:00Z</dcterms:created>
  <dcterms:modified xsi:type="dcterms:W3CDTF">2026-06-27T19:52:00Z</dcterms:modified>
</cp:coreProperties>
</file>