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A356E" w14:textId="77777777" w:rsidR="00644A0E" w:rsidRPr="00471A08" w:rsidRDefault="00644A0E" w:rsidP="008432E8">
      <w:pPr>
        <w:pStyle w:val="NormalWeb"/>
        <w:shd w:val="clear" w:color="auto" w:fill="FFFFFF"/>
        <w:spacing w:before="180" w:beforeAutospacing="0" w:after="180" w:afterAutospacing="0" w:line="360" w:lineRule="auto"/>
        <w:contextualSpacing/>
        <w:jc w:val="both"/>
        <w:rPr>
          <w:rStyle w:val="Strong"/>
          <w:color w:val="000000" w:themeColor="text1"/>
          <w:sz w:val="32"/>
          <w:szCs w:val="32"/>
        </w:rPr>
      </w:pPr>
      <w:bookmarkStart w:id="0" w:name="_Hlk121490781"/>
      <w:bookmarkEnd w:id="0"/>
      <w:r w:rsidRPr="00471A08">
        <w:rPr>
          <w:rStyle w:val="Strong"/>
          <w:color w:val="000000" w:themeColor="text1"/>
          <w:sz w:val="32"/>
          <w:szCs w:val="32"/>
        </w:rPr>
        <w:t xml:space="preserve">2022F MFIN1756 FP&amp;A with Excel. </w:t>
      </w:r>
    </w:p>
    <w:p w14:paraId="3CD85860" w14:textId="4FC75D22" w:rsidR="00644A0E" w:rsidRPr="00471A08" w:rsidRDefault="00644A0E" w:rsidP="008432E8">
      <w:pPr>
        <w:pStyle w:val="NormalWeb"/>
        <w:shd w:val="clear" w:color="auto" w:fill="FFFFFF"/>
        <w:spacing w:before="180" w:beforeAutospacing="0" w:after="180" w:afterAutospacing="0" w:line="360" w:lineRule="auto"/>
        <w:contextualSpacing/>
        <w:jc w:val="both"/>
        <w:rPr>
          <w:rStyle w:val="Strong"/>
          <w:color w:val="000000" w:themeColor="text1"/>
          <w:sz w:val="32"/>
          <w:szCs w:val="32"/>
        </w:rPr>
      </w:pPr>
      <w:r w:rsidRPr="00471A08">
        <w:rPr>
          <w:rStyle w:val="Strong"/>
          <w:color w:val="000000" w:themeColor="text1"/>
          <w:sz w:val="32"/>
          <w:szCs w:val="32"/>
        </w:rPr>
        <w:t>Final Project Assignment</w:t>
      </w:r>
      <w:r w:rsidR="00471A08">
        <w:rPr>
          <w:rStyle w:val="Strong"/>
          <w:color w:val="000000" w:themeColor="text1"/>
          <w:sz w:val="32"/>
          <w:szCs w:val="32"/>
        </w:rPr>
        <w:t xml:space="preserve">: </w:t>
      </w:r>
      <w:r w:rsidRPr="00471A08">
        <w:rPr>
          <w:rStyle w:val="Strong"/>
          <w:color w:val="000000" w:themeColor="text1"/>
          <w:sz w:val="32"/>
          <w:szCs w:val="32"/>
        </w:rPr>
        <w:t>Forecasted Financial Statements and Analysis Report.</w:t>
      </w:r>
    </w:p>
    <w:p w14:paraId="52C340B4" w14:textId="77777777" w:rsidR="00644A0E" w:rsidRPr="00471A08" w:rsidRDefault="00644A0E" w:rsidP="008432E8">
      <w:pPr>
        <w:pStyle w:val="NormalWeb"/>
        <w:shd w:val="clear" w:color="auto" w:fill="FFFFFF"/>
        <w:spacing w:before="180" w:beforeAutospacing="0" w:after="180" w:afterAutospacing="0" w:line="360" w:lineRule="auto"/>
        <w:contextualSpacing/>
        <w:jc w:val="both"/>
        <w:rPr>
          <w:rStyle w:val="Strong"/>
          <w:color w:val="000000" w:themeColor="text1"/>
          <w:sz w:val="32"/>
          <w:szCs w:val="32"/>
        </w:rPr>
      </w:pPr>
    </w:p>
    <w:p w14:paraId="27960D76" w14:textId="77777777" w:rsidR="00644A0E" w:rsidRPr="00471A08" w:rsidRDefault="00644A0E" w:rsidP="008432E8">
      <w:pPr>
        <w:pStyle w:val="NormalWeb"/>
        <w:shd w:val="clear" w:color="auto" w:fill="FFFFFF"/>
        <w:spacing w:before="180" w:beforeAutospacing="0" w:after="180" w:afterAutospacing="0" w:line="360" w:lineRule="auto"/>
        <w:contextualSpacing/>
        <w:jc w:val="both"/>
        <w:rPr>
          <w:rStyle w:val="Strong"/>
          <w:color w:val="000000" w:themeColor="text1"/>
          <w:sz w:val="32"/>
          <w:szCs w:val="32"/>
        </w:rPr>
      </w:pPr>
      <w:r w:rsidRPr="00471A08">
        <w:rPr>
          <w:rStyle w:val="Strong"/>
          <w:color w:val="000000" w:themeColor="text1"/>
          <w:sz w:val="32"/>
          <w:szCs w:val="32"/>
        </w:rPr>
        <w:t>Company Name: Merck &amp; Co., Inc.</w:t>
      </w:r>
    </w:p>
    <w:p w14:paraId="428F3A10" w14:textId="6D7AFA04" w:rsidR="00644A0E" w:rsidRPr="00471A08" w:rsidRDefault="00644A0E" w:rsidP="008432E8">
      <w:pPr>
        <w:pStyle w:val="NormalWeb"/>
        <w:shd w:val="clear" w:color="auto" w:fill="FFFFFF"/>
        <w:spacing w:before="180" w:beforeAutospacing="0" w:after="180" w:afterAutospacing="0" w:line="360" w:lineRule="auto"/>
        <w:contextualSpacing/>
        <w:jc w:val="both"/>
        <w:rPr>
          <w:rStyle w:val="Strong"/>
          <w:color w:val="000000" w:themeColor="text1"/>
          <w:sz w:val="32"/>
          <w:szCs w:val="32"/>
        </w:rPr>
      </w:pPr>
      <w:r w:rsidRPr="00471A08">
        <w:rPr>
          <w:rStyle w:val="Strong"/>
          <w:color w:val="000000" w:themeColor="text1"/>
          <w:sz w:val="32"/>
          <w:szCs w:val="32"/>
        </w:rPr>
        <w:t>Student Name: Tura Ventola Franch</w:t>
      </w:r>
    </w:p>
    <w:p w14:paraId="7AE471C7" w14:textId="77777777" w:rsidR="00644A0E" w:rsidRPr="00644A0E" w:rsidRDefault="00644A0E" w:rsidP="008432E8">
      <w:pPr>
        <w:pStyle w:val="NormalWeb"/>
        <w:shd w:val="clear" w:color="auto" w:fill="FFFFFF"/>
        <w:spacing w:before="180" w:beforeAutospacing="0" w:after="180" w:afterAutospacing="0" w:line="360" w:lineRule="auto"/>
        <w:contextualSpacing/>
        <w:jc w:val="both"/>
        <w:rPr>
          <w:rStyle w:val="Strong"/>
          <w:color w:val="000000" w:themeColor="text1"/>
          <w:sz w:val="32"/>
          <w:szCs w:val="32"/>
        </w:rPr>
      </w:pPr>
    </w:p>
    <w:p w14:paraId="0BB35B9F" w14:textId="1086CCE4" w:rsidR="00644A0E" w:rsidRPr="00471A08" w:rsidRDefault="00644A0E" w:rsidP="008432E8">
      <w:pPr>
        <w:pStyle w:val="NormalWeb"/>
        <w:shd w:val="clear" w:color="auto" w:fill="FFFFFF"/>
        <w:spacing w:before="180" w:beforeAutospacing="0" w:after="180" w:afterAutospacing="0" w:line="360" w:lineRule="auto"/>
        <w:contextualSpacing/>
        <w:jc w:val="both"/>
        <w:rPr>
          <w:b/>
          <w:bCs/>
          <w:color w:val="000000" w:themeColor="text1"/>
          <w:sz w:val="32"/>
          <w:szCs w:val="32"/>
          <w:u w:val="single"/>
        </w:rPr>
      </w:pPr>
      <w:r w:rsidRPr="00471A08">
        <w:rPr>
          <w:rStyle w:val="Strong"/>
          <w:b w:val="0"/>
          <w:bCs w:val="0"/>
          <w:color w:val="000000" w:themeColor="text1"/>
          <w:sz w:val="32"/>
          <w:szCs w:val="32"/>
          <w:u w:val="single"/>
        </w:rPr>
        <w:t>INDEX</w:t>
      </w:r>
    </w:p>
    <w:p w14:paraId="7589CCDA" w14:textId="5325E8A6" w:rsidR="00644A0E" w:rsidRPr="00644A0E" w:rsidRDefault="00644A0E" w:rsidP="008432E8">
      <w:pPr>
        <w:pStyle w:val="ListParagraph"/>
        <w:numPr>
          <w:ilvl w:val="0"/>
          <w:numId w:val="1"/>
        </w:numPr>
        <w:shd w:val="clear" w:color="auto" w:fill="FFFFFF"/>
        <w:spacing w:before="180" w:after="180" w:line="360" w:lineRule="auto"/>
        <w:jc w:val="both"/>
        <w:rPr>
          <w:color w:val="2D3B45"/>
          <w:shd w:val="clear" w:color="auto" w:fill="FFFFFF"/>
        </w:rPr>
      </w:pPr>
      <w:r w:rsidRPr="00644A0E">
        <w:rPr>
          <w:rStyle w:val="Strong"/>
          <w:b w:val="0"/>
          <w:bCs w:val="0"/>
          <w:color w:val="2D3B45"/>
          <w:shd w:val="clear" w:color="auto" w:fill="FFFFFF"/>
        </w:rPr>
        <w:t>Company Analysis</w:t>
      </w:r>
    </w:p>
    <w:p w14:paraId="60B3F9D2" w14:textId="070E9A3C" w:rsidR="00644A0E" w:rsidRPr="00644A0E" w:rsidRDefault="00644A0E" w:rsidP="008432E8">
      <w:pPr>
        <w:pStyle w:val="ListParagraph"/>
        <w:numPr>
          <w:ilvl w:val="1"/>
          <w:numId w:val="1"/>
        </w:numPr>
        <w:shd w:val="clear" w:color="auto" w:fill="FFFFFF"/>
        <w:spacing w:before="180" w:after="180" w:line="360" w:lineRule="auto"/>
        <w:jc w:val="both"/>
        <w:rPr>
          <w:color w:val="000000" w:themeColor="text1"/>
        </w:rPr>
      </w:pPr>
      <w:r w:rsidRPr="00644A0E">
        <w:rPr>
          <w:color w:val="2D3B45"/>
          <w:shd w:val="clear" w:color="auto" w:fill="FFFFFF"/>
        </w:rPr>
        <w:t>Intro: Business Description &amp; Industry Market Analysis</w:t>
      </w:r>
    </w:p>
    <w:p w14:paraId="7D558B55" w14:textId="3FC41EB2" w:rsidR="00644A0E" w:rsidRPr="00471A08" w:rsidRDefault="00644A0E" w:rsidP="008432E8">
      <w:pPr>
        <w:pStyle w:val="ListParagraph"/>
        <w:numPr>
          <w:ilvl w:val="1"/>
          <w:numId w:val="1"/>
        </w:numPr>
        <w:shd w:val="clear" w:color="auto" w:fill="FFFFFF"/>
        <w:spacing w:before="180" w:after="180" w:line="360" w:lineRule="auto"/>
        <w:jc w:val="both"/>
        <w:rPr>
          <w:color w:val="000000" w:themeColor="text1"/>
        </w:rPr>
      </w:pPr>
      <w:r w:rsidRPr="00644A0E">
        <w:rPr>
          <w:color w:val="2D3B45"/>
          <w:shd w:val="clear" w:color="auto" w:fill="FFFFFF"/>
        </w:rPr>
        <w:t>Summar</w:t>
      </w:r>
      <w:r>
        <w:rPr>
          <w:color w:val="2D3B45"/>
          <w:shd w:val="clear" w:color="auto" w:fill="FFFFFF"/>
        </w:rPr>
        <w:t>y</w:t>
      </w:r>
      <w:r w:rsidRPr="00644A0E">
        <w:rPr>
          <w:color w:val="2D3B45"/>
          <w:shd w:val="clear" w:color="auto" w:fill="FFFFFF"/>
        </w:rPr>
        <w:t xml:space="preserve"> Management’s Discussion and Analysis </w:t>
      </w:r>
    </w:p>
    <w:p w14:paraId="559DC5E3" w14:textId="48A46134" w:rsidR="00644A0E" w:rsidRPr="00644A0E" w:rsidRDefault="00644A0E" w:rsidP="008432E8">
      <w:pPr>
        <w:pStyle w:val="ListParagraph"/>
        <w:numPr>
          <w:ilvl w:val="0"/>
          <w:numId w:val="1"/>
        </w:numPr>
        <w:shd w:val="clear" w:color="auto" w:fill="FFFFFF"/>
        <w:spacing w:before="180" w:after="180" w:line="360" w:lineRule="auto"/>
        <w:jc w:val="both"/>
        <w:rPr>
          <w:color w:val="2D3B45"/>
          <w:shd w:val="clear" w:color="auto" w:fill="FFFFFF"/>
        </w:rPr>
      </w:pPr>
      <w:r w:rsidRPr="00644A0E">
        <w:rPr>
          <w:color w:val="000000" w:themeColor="text1"/>
        </w:rPr>
        <w:t xml:space="preserve">List of explanations of all the input variables with assumptions, interpretations, and calculations on the forecasted financial statements. </w:t>
      </w:r>
    </w:p>
    <w:p w14:paraId="25CC0BB8" w14:textId="22495F9C" w:rsidR="00644A0E" w:rsidRPr="00644A0E" w:rsidRDefault="00644A0E" w:rsidP="008432E8">
      <w:pPr>
        <w:pStyle w:val="ListParagraph"/>
        <w:numPr>
          <w:ilvl w:val="1"/>
          <w:numId w:val="1"/>
        </w:numPr>
        <w:shd w:val="clear" w:color="auto" w:fill="FFFFFF"/>
        <w:spacing w:before="180" w:after="180" w:line="360" w:lineRule="auto"/>
        <w:jc w:val="both"/>
        <w:rPr>
          <w:color w:val="000000" w:themeColor="text1"/>
        </w:rPr>
      </w:pPr>
      <w:r w:rsidRPr="00644A0E">
        <w:rPr>
          <w:color w:val="000000" w:themeColor="text1"/>
        </w:rPr>
        <w:t>Forecasted Income Statement</w:t>
      </w:r>
    </w:p>
    <w:p w14:paraId="650DC73D" w14:textId="2104D3C2" w:rsidR="00644A0E" w:rsidRPr="00644A0E" w:rsidRDefault="00644A0E" w:rsidP="008432E8">
      <w:pPr>
        <w:pStyle w:val="ListParagraph"/>
        <w:numPr>
          <w:ilvl w:val="1"/>
          <w:numId w:val="1"/>
        </w:numPr>
        <w:shd w:val="clear" w:color="auto" w:fill="FFFFFF"/>
        <w:spacing w:before="180" w:after="180" w:line="360" w:lineRule="auto"/>
        <w:jc w:val="both"/>
        <w:rPr>
          <w:color w:val="000000" w:themeColor="text1"/>
        </w:rPr>
      </w:pPr>
      <w:r w:rsidRPr="00644A0E">
        <w:rPr>
          <w:color w:val="000000" w:themeColor="text1"/>
        </w:rPr>
        <w:t>Forecasted Balance Sheet</w:t>
      </w:r>
    </w:p>
    <w:p w14:paraId="61A6815B" w14:textId="6D34C5E4" w:rsidR="00644A0E" w:rsidRPr="00471A08" w:rsidRDefault="00644A0E" w:rsidP="008432E8">
      <w:pPr>
        <w:pStyle w:val="ListParagraph"/>
        <w:numPr>
          <w:ilvl w:val="1"/>
          <w:numId w:val="1"/>
        </w:numPr>
        <w:shd w:val="clear" w:color="auto" w:fill="FFFFFF"/>
        <w:spacing w:before="180" w:after="180" w:line="360" w:lineRule="auto"/>
        <w:jc w:val="both"/>
        <w:rPr>
          <w:color w:val="000000" w:themeColor="text1"/>
        </w:rPr>
      </w:pPr>
      <w:r w:rsidRPr="00644A0E">
        <w:rPr>
          <w:color w:val="000000" w:themeColor="text1"/>
        </w:rPr>
        <w:t>Forecasted Statement of Cash Flows</w:t>
      </w:r>
    </w:p>
    <w:p w14:paraId="0EEBF0AA" w14:textId="04BA2CAF" w:rsidR="00644A0E" w:rsidRPr="00644A0E" w:rsidRDefault="00644A0E" w:rsidP="008432E8">
      <w:pPr>
        <w:pStyle w:val="ListParagraph"/>
        <w:numPr>
          <w:ilvl w:val="0"/>
          <w:numId w:val="1"/>
        </w:numPr>
        <w:shd w:val="clear" w:color="auto" w:fill="FFFFFF"/>
        <w:spacing w:before="180" w:after="180" w:line="360" w:lineRule="auto"/>
        <w:jc w:val="both"/>
        <w:rPr>
          <w:color w:val="000000" w:themeColor="text1"/>
        </w:rPr>
      </w:pPr>
      <w:r w:rsidRPr="00644A0E">
        <w:rPr>
          <w:color w:val="000000" w:themeColor="text1"/>
          <w:shd w:val="clear" w:color="auto" w:fill="FFFFFF"/>
        </w:rPr>
        <w:t>Comparative Analysis with financial ratios</w:t>
      </w:r>
      <w:r w:rsidRPr="00644A0E">
        <w:rPr>
          <w:color w:val="000000" w:themeColor="text1"/>
        </w:rPr>
        <w:t xml:space="preserve"> </w:t>
      </w:r>
    </w:p>
    <w:p w14:paraId="1DBDE558" w14:textId="6D9E49DF" w:rsidR="00644A0E" w:rsidRPr="00644A0E" w:rsidRDefault="00644A0E" w:rsidP="008432E8">
      <w:pPr>
        <w:pStyle w:val="ListParagraph"/>
        <w:numPr>
          <w:ilvl w:val="1"/>
          <w:numId w:val="1"/>
        </w:numPr>
        <w:shd w:val="clear" w:color="auto" w:fill="FFFFFF"/>
        <w:spacing w:before="180" w:after="180" w:line="360" w:lineRule="auto"/>
        <w:jc w:val="both"/>
        <w:rPr>
          <w:color w:val="000000" w:themeColor="text1"/>
        </w:rPr>
      </w:pPr>
      <w:r w:rsidRPr="00644A0E">
        <w:rPr>
          <w:color w:val="000000" w:themeColor="text1"/>
        </w:rPr>
        <w:t xml:space="preserve">Liquidity (Safety) </w:t>
      </w:r>
    </w:p>
    <w:p w14:paraId="6B14A966" w14:textId="54E2FB72" w:rsidR="00644A0E" w:rsidRPr="00644A0E" w:rsidRDefault="00644A0E" w:rsidP="008432E8">
      <w:pPr>
        <w:pStyle w:val="ListParagraph"/>
        <w:numPr>
          <w:ilvl w:val="1"/>
          <w:numId w:val="1"/>
        </w:numPr>
        <w:shd w:val="clear" w:color="auto" w:fill="FFFFFF"/>
        <w:spacing w:before="180" w:after="180" w:line="360" w:lineRule="auto"/>
        <w:jc w:val="both"/>
        <w:rPr>
          <w:color w:val="000000" w:themeColor="text1"/>
          <w:shd w:val="clear" w:color="auto" w:fill="FFFFFF"/>
        </w:rPr>
      </w:pPr>
      <w:r w:rsidRPr="00644A0E">
        <w:rPr>
          <w:color w:val="000000" w:themeColor="text1"/>
          <w:shd w:val="clear" w:color="auto" w:fill="FFFFFF"/>
        </w:rPr>
        <w:t>Productivity (Efficiency)</w:t>
      </w:r>
    </w:p>
    <w:p w14:paraId="6182AC85" w14:textId="1B3E0490" w:rsidR="00644A0E" w:rsidRPr="00644A0E" w:rsidRDefault="00644A0E" w:rsidP="008432E8">
      <w:pPr>
        <w:pStyle w:val="ListParagraph"/>
        <w:numPr>
          <w:ilvl w:val="1"/>
          <w:numId w:val="1"/>
        </w:numPr>
        <w:shd w:val="clear" w:color="auto" w:fill="FFFFFF"/>
        <w:spacing w:before="180" w:after="180" w:line="360" w:lineRule="auto"/>
        <w:jc w:val="both"/>
        <w:rPr>
          <w:color w:val="000000" w:themeColor="text1"/>
          <w:shd w:val="clear" w:color="auto" w:fill="FFFFFF"/>
        </w:rPr>
      </w:pPr>
      <w:r w:rsidRPr="00644A0E">
        <w:rPr>
          <w:color w:val="000000" w:themeColor="text1"/>
          <w:shd w:val="clear" w:color="auto" w:fill="FFFFFF"/>
        </w:rPr>
        <w:t xml:space="preserve">Profitability (Performance) </w:t>
      </w:r>
    </w:p>
    <w:p w14:paraId="6ACE57FC" w14:textId="1F10DAA2" w:rsidR="00644A0E" w:rsidRPr="00644A0E" w:rsidRDefault="00644A0E" w:rsidP="008432E8">
      <w:pPr>
        <w:pStyle w:val="ListParagraph"/>
        <w:numPr>
          <w:ilvl w:val="1"/>
          <w:numId w:val="1"/>
        </w:numPr>
        <w:shd w:val="clear" w:color="auto" w:fill="FFFFFF"/>
        <w:spacing w:before="180" w:after="180" w:line="360" w:lineRule="auto"/>
        <w:jc w:val="both"/>
        <w:rPr>
          <w:color w:val="000000" w:themeColor="text1"/>
          <w:shd w:val="clear" w:color="auto" w:fill="FFFFFF"/>
        </w:rPr>
      </w:pPr>
      <w:r w:rsidRPr="00644A0E">
        <w:rPr>
          <w:color w:val="000000" w:themeColor="text1"/>
          <w:shd w:val="clear" w:color="auto" w:fill="FFFFFF"/>
        </w:rPr>
        <w:t xml:space="preserve">Insolvency (Leverage) </w:t>
      </w:r>
    </w:p>
    <w:p w14:paraId="2C9C0C47" w14:textId="3FFDB2C7" w:rsidR="00644A0E" w:rsidRPr="00644A0E" w:rsidRDefault="00644A0E" w:rsidP="008432E8">
      <w:pPr>
        <w:pStyle w:val="ListParagraph"/>
        <w:numPr>
          <w:ilvl w:val="1"/>
          <w:numId w:val="1"/>
        </w:numPr>
        <w:shd w:val="clear" w:color="auto" w:fill="FFFFFF"/>
        <w:spacing w:before="180" w:after="180" w:line="360" w:lineRule="auto"/>
        <w:jc w:val="both"/>
        <w:rPr>
          <w:color w:val="000000" w:themeColor="text1"/>
          <w:shd w:val="clear" w:color="auto" w:fill="FFFFFF"/>
        </w:rPr>
      </w:pPr>
      <w:r w:rsidRPr="00644A0E">
        <w:rPr>
          <w:color w:val="000000" w:themeColor="text1"/>
          <w:shd w:val="clear" w:color="auto" w:fill="FFFFFF"/>
        </w:rPr>
        <w:t xml:space="preserve">Dupont ratio analysis </w:t>
      </w:r>
    </w:p>
    <w:p w14:paraId="31C0D616" w14:textId="2F1CF8F7" w:rsidR="00644A0E" w:rsidRPr="00471A08" w:rsidRDefault="00644A0E" w:rsidP="008432E8">
      <w:pPr>
        <w:pStyle w:val="ListParagraph"/>
        <w:numPr>
          <w:ilvl w:val="1"/>
          <w:numId w:val="1"/>
        </w:numPr>
        <w:shd w:val="clear" w:color="auto" w:fill="FFFFFF"/>
        <w:spacing w:before="180" w:after="180" w:line="360" w:lineRule="auto"/>
        <w:jc w:val="both"/>
        <w:rPr>
          <w:color w:val="000000" w:themeColor="text1"/>
          <w:shd w:val="clear" w:color="auto" w:fill="FFFFFF"/>
        </w:rPr>
      </w:pPr>
      <w:r w:rsidRPr="00644A0E">
        <w:rPr>
          <w:color w:val="000000" w:themeColor="text1"/>
          <w:shd w:val="clear" w:color="auto" w:fill="FFFFFF"/>
        </w:rPr>
        <w:t xml:space="preserve">Additional ratio analysis </w:t>
      </w:r>
    </w:p>
    <w:p w14:paraId="23BFD65A" w14:textId="46F0D9C8" w:rsidR="00644A0E" w:rsidRPr="00471A08" w:rsidRDefault="00682FB5" w:rsidP="008432E8">
      <w:pPr>
        <w:pStyle w:val="ListParagraph"/>
        <w:numPr>
          <w:ilvl w:val="0"/>
          <w:numId w:val="1"/>
        </w:numPr>
        <w:shd w:val="clear" w:color="auto" w:fill="FFFFFF"/>
        <w:spacing w:before="180" w:after="180" w:line="360" w:lineRule="auto"/>
        <w:jc w:val="both"/>
        <w:rPr>
          <w:color w:val="000000" w:themeColor="text1"/>
          <w:shd w:val="clear" w:color="auto" w:fill="FFFFFF"/>
        </w:rPr>
      </w:pPr>
      <w:r>
        <w:rPr>
          <w:color w:val="000000" w:themeColor="text1"/>
          <w:shd w:val="clear" w:color="auto" w:fill="FFFFFF"/>
        </w:rPr>
        <w:t>Ethics Sustainability &amp; Responsibility (ESR) and Diversity, Equity, Inclusion &amp; Belonging (DEIB)</w:t>
      </w:r>
    </w:p>
    <w:p w14:paraId="5575266E" w14:textId="3FDD7600" w:rsidR="00644A0E" w:rsidRPr="00644A0E" w:rsidRDefault="00644A0E" w:rsidP="008432E8">
      <w:pPr>
        <w:pStyle w:val="ListParagraph"/>
        <w:numPr>
          <w:ilvl w:val="0"/>
          <w:numId w:val="1"/>
        </w:numPr>
        <w:shd w:val="clear" w:color="auto" w:fill="FFFFFF"/>
        <w:spacing w:before="180" w:after="180" w:line="360" w:lineRule="auto"/>
        <w:jc w:val="both"/>
        <w:rPr>
          <w:color w:val="000000" w:themeColor="text1"/>
          <w:shd w:val="clear" w:color="auto" w:fill="FFFFFF"/>
        </w:rPr>
      </w:pPr>
      <w:r w:rsidRPr="00644A0E">
        <w:rPr>
          <w:color w:val="000000" w:themeColor="text1"/>
          <w:shd w:val="clear" w:color="auto" w:fill="FFFFFF"/>
        </w:rPr>
        <w:t>References</w:t>
      </w:r>
    </w:p>
    <w:p w14:paraId="067D2F61" w14:textId="0B8F5EEE" w:rsidR="00644A0E" w:rsidRDefault="00644A0E" w:rsidP="008432E8">
      <w:pPr>
        <w:shd w:val="clear" w:color="auto" w:fill="FFFFFF"/>
        <w:spacing w:before="180" w:after="180" w:line="360" w:lineRule="auto"/>
        <w:contextualSpacing/>
        <w:jc w:val="both"/>
        <w:rPr>
          <w:b/>
          <w:bCs/>
          <w:color w:val="000000" w:themeColor="text1"/>
          <w:shd w:val="clear" w:color="auto" w:fill="FFFFFF"/>
        </w:rPr>
      </w:pPr>
    </w:p>
    <w:p w14:paraId="07C35E0C" w14:textId="683A5B03" w:rsidR="00825C70" w:rsidRDefault="00682FB5" w:rsidP="008432E8">
      <w:pPr>
        <w:pStyle w:val="Heading1"/>
        <w:numPr>
          <w:ilvl w:val="0"/>
          <w:numId w:val="3"/>
        </w:numPr>
        <w:spacing w:line="360" w:lineRule="auto"/>
        <w:jc w:val="both"/>
        <w:rPr>
          <w:sz w:val="32"/>
          <w:szCs w:val="32"/>
          <w:shd w:val="clear" w:color="auto" w:fill="FFFFFF"/>
        </w:rPr>
      </w:pPr>
      <w:r w:rsidRPr="00682FB5">
        <w:rPr>
          <w:sz w:val="32"/>
          <w:szCs w:val="32"/>
          <w:shd w:val="clear" w:color="auto" w:fill="FFFFFF"/>
        </w:rPr>
        <w:lastRenderedPageBreak/>
        <w:t>Company Analysis</w:t>
      </w:r>
    </w:p>
    <w:p w14:paraId="21C26D17" w14:textId="1E815A6C" w:rsidR="001A4608" w:rsidRPr="00120E3D" w:rsidRDefault="001A4608" w:rsidP="008432E8">
      <w:pPr>
        <w:pStyle w:val="Heading1"/>
        <w:numPr>
          <w:ilvl w:val="1"/>
          <w:numId w:val="7"/>
        </w:numPr>
        <w:spacing w:line="360" w:lineRule="auto"/>
        <w:jc w:val="both"/>
        <w:rPr>
          <w:sz w:val="32"/>
          <w:szCs w:val="32"/>
          <w:shd w:val="clear" w:color="auto" w:fill="FFFFFF"/>
        </w:rPr>
      </w:pPr>
      <w:bookmarkStart w:id="1" w:name="_Business_&amp;_Industry"/>
      <w:bookmarkEnd w:id="1"/>
      <w:r>
        <w:rPr>
          <w:sz w:val="32"/>
          <w:szCs w:val="32"/>
          <w:shd w:val="clear" w:color="auto" w:fill="FFFFFF"/>
        </w:rPr>
        <w:t xml:space="preserve">Business </w:t>
      </w:r>
      <w:r>
        <w:rPr>
          <w:sz w:val="32"/>
          <w:szCs w:val="32"/>
          <w:shd w:val="clear" w:color="auto" w:fill="FFFFFF"/>
        </w:rPr>
        <w:t>&amp; Industry</w:t>
      </w:r>
      <w:r>
        <w:rPr>
          <w:sz w:val="32"/>
          <w:szCs w:val="32"/>
          <w:shd w:val="clear" w:color="auto" w:fill="FFFFFF"/>
        </w:rPr>
        <w:t xml:space="preserve"> description </w:t>
      </w:r>
    </w:p>
    <w:p w14:paraId="524A930F" w14:textId="3B43DF1D" w:rsidR="00682FB5" w:rsidRDefault="00825C70" w:rsidP="008432E8">
      <w:pPr>
        <w:shd w:val="clear" w:color="auto" w:fill="FFFFFF"/>
        <w:spacing w:before="180" w:after="180" w:line="360" w:lineRule="auto"/>
        <w:contextualSpacing/>
        <w:jc w:val="both"/>
        <w:rPr>
          <w:color w:val="000000" w:themeColor="text1"/>
          <w:shd w:val="clear" w:color="auto" w:fill="FFFFFF"/>
        </w:rPr>
      </w:pPr>
      <w:r w:rsidRPr="00825C70">
        <w:rPr>
          <w:color w:val="000000" w:themeColor="text1"/>
          <w:shd w:val="clear" w:color="auto" w:fill="FFFFFF"/>
        </w:rPr>
        <w:t>The</w:t>
      </w:r>
      <w:r>
        <w:rPr>
          <w:color w:val="000000" w:themeColor="text1"/>
          <w:shd w:val="clear" w:color="auto" w:fill="FFFFFF"/>
        </w:rPr>
        <w:t xml:space="preserve"> Pharma industry has always been one of the most prominent in the world. However, thanks to the COVID-19 impact, the industry has strengthened its market power to become even more recognizable worldwide. </w:t>
      </w:r>
      <w:r w:rsidR="00BD6125">
        <w:rPr>
          <w:color w:val="000000" w:themeColor="text1"/>
          <w:shd w:val="clear" w:color="auto" w:fill="FFFFFF"/>
        </w:rPr>
        <w:t xml:space="preserve">The impact of the pandemic is set to have repercussions both in the short, </w:t>
      </w:r>
      <w:r w:rsidR="00360059">
        <w:rPr>
          <w:color w:val="000000" w:themeColor="text1"/>
          <w:shd w:val="clear" w:color="auto" w:fill="FFFFFF"/>
        </w:rPr>
        <w:t>mid,</w:t>
      </w:r>
      <w:r w:rsidR="00BD6125">
        <w:rPr>
          <w:color w:val="000000" w:themeColor="text1"/>
          <w:shd w:val="clear" w:color="auto" w:fill="FFFFFF"/>
        </w:rPr>
        <w:t xml:space="preserve"> and long term with changes on demands, regulations and taxes and the process of developments in drugs and testing.</w:t>
      </w:r>
    </w:p>
    <w:p w14:paraId="0FC1F5A3" w14:textId="35D32737" w:rsidR="00825C70" w:rsidRDefault="00825C70" w:rsidP="008432E8">
      <w:pPr>
        <w:shd w:val="clear" w:color="auto" w:fill="FFFFFF"/>
        <w:spacing w:before="180" w:after="180" w:line="360" w:lineRule="auto"/>
        <w:contextualSpacing/>
        <w:jc w:val="both"/>
        <w:rPr>
          <w:color w:val="000000" w:themeColor="text1"/>
          <w:shd w:val="clear" w:color="auto" w:fill="FFFFFF"/>
        </w:rPr>
      </w:pPr>
    </w:p>
    <w:p w14:paraId="00942DFE" w14:textId="0BEA5563" w:rsidR="00360059" w:rsidRDefault="00360059"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US holds the highest market</w:t>
      </w:r>
      <w:r w:rsidR="000F2930">
        <w:rPr>
          <w:color w:val="000000" w:themeColor="text1"/>
          <w:shd w:val="clear" w:color="auto" w:fill="FFFFFF"/>
        </w:rPr>
        <w:t xml:space="preserve"> share as well as the highest investment in R&amp;D for pharma, followed by China and Japan. However Middle East is expected to be the highest growing region in the following periods. The pharmaceutical industry is supposed to have a compound annual growth rate (CAGR) of approximately 9%. </w:t>
      </w:r>
    </w:p>
    <w:p w14:paraId="4F2608C3" w14:textId="77777777" w:rsidR="00471A08" w:rsidRDefault="00471A08" w:rsidP="008432E8">
      <w:pPr>
        <w:shd w:val="clear" w:color="auto" w:fill="FFFFFF"/>
        <w:spacing w:before="180" w:after="180" w:line="360" w:lineRule="auto"/>
        <w:contextualSpacing/>
        <w:jc w:val="both"/>
        <w:rPr>
          <w:color w:val="000000" w:themeColor="text1"/>
          <w:shd w:val="clear" w:color="auto" w:fill="FFFFFF"/>
        </w:rPr>
      </w:pPr>
    </w:p>
    <w:p w14:paraId="6CA3D7DA" w14:textId="3AEACAC1" w:rsidR="00825C70" w:rsidRDefault="000F2930" w:rsidP="008432E8">
      <w:pPr>
        <w:shd w:val="clear" w:color="auto" w:fill="FFFFFF"/>
        <w:spacing w:before="180" w:after="180" w:line="360" w:lineRule="auto"/>
        <w:contextualSpacing/>
        <w:jc w:val="center"/>
        <w:rPr>
          <w:color w:val="000000" w:themeColor="text1"/>
          <w:shd w:val="clear" w:color="auto" w:fill="FFFFFF"/>
        </w:rPr>
      </w:pPr>
      <w:r>
        <w:rPr>
          <w:noProof/>
        </w:rPr>
        <w:drawing>
          <wp:inline distT="0" distB="0" distL="0" distR="0" wp14:anchorId="5C712BFF" wp14:editId="4C863491">
            <wp:extent cx="4387272" cy="2447636"/>
            <wp:effectExtent l="0" t="0" r="6985" b="16510"/>
            <wp:docPr id="1" name="Chart 1">
              <a:extLst xmlns:a="http://schemas.openxmlformats.org/drawingml/2006/main">
                <a:ext uri="{FF2B5EF4-FFF2-40B4-BE49-F238E27FC236}">
                  <a16:creationId xmlns:a16="http://schemas.microsoft.com/office/drawing/2014/main" id="{9614E27C-C1AF-3BA8-7540-DC71BE6751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C5495BB" w14:textId="74F0DE9C" w:rsidR="00825C70" w:rsidRPr="000F2930" w:rsidRDefault="00471A08" w:rsidP="008432E8">
      <w:pPr>
        <w:shd w:val="clear" w:color="auto" w:fill="FFFFFF"/>
        <w:spacing w:before="180" w:after="180" w:line="360" w:lineRule="auto"/>
        <w:contextualSpacing/>
        <w:jc w:val="center"/>
        <w:rPr>
          <w:i/>
          <w:iCs/>
          <w:color w:val="000000" w:themeColor="text1"/>
          <w:shd w:val="clear" w:color="auto" w:fill="FFFFFF"/>
        </w:rPr>
      </w:pPr>
      <w:r>
        <w:rPr>
          <w:i/>
          <w:iCs/>
          <w:color w:val="000000" w:themeColor="text1"/>
          <w:shd w:val="clear" w:color="auto" w:fill="FFFFFF"/>
        </w:rPr>
        <w:t xml:space="preserve">Figure 1. </w:t>
      </w:r>
      <w:r w:rsidR="000F2930" w:rsidRPr="000F2930">
        <w:rPr>
          <w:i/>
          <w:iCs/>
          <w:color w:val="000000" w:themeColor="text1"/>
          <w:shd w:val="clear" w:color="auto" w:fill="FFFFFF"/>
        </w:rPr>
        <w:t>Estimated industry revenue in billions of $ (actual in blue, forecasted in green)</w:t>
      </w:r>
    </w:p>
    <w:p w14:paraId="3AC5E15B" w14:textId="54634104" w:rsidR="00825C70" w:rsidRDefault="00825C70" w:rsidP="008432E8">
      <w:pPr>
        <w:shd w:val="clear" w:color="auto" w:fill="FFFFFF"/>
        <w:spacing w:before="180" w:after="180" w:line="360" w:lineRule="auto"/>
        <w:contextualSpacing/>
        <w:jc w:val="both"/>
        <w:rPr>
          <w:color w:val="000000" w:themeColor="text1"/>
          <w:shd w:val="clear" w:color="auto" w:fill="FFFFFF"/>
        </w:rPr>
      </w:pPr>
    </w:p>
    <w:p w14:paraId="2C1DDE00" w14:textId="55A470FE" w:rsidR="000F2930" w:rsidRDefault="006F14B1"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Merck, as well as some of the other main companies</w:t>
      </w:r>
      <w:r w:rsidR="00471A08">
        <w:rPr>
          <w:color w:val="000000" w:themeColor="text1"/>
          <w:shd w:val="clear" w:color="auto" w:fill="FFFFFF"/>
        </w:rPr>
        <w:t xml:space="preserve"> in the industry, focuses on developing new drugs and vaccines. This is why, due to covid, the revenues of those companies hit levels never seen before. Although in 2022 the effects are still noticeable, we can see </w:t>
      </w:r>
      <w:r w:rsidR="00471A08" w:rsidRPr="00471A08">
        <w:rPr>
          <w:i/>
          <w:iCs/>
          <w:color w:val="000000" w:themeColor="text1"/>
          <w:shd w:val="clear" w:color="auto" w:fill="FFFFFF"/>
        </w:rPr>
        <w:t xml:space="preserve">(Figure 2) </w:t>
      </w:r>
      <w:r w:rsidR="00471A08">
        <w:rPr>
          <w:color w:val="000000" w:themeColor="text1"/>
          <w:shd w:val="clear" w:color="auto" w:fill="FFFFFF"/>
        </w:rPr>
        <w:t xml:space="preserve">a small decline compared to the previous year, which sustains the uncertainty of the revenues in the future. </w:t>
      </w:r>
    </w:p>
    <w:p w14:paraId="6F6B99EE" w14:textId="77777777" w:rsidR="00471A08" w:rsidRDefault="00471A08" w:rsidP="008432E8">
      <w:pPr>
        <w:shd w:val="clear" w:color="auto" w:fill="FFFFFF"/>
        <w:spacing w:before="180" w:after="180" w:line="360" w:lineRule="auto"/>
        <w:contextualSpacing/>
        <w:jc w:val="both"/>
        <w:rPr>
          <w:color w:val="000000" w:themeColor="text1"/>
          <w:shd w:val="clear" w:color="auto" w:fill="FFFFFF"/>
        </w:rPr>
      </w:pPr>
    </w:p>
    <w:p w14:paraId="4AB982F7" w14:textId="41B15206" w:rsidR="000F2930" w:rsidRDefault="00471A08" w:rsidP="008432E8">
      <w:pPr>
        <w:shd w:val="clear" w:color="auto" w:fill="FFFFFF"/>
        <w:spacing w:before="180" w:after="180" w:line="360" w:lineRule="auto"/>
        <w:contextualSpacing/>
        <w:jc w:val="center"/>
        <w:rPr>
          <w:color w:val="000000" w:themeColor="text1"/>
          <w:shd w:val="clear" w:color="auto" w:fill="FFFFFF"/>
        </w:rPr>
      </w:pPr>
      <w:r>
        <w:rPr>
          <w:noProof/>
        </w:rPr>
        <w:drawing>
          <wp:inline distT="0" distB="0" distL="0" distR="0" wp14:anchorId="4AA49555" wp14:editId="2626FB40">
            <wp:extent cx="5088890" cy="2743200"/>
            <wp:effectExtent l="0" t="0" r="16510" b="12700"/>
            <wp:docPr id="2" name="Chart 2">
              <a:extLst xmlns:a="http://schemas.openxmlformats.org/drawingml/2006/main">
                <a:ext uri="{FF2B5EF4-FFF2-40B4-BE49-F238E27FC236}">
                  <a16:creationId xmlns:a16="http://schemas.microsoft.com/office/drawing/2014/main" id="{B93C2085-4C4F-9078-9023-3AA5004AF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86600A3" w14:textId="75BCD63D" w:rsidR="00471A08" w:rsidRPr="000F2930" w:rsidRDefault="00471A08" w:rsidP="008432E8">
      <w:pPr>
        <w:shd w:val="clear" w:color="auto" w:fill="FFFFFF"/>
        <w:spacing w:before="180" w:after="180" w:line="360" w:lineRule="auto"/>
        <w:contextualSpacing/>
        <w:jc w:val="center"/>
        <w:rPr>
          <w:i/>
          <w:iCs/>
          <w:color w:val="000000" w:themeColor="text1"/>
          <w:shd w:val="clear" w:color="auto" w:fill="FFFFFF"/>
        </w:rPr>
      </w:pPr>
      <w:r>
        <w:rPr>
          <w:i/>
          <w:iCs/>
          <w:color w:val="000000" w:themeColor="text1"/>
          <w:shd w:val="clear" w:color="auto" w:fill="FFFFFF"/>
        </w:rPr>
        <w:t xml:space="preserve">Figure </w:t>
      </w:r>
      <w:r>
        <w:rPr>
          <w:i/>
          <w:iCs/>
          <w:color w:val="000000" w:themeColor="text1"/>
          <w:shd w:val="clear" w:color="auto" w:fill="FFFFFF"/>
        </w:rPr>
        <w:t>2</w:t>
      </w:r>
      <w:r>
        <w:rPr>
          <w:i/>
          <w:iCs/>
          <w:color w:val="000000" w:themeColor="text1"/>
          <w:shd w:val="clear" w:color="auto" w:fill="FFFFFF"/>
        </w:rPr>
        <w:t xml:space="preserve">. </w:t>
      </w:r>
      <w:r>
        <w:rPr>
          <w:i/>
          <w:iCs/>
          <w:color w:val="000000" w:themeColor="text1"/>
          <w:shd w:val="clear" w:color="auto" w:fill="FFFFFF"/>
        </w:rPr>
        <w:t>R</w:t>
      </w:r>
      <w:r w:rsidRPr="000F2930">
        <w:rPr>
          <w:i/>
          <w:iCs/>
          <w:color w:val="000000" w:themeColor="text1"/>
          <w:shd w:val="clear" w:color="auto" w:fill="FFFFFF"/>
        </w:rPr>
        <w:t xml:space="preserve">evenue </w:t>
      </w:r>
      <w:r>
        <w:rPr>
          <w:i/>
          <w:iCs/>
          <w:color w:val="000000" w:themeColor="text1"/>
          <w:shd w:val="clear" w:color="auto" w:fill="FFFFFF"/>
        </w:rPr>
        <w:t xml:space="preserve">comparison 2022-2021 of the main US pharma companies </w:t>
      </w:r>
      <w:r w:rsidRPr="000F2930">
        <w:rPr>
          <w:i/>
          <w:iCs/>
          <w:color w:val="000000" w:themeColor="text1"/>
          <w:shd w:val="clear" w:color="auto" w:fill="FFFFFF"/>
        </w:rPr>
        <w:t>in billions of $</w:t>
      </w:r>
    </w:p>
    <w:p w14:paraId="3C33422F" w14:textId="77777777" w:rsidR="00471A08" w:rsidRDefault="00471A08" w:rsidP="008432E8">
      <w:pPr>
        <w:shd w:val="clear" w:color="auto" w:fill="FFFFFF"/>
        <w:spacing w:before="180" w:after="180" w:line="360" w:lineRule="auto"/>
        <w:contextualSpacing/>
        <w:jc w:val="both"/>
        <w:rPr>
          <w:color w:val="000000" w:themeColor="text1"/>
          <w:shd w:val="clear" w:color="auto" w:fill="FFFFFF"/>
        </w:rPr>
      </w:pPr>
    </w:p>
    <w:p w14:paraId="01F12ABE" w14:textId="5F8A2F8E" w:rsidR="000F2930" w:rsidRDefault="008B6F4C"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One of the main factors that drive the profits in this industry is the cost in R&amp;D. As said before, after the first impact of the pandemic, numerous rumors aroused on how politics and companies wanted to change policies and prices that have an immediate effect on the costs of R&amp;D. </w:t>
      </w:r>
    </w:p>
    <w:p w14:paraId="534F3626" w14:textId="77777777" w:rsidR="008B6F4C" w:rsidRDefault="008B6F4C" w:rsidP="008432E8">
      <w:pPr>
        <w:shd w:val="clear" w:color="auto" w:fill="FFFFFF"/>
        <w:spacing w:before="180" w:after="180" w:line="360" w:lineRule="auto"/>
        <w:contextualSpacing/>
        <w:jc w:val="both"/>
        <w:rPr>
          <w:color w:val="000000" w:themeColor="text1"/>
          <w:shd w:val="clear" w:color="auto" w:fill="FFFFFF"/>
        </w:rPr>
      </w:pPr>
    </w:p>
    <w:p w14:paraId="3F1DC9F9" w14:textId="16A9502D" w:rsidR="00471A08" w:rsidRDefault="008B6F4C" w:rsidP="008432E8">
      <w:pPr>
        <w:shd w:val="clear" w:color="auto" w:fill="FFFFFF"/>
        <w:spacing w:before="180" w:after="180" w:line="360" w:lineRule="auto"/>
        <w:contextualSpacing/>
        <w:jc w:val="center"/>
        <w:rPr>
          <w:color w:val="000000" w:themeColor="text1"/>
          <w:shd w:val="clear" w:color="auto" w:fill="FFFFFF"/>
        </w:rPr>
      </w:pPr>
      <w:r>
        <w:rPr>
          <w:noProof/>
        </w:rPr>
        <w:drawing>
          <wp:inline distT="0" distB="0" distL="0" distR="0" wp14:anchorId="4AF8F830" wp14:editId="7D3C80C8">
            <wp:extent cx="4570095" cy="2586182"/>
            <wp:effectExtent l="0" t="0" r="14605" b="17780"/>
            <wp:docPr id="3" name="Chart 3">
              <a:extLst xmlns:a="http://schemas.openxmlformats.org/drawingml/2006/main">
                <a:ext uri="{FF2B5EF4-FFF2-40B4-BE49-F238E27FC236}">
                  <a16:creationId xmlns:a16="http://schemas.microsoft.com/office/drawing/2014/main" id="{80BD3570-AA2D-37EF-378D-BA303DADF9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5609E64" w14:textId="2FE64BB7" w:rsidR="008B6F4C" w:rsidRPr="000F2930" w:rsidRDefault="008B6F4C" w:rsidP="008432E8">
      <w:pPr>
        <w:shd w:val="clear" w:color="auto" w:fill="FFFFFF"/>
        <w:spacing w:before="180" w:after="180" w:line="360" w:lineRule="auto"/>
        <w:contextualSpacing/>
        <w:jc w:val="center"/>
        <w:rPr>
          <w:i/>
          <w:iCs/>
          <w:color w:val="000000" w:themeColor="text1"/>
          <w:shd w:val="clear" w:color="auto" w:fill="FFFFFF"/>
        </w:rPr>
      </w:pPr>
      <w:r>
        <w:rPr>
          <w:i/>
          <w:iCs/>
          <w:color w:val="000000" w:themeColor="text1"/>
          <w:shd w:val="clear" w:color="auto" w:fill="FFFFFF"/>
        </w:rPr>
        <w:t xml:space="preserve">Figure </w:t>
      </w:r>
      <w:r>
        <w:rPr>
          <w:i/>
          <w:iCs/>
          <w:color w:val="000000" w:themeColor="text1"/>
          <w:shd w:val="clear" w:color="auto" w:fill="FFFFFF"/>
        </w:rPr>
        <w:t>3</w:t>
      </w:r>
      <w:r>
        <w:rPr>
          <w:i/>
          <w:iCs/>
          <w:color w:val="000000" w:themeColor="text1"/>
          <w:shd w:val="clear" w:color="auto" w:fill="FFFFFF"/>
        </w:rPr>
        <w:t xml:space="preserve">. </w:t>
      </w:r>
      <w:r>
        <w:rPr>
          <w:i/>
          <w:iCs/>
          <w:color w:val="000000" w:themeColor="text1"/>
          <w:shd w:val="clear" w:color="auto" w:fill="FFFFFF"/>
        </w:rPr>
        <w:t>Research &amp; Development forecast</w:t>
      </w:r>
      <w:r>
        <w:rPr>
          <w:i/>
          <w:iCs/>
          <w:color w:val="000000" w:themeColor="text1"/>
          <w:shd w:val="clear" w:color="auto" w:fill="FFFFFF"/>
        </w:rPr>
        <w:t xml:space="preserve"> </w:t>
      </w:r>
      <w:r w:rsidRPr="000F2930">
        <w:rPr>
          <w:i/>
          <w:iCs/>
          <w:color w:val="000000" w:themeColor="text1"/>
          <w:shd w:val="clear" w:color="auto" w:fill="FFFFFF"/>
        </w:rPr>
        <w:t>in billions of $</w:t>
      </w:r>
    </w:p>
    <w:p w14:paraId="71B14424" w14:textId="38900833" w:rsidR="00471A08" w:rsidRDefault="00471A08" w:rsidP="008432E8">
      <w:pPr>
        <w:shd w:val="clear" w:color="auto" w:fill="FFFFFF"/>
        <w:spacing w:before="180" w:after="180" w:line="360" w:lineRule="auto"/>
        <w:contextualSpacing/>
        <w:jc w:val="both"/>
        <w:rPr>
          <w:color w:val="000000" w:themeColor="text1"/>
          <w:shd w:val="clear" w:color="auto" w:fill="FFFFFF"/>
        </w:rPr>
      </w:pPr>
    </w:p>
    <w:p w14:paraId="08974E65" w14:textId="7012A918" w:rsidR="00471A08" w:rsidRDefault="008B6F4C"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lastRenderedPageBreak/>
        <w:t>As we know, the main driver of profit is</w:t>
      </w:r>
      <w:r w:rsidR="00733598">
        <w:rPr>
          <w:color w:val="000000" w:themeColor="text1"/>
          <w:shd w:val="clear" w:color="auto" w:fill="FFFFFF"/>
        </w:rPr>
        <w:t xml:space="preserve"> the price of sales. Pharmaceutical </w:t>
      </w:r>
      <w:r w:rsidR="00F35A03">
        <w:rPr>
          <w:color w:val="000000" w:themeColor="text1"/>
          <w:shd w:val="clear" w:color="auto" w:fill="FFFFFF"/>
        </w:rPr>
        <w:t>companies’</w:t>
      </w:r>
      <w:r w:rsidR="00733598">
        <w:rPr>
          <w:color w:val="000000" w:themeColor="text1"/>
          <w:shd w:val="clear" w:color="auto" w:fill="FFFFFF"/>
        </w:rPr>
        <w:t xml:space="preserve"> price is relative unregulated hence they have certain freedom to raise prices even if demand remains unchanged. However, as seen previously, the cost of Research and Development for a new drug is </w:t>
      </w:r>
      <w:r w:rsidR="00F35A03">
        <w:rPr>
          <w:color w:val="000000" w:themeColor="text1"/>
          <w:shd w:val="clear" w:color="auto" w:fill="FFFFFF"/>
        </w:rPr>
        <w:t>excessively high. The success rate a company has on the approval of new drugs as well as the general costs of developing it are the main factors that explain the prices and thus the profits of the company. In the following table (</w:t>
      </w:r>
      <w:r w:rsidR="00F35A03" w:rsidRPr="00F35A03">
        <w:rPr>
          <w:i/>
          <w:iCs/>
          <w:color w:val="000000" w:themeColor="text1"/>
          <w:shd w:val="clear" w:color="auto" w:fill="FFFFFF"/>
        </w:rPr>
        <w:t>Figure 4</w:t>
      </w:r>
      <w:r w:rsidR="00F35A03">
        <w:rPr>
          <w:color w:val="000000" w:themeColor="text1"/>
          <w:shd w:val="clear" w:color="auto" w:fill="FFFFFF"/>
        </w:rPr>
        <w:t>) we can see how the investment in R&amp;D impacts the revenues of the main pharma companies in the US.</w:t>
      </w:r>
    </w:p>
    <w:p w14:paraId="49E04E5F" w14:textId="77777777" w:rsidR="00F35A03" w:rsidRDefault="00F35A03" w:rsidP="008432E8">
      <w:pPr>
        <w:shd w:val="clear" w:color="auto" w:fill="FFFFFF"/>
        <w:spacing w:before="180" w:after="180" w:line="360" w:lineRule="auto"/>
        <w:contextualSpacing/>
        <w:jc w:val="both"/>
        <w:rPr>
          <w:color w:val="000000" w:themeColor="text1"/>
          <w:shd w:val="clear" w:color="auto" w:fill="FFFFFF"/>
        </w:rPr>
      </w:pPr>
    </w:p>
    <w:p w14:paraId="3964F5AB" w14:textId="03A0645C" w:rsidR="00471A08" w:rsidRDefault="00F35A03" w:rsidP="008432E8">
      <w:pPr>
        <w:shd w:val="clear" w:color="auto" w:fill="FFFFFF"/>
        <w:spacing w:before="180" w:after="180" w:line="360" w:lineRule="auto"/>
        <w:contextualSpacing/>
        <w:jc w:val="both"/>
        <w:rPr>
          <w:color w:val="000000" w:themeColor="text1"/>
          <w:shd w:val="clear" w:color="auto" w:fill="FFFFFF"/>
        </w:rPr>
      </w:pPr>
      <w:r>
        <w:rPr>
          <w:noProof/>
        </w:rPr>
        <w:drawing>
          <wp:inline distT="0" distB="0" distL="0" distR="0" wp14:anchorId="3B36DE76" wp14:editId="1AB27598">
            <wp:extent cx="5943600" cy="2880360"/>
            <wp:effectExtent l="0" t="0" r="12700" b="15240"/>
            <wp:docPr id="4" name="Chart 4">
              <a:extLst xmlns:a="http://schemas.openxmlformats.org/drawingml/2006/main">
                <a:ext uri="{FF2B5EF4-FFF2-40B4-BE49-F238E27FC236}">
                  <a16:creationId xmlns:a16="http://schemas.microsoft.com/office/drawing/2014/main" id="{C10570A9-7890-742B-6BB8-2278468675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171CA8A" w14:textId="1C7BF4C4" w:rsidR="00F35A03" w:rsidRPr="000F2930" w:rsidRDefault="00F35A03" w:rsidP="008432E8">
      <w:pPr>
        <w:shd w:val="clear" w:color="auto" w:fill="FFFFFF"/>
        <w:spacing w:before="180" w:after="180" w:line="360" w:lineRule="auto"/>
        <w:contextualSpacing/>
        <w:jc w:val="center"/>
        <w:rPr>
          <w:i/>
          <w:iCs/>
          <w:color w:val="000000" w:themeColor="text1"/>
          <w:shd w:val="clear" w:color="auto" w:fill="FFFFFF"/>
        </w:rPr>
      </w:pPr>
      <w:r>
        <w:rPr>
          <w:i/>
          <w:iCs/>
          <w:color w:val="000000" w:themeColor="text1"/>
          <w:shd w:val="clear" w:color="auto" w:fill="FFFFFF"/>
        </w:rPr>
        <w:t xml:space="preserve">Figure </w:t>
      </w:r>
      <w:r>
        <w:rPr>
          <w:i/>
          <w:iCs/>
          <w:color w:val="000000" w:themeColor="text1"/>
          <w:shd w:val="clear" w:color="auto" w:fill="FFFFFF"/>
        </w:rPr>
        <w:t>4</w:t>
      </w:r>
      <w:r>
        <w:rPr>
          <w:i/>
          <w:iCs/>
          <w:color w:val="000000" w:themeColor="text1"/>
          <w:shd w:val="clear" w:color="auto" w:fill="FFFFFF"/>
        </w:rPr>
        <w:t xml:space="preserve">. Research &amp; Development forecast </w:t>
      </w:r>
      <w:r w:rsidRPr="000F2930">
        <w:rPr>
          <w:i/>
          <w:iCs/>
          <w:color w:val="000000" w:themeColor="text1"/>
          <w:shd w:val="clear" w:color="auto" w:fill="FFFFFF"/>
        </w:rPr>
        <w:t>in billions of $</w:t>
      </w:r>
    </w:p>
    <w:p w14:paraId="1C26DC62" w14:textId="77777777" w:rsidR="00120E3D" w:rsidRDefault="00120E3D" w:rsidP="008432E8">
      <w:pPr>
        <w:shd w:val="clear" w:color="auto" w:fill="FFFFFF"/>
        <w:spacing w:before="180" w:after="180" w:line="360" w:lineRule="auto"/>
        <w:contextualSpacing/>
        <w:jc w:val="both"/>
        <w:rPr>
          <w:color w:val="000000" w:themeColor="text1"/>
          <w:shd w:val="clear" w:color="auto" w:fill="FFFFFF"/>
        </w:rPr>
      </w:pPr>
    </w:p>
    <w:p w14:paraId="1FF6021A" w14:textId="1CF197AC" w:rsidR="00120E3D" w:rsidRPr="00825C70" w:rsidRDefault="00120E3D" w:rsidP="008432E8">
      <w:pPr>
        <w:shd w:val="clear" w:color="auto" w:fill="FFFFFF"/>
        <w:spacing w:before="180" w:after="180" w:line="360" w:lineRule="auto"/>
        <w:contextualSpacing/>
        <w:jc w:val="both"/>
        <w:rPr>
          <w:color w:val="000000" w:themeColor="text1"/>
          <w:shd w:val="clear" w:color="auto" w:fill="FFFFFF"/>
        </w:rPr>
      </w:pPr>
      <w:r w:rsidRPr="00825C70">
        <w:rPr>
          <w:color w:val="000000" w:themeColor="text1"/>
          <w:shd w:val="clear" w:color="auto" w:fill="FFFFFF"/>
        </w:rPr>
        <w:t xml:space="preserve">Merck Sharp and Dohme is the second largest multinational corporation specialized in the Pharmaceuticals in the US. </w:t>
      </w:r>
      <w:r>
        <w:rPr>
          <w:color w:val="000000" w:themeColor="text1"/>
          <w:shd w:val="clear" w:color="auto" w:fill="FFFFFF"/>
        </w:rPr>
        <w:t xml:space="preserve">It was created in 1891 as a subsidiary of Merck Group, a German multinational company of science and technology, and in 1917 it was established as an independent company in the United States. Merck’s operations rely in three different areas; pharma, animal health and electronics; however, it’s main source of revenue relies on the pharmaceutical products. Their products are not only focused on creating new drugs and vaccines but also to create innovative </w:t>
      </w:r>
      <w:r w:rsidR="002259A2">
        <w:rPr>
          <w:color w:val="000000" w:themeColor="text1"/>
          <w:shd w:val="clear" w:color="auto" w:fill="FFFFFF"/>
        </w:rPr>
        <w:t>technology to</w:t>
      </w:r>
      <w:r>
        <w:rPr>
          <w:color w:val="000000" w:themeColor="text1"/>
          <w:shd w:val="clear" w:color="auto" w:fill="FFFFFF"/>
        </w:rPr>
        <w:t xml:space="preserve"> ease </w:t>
      </w:r>
      <w:proofErr w:type="gramStart"/>
      <w:r>
        <w:rPr>
          <w:color w:val="000000" w:themeColor="text1"/>
          <w:shd w:val="clear" w:color="auto" w:fill="FFFFFF"/>
        </w:rPr>
        <w:t>patients</w:t>
      </w:r>
      <w:proofErr w:type="gramEnd"/>
      <w:r>
        <w:rPr>
          <w:color w:val="000000" w:themeColor="text1"/>
          <w:shd w:val="clear" w:color="auto" w:fill="FFFFFF"/>
        </w:rPr>
        <w:t xml:space="preserve"> life’s. </w:t>
      </w:r>
      <w:proofErr w:type="gramStart"/>
      <w:r>
        <w:rPr>
          <w:color w:val="000000" w:themeColor="text1"/>
          <w:shd w:val="clear" w:color="auto" w:fill="FFFFFF"/>
        </w:rPr>
        <w:t>They</w:t>
      </w:r>
      <w:proofErr w:type="gramEnd"/>
      <w:r>
        <w:rPr>
          <w:color w:val="000000" w:themeColor="text1"/>
          <w:shd w:val="clear" w:color="auto" w:fill="FFFFFF"/>
        </w:rPr>
        <w:t xml:space="preserve"> also distinct themselves with a strong research program for drug development</w:t>
      </w:r>
      <w:r w:rsidR="002259A2">
        <w:rPr>
          <w:color w:val="000000" w:themeColor="text1"/>
          <w:shd w:val="clear" w:color="auto" w:fill="FFFFFF"/>
        </w:rPr>
        <w:t>.</w:t>
      </w:r>
    </w:p>
    <w:p w14:paraId="0FD17D5D" w14:textId="7B547374" w:rsidR="00471A08" w:rsidRDefault="00471A08" w:rsidP="008432E8">
      <w:pPr>
        <w:shd w:val="clear" w:color="auto" w:fill="FFFFFF"/>
        <w:spacing w:before="180" w:after="180" w:line="360" w:lineRule="auto"/>
        <w:contextualSpacing/>
        <w:jc w:val="both"/>
        <w:rPr>
          <w:color w:val="000000" w:themeColor="text1"/>
          <w:shd w:val="clear" w:color="auto" w:fill="FFFFFF"/>
        </w:rPr>
      </w:pPr>
    </w:p>
    <w:p w14:paraId="71DE1E67" w14:textId="71413998" w:rsidR="002259A2" w:rsidRDefault="002259A2" w:rsidP="008432E8">
      <w:pPr>
        <w:shd w:val="clear" w:color="auto" w:fill="FFFFFF"/>
        <w:spacing w:before="180" w:after="180" w:line="360" w:lineRule="auto"/>
        <w:contextualSpacing/>
        <w:jc w:val="both"/>
        <w:rPr>
          <w:color w:val="000000" w:themeColor="text1"/>
          <w:shd w:val="clear" w:color="auto" w:fill="FFFFFF"/>
        </w:rPr>
      </w:pPr>
    </w:p>
    <w:p w14:paraId="4A43D0AE" w14:textId="3E140C9F" w:rsidR="001A4608" w:rsidRDefault="001A4608" w:rsidP="008432E8">
      <w:pPr>
        <w:pStyle w:val="Heading1"/>
        <w:numPr>
          <w:ilvl w:val="1"/>
          <w:numId w:val="7"/>
        </w:numPr>
        <w:spacing w:line="360" w:lineRule="auto"/>
        <w:jc w:val="both"/>
        <w:rPr>
          <w:sz w:val="32"/>
          <w:szCs w:val="32"/>
          <w:shd w:val="clear" w:color="auto" w:fill="FFFFFF"/>
        </w:rPr>
      </w:pPr>
      <w:r>
        <w:rPr>
          <w:sz w:val="32"/>
          <w:szCs w:val="32"/>
          <w:shd w:val="clear" w:color="auto" w:fill="FFFFFF"/>
        </w:rPr>
        <w:lastRenderedPageBreak/>
        <w:t>Management Discussion</w:t>
      </w:r>
    </w:p>
    <w:p w14:paraId="1BFA1068" w14:textId="3494D368" w:rsidR="00F450CB" w:rsidRPr="00110F8A" w:rsidRDefault="00F450CB" w:rsidP="008432E8">
      <w:pPr>
        <w:shd w:val="clear" w:color="auto" w:fill="FFFFFF"/>
        <w:spacing w:before="180" w:after="180" w:line="360" w:lineRule="auto"/>
        <w:contextualSpacing/>
        <w:jc w:val="both"/>
        <w:rPr>
          <w:b/>
          <w:bCs/>
          <w:color w:val="000000" w:themeColor="text1"/>
          <w:shd w:val="clear" w:color="auto" w:fill="FFFFFF"/>
        </w:rPr>
      </w:pPr>
      <w:r w:rsidRPr="00110F8A">
        <w:rPr>
          <w:b/>
          <w:bCs/>
          <w:color w:val="000000" w:themeColor="text1"/>
          <w:shd w:val="clear" w:color="auto" w:fill="FFFFFF"/>
        </w:rPr>
        <w:t>Management</w:t>
      </w:r>
    </w:p>
    <w:p w14:paraId="2098F747" w14:textId="27B9B2DD" w:rsidR="001A4608" w:rsidRDefault="001A4608"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The board of directors unanimously elected a Robert M. D</w:t>
      </w:r>
      <w:r w:rsidR="00F450CB">
        <w:rPr>
          <w:color w:val="000000" w:themeColor="text1"/>
          <w:shd w:val="clear" w:color="auto" w:fill="FFFFFF"/>
        </w:rPr>
        <w:t>avis as the new chairman of the board effective December 1, 2022.</w:t>
      </w:r>
    </w:p>
    <w:p w14:paraId="3751B827" w14:textId="55127660" w:rsidR="001A4608" w:rsidRDefault="001A4608" w:rsidP="008432E8">
      <w:pPr>
        <w:shd w:val="clear" w:color="auto" w:fill="FFFFFF"/>
        <w:spacing w:before="180" w:after="180" w:line="360" w:lineRule="auto"/>
        <w:contextualSpacing/>
        <w:jc w:val="both"/>
        <w:rPr>
          <w:color w:val="000000" w:themeColor="text1"/>
          <w:shd w:val="clear" w:color="auto" w:fill="FFFFFF"/>
        </w:rPr>
      </w:pPr>
    </w:p>
    <w:p w14:paraId="410F94E5" w14:textId="1A0F9F6E" w:rsidR="00F450CB" w:rsidRPr="00110F8A" w:rsidRDefault="00F450CB" w:rsidP="008432E8">
      <w:pPr>
        <w:shd w:val="clear" w:color="auto" w:fill="FFFFFF"/>
        <w:spacing w:before="180" w:after="180" w:line="360" w:lineRule="auto"/>
        <w:contextualSpacing/>
        <w:jc w:val="both"/>
        <w:rPr>
          <w:b/>
          <w:bCs/>
          <w:color w:val="000000" w:themeColor="text1"/>
          <w:shd w:val="clear" w:color="auto" w:fill="FFFFFF"/>
        </w:rPr>
      </w:pPr>
      <w:r w:rsidRPr="00110F8A">
        <w:rPr>
          <w:b/>
          <w:bCs/>
          <w:color w:val="000000" w:themeColor="text1"/>
          <w:shd w:val="clear" w:color="auto" w:fill="FFFFFF"/>
        </w:rPr>
        <w:t>Business Developments</w:t>
      </w:r>
    </w:p>
    <w:p w14:paraId="38C91EED" w14:textId="368C2A8B" w:rsidR="00F450CB" w:rsidRPr="00F450CB" w:rsidRDefault="00F450CB"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In September 2022, Merck pursued an </w:t>
      </w:r>
      <w:r w:rsidR="00EA5A92">
        <w:rPr>
          <w:color w:val="000000" w:themeColor="text1"/>
          <w:shd w:val="clear" w:color="auto" w:fill="FFFFFF"/>
        </w:rPr>
        <w:t xml:space="preserve">existent </w:t>
      </w:r>
      <w:r>
        <w:rPr>
          <w:color w:val="000000" w:themeColor="text1"/>
          <w:shd w:val="clear" w:color="auto" w:fill="FFFFFF"/>
        </w:rPr>
        <w:t xml:space="preserve">agreement with Moderna Inc. to jointly develop </w:t>
      </w:r>
      <w:r w:rsidR="00EA5A92">
        <w:rPr>
          <w:color w:val="000000" w:themeColor="text1"/>
          <w:shd w:val="clear" w:color="auto" w:fill="FFFFFF"/>
        </w:rPr>
        <w:t xml:space="preserve">and </w:t>
      </w:r>
      <w:r w:rsidR="00EA5A92">
        <w:rPr>
          <w:color w:val="000000" w:themeColor="text1"/>
          <w:shd w:val="clear" w:color="auto" w:fill="FFFFFF"/>
        </w:rPr>
        <w:t>commercialize</w:t>
      </w:r>
      <w:r w:rsidR="00EA5A92">
        <w:rPr>
          <w:color w:val="000000" w:themeColor="text1"/>
          <w:shd w:val="clear" w:color="auto" w:fill="FFFFFF"/>
        </w:rPr>
        <w:t xml:space="preserve"> </w:t>
      </w:r>
      <w:r>
        <w:rPr>
          <w:color w:val="000000" w:themeColor="text1"/>
          <w:shd w:val="clear" w:color="auto" w:fill="FFFFFF"/>
        </w:rPr>
        <w:t xml:space="preserve">a cancer vaccine which caused </w:t>
      </w:r>
      <w:r w:rsidR="00EA5A92">
        <w:rPr>
          <w:color w:val="000000" w:themeColor="text1"/>
          <w:shd w:val="clear" w:color="auto" w:fill="FFFFFF"/>
        </w:rPr>
        <w:t xml:space="preserve">a $250 million increase in R&amp;D for the first 3 quarters of 2022. </w:t>
      </w:r>
    </w:p>
    <w:p w14:paraId="09AA71AF" w14:textId="53CEBC46" w:rsidR="00F450CB" w:rsidRPr="00F450CB" w:rsidRDefault="00F450CB"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In </w:t>
      </w:r>
      <w:r w:rsidR="00EA5A92">
        <w:rPr>
          <w:color w:val="000000" w:themeColor="text1"/>
          <w:shd w:val="clear" w:color="auto" w:fill="FFFFFF"/>
        </w:rPr>
        <w:t>August</w:t>
      </w:r>
      <w:r>
        <w:rPr>
          <w:color w:val="000000" w:themeColor="text1"/>
          <w:shd w:val="clear" w:color="auto" w:fill="FFFFFF"/>
        </w:rPr>
        <w:t xml:space="preserve"> 2022, </w:t>
      </w:r>
      <w:proofErr w:type="gramStart"/>
      <w:r w:rsidR="00EA5A92">
        <w:rPr>
          <w:color w:val="000000" w:themeColor="text1"/>
          <w:shd w:val="clear" w:color="auto" w:fill="FFFFFF"/>
        </w:rPr>
        <w:t>Merck</w:t>
      </w:r>
      <w:proofErr w:type="gramEnd"/>
      <w:r w:rsidR="00EA5A92">
        <w:rPr>
          <w:color w:val="000000" w:themeColor="text1"/>
          <w:shd w:val="clear" w:color="auto" w:fill="FFFFFF"/>
        </w:rPr>
        <w:t xml:space="preserve"> and </w:t>
      </w:r>
      <w:proofErr w:type="spellStart"/>
      <w:r w:rsidR="00EA5A92">
        <w:rPr>
          <w:color w:val="000000" w:themeColor="text1"/>
          <w:shd w:val="clear" w:color="auto" w:fill="FFFFFF"/>
        </w:rPr>
        <w:t>Orna</w:t>
      </w:r>
      <w:proofErr w:type="spellEnd"/>
      <w:r w:rsidR="00EA5A92">
        <w:rPr>
          <w:color w:val="000000" w:themeColor="text1"/>
          <w:shd w:val="clear" w:color="auto" w:fill="FFFFFF"/>
        </w:rPr>
        <w:t xml:space="preserve"> Therapeutics, entered a joined agreement to develop and commercialize numerous programs for the area of infectious diseases and oncology.  This </w:t>
      </w:r>
      <w:proofErr w:type="gramStart"/>
      <w:r w:rsidR="00EA5A92">
        <w:rPr>
          <w:color w:val="000000" w:themeColor="text1"/>
          <w:shd w:val="clear" w:color="auto" w:fill="FFFFFF"/>
        </w:rPr>
        <w:t>lead</w:t>
      </w:r>
      <w:proofErr w:type="gramEnd"/>
      <w:r w:rsidR="00EA5A92">
        <w:rPr>
          <w:color w:val="000000" w:themeColor="text1"/>
          <w:shd w:val="clear" w:color="auto" w:fill="FFFFFF"/>
        </w:rPr>
        <w:t xml:space="preserve"> to an increase of R&amp;D of $150 million for the first three quarters of 2022. </w:t>
      </w:r>
    </w:p>
    <w:p w14:paraId="6AD800A4" w14:textId="2509268E" w:rsidR="00F450CB" w:rsidRPr="00F450CB" w:rsidRDefault="00F450CB"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In </w:t>
      </w:r>
      <w:r w:rsidR="00EA5A92">
        <w:rPr>
          <w:color w:val="000000" w:themeColor="text1"/>
          <w:shd w:val="clear" w:color="auto" w:fill="FFFFFF"/>
        </w:rPr>
        <w:t>July</w:t>
      </w:r>
      <w:r>
        <w:rPr>
          <w:color w:val="000000" w:themeColor="text1"/>
          <w:shd w:val="clear" w:color="auto" w:fill="FFFFFF"/>
        </w:rPr>
        <w:t xml:space="preserve"> 2022, </w:t>
      </w:r>
      <w:r w:rsidR="00EA5A92">
        <w:rPr>
          <w:color w:val="000000" w:themeColor="text1"/>
          <w:shd w:val="clear" w:color="auto" w:fill="FFFFFF"/>
        </w:rPr>
        <w:t xml:space="preserve">Merck and Orion Corporation shared an agreement of cooperation for cytochrome drugs which was reported as an expense of R&amp;D of $290 million. They also got to an arrangement with Sichuan </w:t>
      </w:r>
      <w:proofErr w:type="spellStart"/>
      <w:r w:rsidR="00EA5A92">
        <w:rPr>
          <w:color w:val="000000" w:themeColor="text1"/>
          <w:shd w:val="clear" w:color="auto" w:fill="FFFFFF"/>
        </w:rPr>
        <w:t>Kelun</w:t>
      </w:r>
      <w:proofErr w:type="spellEnd"/>
      <w:r w:rsidR="00EA5A92">
        <w:rPr>
          <w:color w:val="000000" w:themeColor="text1"/>
          <w:shd w:val="clear" w:color="auto" w:fill="FFFFFF"/>
        </w:rPr>
        <w:t xml:space="preserve">-Biotech </w:t>
      </w:r>
      <w:proofErr w:type="spellStart"/>
      <w:r w:rsidR="00EA5A92">
        <w:rPr>
          <w:color w:val="000000" w:themeColor="text1"/>
          <w:shd w:val="clear" w:color="auto" w:fill="FFFFFF"/>
        </w:rPr>
        <w:t>Biopharmaceutial</w:t>
      </w:r>
      <w:proofErr w:type="spellEnd"/>
      <w:r w:rsidR="00EA5A92">
        <w:rPr>
          <w:color w:val="000000" w:themeColor="text1"/>
          <w:shd w:val="clear" w:color="auto" w:fill="FFFFFF"/>
        </w:rPr>
        <w:t xml:space="preserve"> </w:t>
      </w:r>
      <w:r w:rsidR="00B32B8F">
        <w:rPr>
          <w:color w:val="000000" w:themeColor="text1"/>
          <w:shd w:val="clear" w:color="auto" w:fill="FFFFFF"/>
        </w:rPr>
        <w:t>that gave Merck the complete rights for an antibody drug for solid tumors worldwide. The R&amp;D expense resulting was $35 million.</w:t>
      </w:r>
    </w:p>
    <w:p w14:paraId="7B9D8B03" w14:textId="66E72D1D" w:rsidR="00F450CB" w:rsidRPr="00F450CB" w:rsidRDefault="00F450CB"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In </w:t>
      </w:r>
      <w:r w:rsidR="00EA5A92">
        <w:rPr>
          <w:color w:val="000000" w:themeColor="text1"/>
          <w:shd w:val="clear" w:color="auto" w:fill="FFFFFF"/>
        </w:rPr>
        <w:t>May</w:t>
      </w:r>
      <w:r>
        <w:rPr>
          <w:color w:val="000000" w:themeColor="text1"/>
          <w:shd w:val="clear" w:color="auto" w:fill="FFFFFF"/>
        </w:rPr>
        <w:t xml:space="preserve"> 2022, </w:t>
      </w:r>
      <w:r w:rsidR="00B32B8F">
        <w:rPr>
          <w:color w:val="000000" w:themeColor="text1"/>
          <w:shd w:val="clear" w:color="auto" w:fill="FFFFFF"/>
        </w:rPr>
        <w:t xml:space="preserve">Merck exercised a license for another of </w:t>
      </w:r>
      <w:proofErr w:type="spellStart"/>
      <w:r w:rsidR="00B32B8F">
        <w:rPr>
          <w:color w:val="000000" w:themeColor="text1"/>
          <w:shd w:val="clear" w:color="auto" w:fill="FFFFFF"/>
        </w:rPr>
        <w:t>Kelun</w:t>
      </w:r>
      <w:proofErr w:type="spellEnd"/>
      <w:r w:rsidR="00B32B8F">
        <w:rPr>
          <w:color w:val="000000" w:themeColor="text1"/>
          <w:shd w:val="clear" w:color="auto" w:fill="FFFFFF"/>
        </w:rPr>
        <w:t>-Biotech’s drug, currently in the second phase of evaluation which was already expensed in the first quarter.</w:t>
      </w:r>
    </w:p>
    <w:p w14:paraId="1C432400" w14:textId="63B86FB8" w:rsidR="00F450CB" w:rsidRPr="00F450CB" w:rsidRDefault="00F450CB" w:rsidP="008432E8">
      <w:pPr>
        <w:shd w:val="clear" w:color="auto" w:fill="FFFFFF"/>
        <w:spacing w:before="180" w:after="180" w:line="360" w:lineRule="auto"/>
        <w:contextualSpacing/>
        <w:jc w:val="both"/>
        <w:rPr>
          <w:color w:val="000000" w:themeColor="text1"/>
          <w:shd w:val="clear" w:color="auto" w:fill="FFFFFF"/>
        </w:rPr>
      </w:pPr>
    </w:p>
    <w:p w14:paraId="3C669D2F" w14:textId="4DBA96B0" w:rsidR="00F450CB" w:rsidRPr="00110F8A" w:rsidRDefault="00F450CB" w:rsidP="008432E8">
      <w:pPr>
        <w:shd w:val="clear" w:color="auto" w:fill="FFFFFF"/>
        <w:spacing w:before="180" w:after="180" w:line="360" w:lineRule="auto"/>
        <w:contextualSpacing/>
        <w:jc w:val="both"/>
        <w:rPr>
          <w:b/>
          <w:bCs/>
          <w:color w:val="000000" w:themeColor="text1"/>
          <w:shd w:val="clear" w:color="auto" w:fill="FFFFFF"/>
        </w:rPr>
      </w:pPr>
      <w:r w:rsidRPr="00110F8A">
        <w:rPr>
          <w:b/>
          <w:bCs/>
          <w:color w:val="000000" w:themeColor="text1"/>
          <w:shd w:val="clear" w:color="auto" w:fill="FFFFFF"/>
        </w:rPr>
        <w:t>Spin-Off of Organon &amp; Co.</w:t>
      </w:r>
    </w:p>
    <w:p w14:paraId="0A33C006" w14:textId="72B4D8A6" w:rsidR="00B32B8F" w:rsidRDefault="000A1143"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Merck finished </w:t>
      </w:r>
      <w:proofErr w:type="gramStart"/>
      <w:r>
        <w:rPr>
          <w:color w:val="000000" w:themeColor="text1"/>
          <w:shd w:val="clear" w:color="auto" w:fill="FFFFFF"/>
        </w:rPr>
        <w:t>on</w:t>
      </w:r>
      <w:proofErr w:type="gramEnd"/>
      <w:r>
        <w:rPr>
          <w:color w:val="000000" w:themeColor="text1"/>
          <w:shd w:val="clear" w:color="auto" w:fill="FFFFFF"/>
        </w:rPr>
        <w:t xml:space="preserve"> June the transition into a new company called Organon &amp; Co. of different spin-off’s products. The past statements of the brand businesses included in the new company were shown as discontinued operations. The rest of established programs will carry one with their development.</w:t>
      </w:r>
    </w:p>
    <w:p w14:paraId="24CB8BE0" w14:textId="77777777" w:rsidR="00B32B8F" w:rsidRPr="00B32B8F" w:rsidRDefault="00B32B8F" w:rsidP="008432E8">
      <w:pPr>
        <w:shd w:val="clear" w:color="auto" w:fill="FFFFFF"/>
        <w:spacing w:before="180" w:after="180" w:line="360" w:lineRule="auto"/>
        <w:contextualSpacing/>
        <w:jc w:val="both"/>
        <w:rPr>
          <w:color w:val="000000" w:themeColor="text1"/>
          <w:shd w:val="clear" w:color="auto" w:fill="FFFFFF"/>
        </w:rPr>
      </w:pPr>
    </w:p>
    <w:p w14:paraId="33B63261" w14:textId="5C6D4EE3" w:rsidR="00F450CB" w:rsidRPr="00110F8A" w:rsidRDefault="00F450CB" w:rsidP="008432E8">
      <w:pPr>
        <w:shd w:val="clear" w:color="auto" w:fill="FFFFFF"/>
        <w:spacing w:before="180" w:after="180" w:line="360" w:lineRule="auto"/>
        <w:contextualSpacing/>
        <w:jc w:val="both"/>
        <w:rPr>
          <w:b/>
          <w:bCs/>
          <w:color w:val="000000" w:themeColor="text1"/>
          <w:shd w:val="clear" w:color="auto" w:fill="FFFFFF"/>
        </w:rPr>
      </w:pPr>
      <w:r w:rsidRPr="00110F8A">
        <w:rPr>
          <w:b/>
          <w:bCs/>
          <w:color w:val="000000" w:themeColor="text1"/>
          <w:shd w:val="clear" w:color="auto" w:fill="FFFFFF"/>
        </w:rPr>
        <w:t>Other Developments</w:t>
      </w:r>
    </w:p>
    <w:p w14:paraId="522B09E3" w14:textId="5451454E" w:rsidR="000A1143" w:rsidRPr="000A1143" w:rsidRDefault="000A1143"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Ukraine’s war: Introduction of monitoring and extenuation</w:t>
      </w:r>
      <w:r w:rsidR="00B5204E">
        <w:rPr>
          <w:color w:val="000000" w:themeColor="text1"/>
          <w:shd w:val="clear" w:color="auto" w:fill="FFFFFF"/>
        </w:rPr>
        <w:t xml:space="preserve"> of the impact on the supply chain, trials and operations caused by the war. Embracement </w:t>
      </w:r>
      <w:r w:rsidR="00C67358">
        <w:rPr>
          <w:color w:val="000000" w:themeColor="text1"/>
          <w:shd w:val="clear" w:color="auto" w:fill="FFFFFF"/>
        </w:rPr>
        <w:t xml:space="preserve">extra cost of supplying resources in Russia, and to assuage the humanitarian costs in Ukraine which add up to 1% of last year’s consolidated sales. </w:t>
      </w:r>
    </w:p>
    <w:p w14:paraId="71F50852" w14:textId="77777777" w:rsidR="000A1143" w:rsidRPr="000A1143" w:rsidRDefault="000A1143" w:rsidP="008432E8">
      <w:pPr>
        <w:shd w:val="clear" w:color="auto" w:fill="FFFFFF"/>
        <w:spacing w:before="180" w:after="180" w:line="360" w:lineRule="auto"/>
        <w:contextualSpacing/>
        <w:jc w:val="both"/>
        <w:rPr>
          <w:color w:val="000000" w:themeColor="text1"/>
          <w:shd w:val="clear" w:color="auto" w:fill="FFFFFF"/>
        </w:rPr>
      </w:pPr>
    </w:p>
    <w:p w14:paraId="0D44466F" w14:textId="77777777" w:rsidR="000A1143" w:rsidRPr="000A1143" w:rsidRDefault="000A1143" w:rsidP="008432E8">
      <w:pPr>
        <w:shd w:val="clear" w:color="auto" w:fill="FFFFFF"/>
        <w:spacing w:before="180" w:after="180" w:line="360" w:lineRule="auto"/>
        <w:contextualSpacing/>
        <w:jc w:val="both"/>
        <w:rPr>
          <w:color w:val="000000" w:themeColor="text1"/>
          <w:shd w:val="clear" w:color="auto" w:fill="FFFFFF"/>
        </w:rPr>
      </w:pPr>
    </w:p>
    <w:p w14:paraId="5C9D76ED" w14:textId="7D78BCA7" w:rsidR="000A1143" w:rsidRDefault="000A1143"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Covid-19:</w:t>
      </w:r>
      <w:r w:rsidR="00C67358">
        <w:rPr>
          <w:color w:val="000000" w:themeColor="text1"/>
          <w:shd w:val="clear" w:color="auto" w:fill="FFFFFF"/>
        </w:rPr>
        <w:t xml:space="preserve"> Negative repercussion of the </w:t>
      </w:r>
      <w:r w:rsidR="00C67358">
        <w:rPr>
          <w:color w:val="000000" w:themeColor="text1"/>
          <w:shd w:val="clear" w:color="auto" w:fill="FFFFFF"/>
        </w:rPr>
        <w:t>pandemic</w:t>
      </w:r>
      <w:r w:rsidR="00C67358">
        <w:rPr>
          <w:color w:val="000000" w:themeColor="text1"/>
          <w:shd w:val="clear" w:color="auto" w:fill="FFFFFF"/>
        </w:rPr>
        <w:t xml:space="preserve"> on sales in the first quarters of 2022. Discontinuance of the development for covid hospitalized patients. </w:t>
      </w:r>
      <w:r w:rsidR="00110F8A">
        <w:rPr>
          <w:color w:val="000000" w:themeColor="text1"/>
          <w:shd w:val="clear" w:color="auto" w:fill="FFFFFF"/>
        </w:rPr>
        <w:t>Accord to expand manufacturing capacity and supply of covid related vaccines and received $102 million in funding to do so. This transaction was recorded as a reduction of cost of sales.</w:t>
      </w:r>
    </w:p>
    <w:p w14:paraId="73BDB5BE" w14:textId="77777777" w:rsidR="00C67358" w:rsidRPr="000A1143" w:rsidRDefault="00C67358" w:rsidP="008432E8">
      <w:pPr>
        <w:shd w:val="clear" w:color="auto" w:fill="FFFFFF"/>
        <w:spacing w:before="180" w:after="180" w:line="360" w:lineRule="auto"/>
        <w:contextualSpacing/>
        <w:jc w:val="both"/>
        <w:rPr>
          <w:color w:val="000000" w:themeColor="text1"/>
          <w:shd w:val="clear" w:color="auto" w:fill="FFFFFF"/>
        </w:rPr>
      </w:pPr>
    </w:p>
    <w:p w14:paraId="68784BE7" w14:textId="1BEA5D70" w:rsidR="00F450CB" w:rsidRPr="00110F8A" w:rsidRDefault="00F450CB" w:rsidP="008432E8">
      <w:pPr>
        <w:shd w:val="clear" w:color="auto" w:fill="FFFFFF"/>
        <w:spacing w:before="180" w:after="180" w:line="360" w:lineRule="auto"/>
        <w:contextualSpacing/>
        <w:jc w:val="both"/>
        <w:rPr>
          <w:b/>
          <w:bCs/>
          <w:color w:val="000000" w:themeColor="text1"/>
          <w:shd w:val="clear" w:color="auto" w:fill="FFFFFF"/>
        </w:rPr>
      </w:pPr>
      <w:r w:rsidRPr="00110F8A">
        <w:rPr>
          <w:b/>
          <w:bCs/>
          <w:color w:val="000000" w:themeColor="text1"/>
          <w:shd w:val="clear" w:color="auto" w:fill="FFFFFF"/>
        </w:rPr>
        <w:t>Pricing</w:t>
      </w:r>
    </w:p>
    <w:p w14:paraId="090F5474" w14:textId="454B3510" w:rsidR="00110F8A" w:rsidRDefault="00110F8A"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Increased pressure to reduce </w:t>
      </w:r>
      <w:proofErr w:type="gramStart"/>
      <w:r>
        <w:rPr>
          <w:color w:val="000000" w:themeColor="text1"/>
          <w:shd w:val="clear" w:color="auto" w:fill="FFFFFF"/>
        </w:rPr>
        <w:t>prices, and</w:t>
      </w:r>
      <w:proofErr w:type="gramEnd"/>
      <w:r>
        <w:rPr>
          <w:color w:val="000000" w:themeColor="text1"/>
          <w:shd w:val="clear" w:color="auto" w:fill="FFFFFF"/>
        </w:rPr>
        <w:t xml:space="preserve"> talks of new drug regulation by the US congress that will make pharma companies more liable for certain drugs.</w:t>
      </w:r>
    </w:p>
    <w:p w14:paraId="0E1FAA17" w14:textId="77777777" w:rsidR="00110F8A" w:rsidRPr="00110F8A" w:rsidRDefault="00110F8A" w:rsidP="008432E8">
      <w:pPr>
        <w:shd w:val="clear" w:color="auto" w:fill="FFFFFF"/>
        <w:spacing w:before="180" w:after="180" w:line="360" w:lineRule="auto"/>
        <w:contextualSpacing/>
        <w:jc w:val="both"/>
        <w:rPr>
          <w:color w:val="000000" w:themeColor="text1"/>
          <w:shd w:val="clear" w:color="auto" w:fill="FFFFFF"/>
        </w:rPr>
      </w:pPr>
    </w:p>
    <w:p w14:paraId="0A7918B9" w14:textId="2C27938C" w:rsidR="00F450CB" w:rsidRPr="00110F8A" w:rsidRDefault="00F450CB" w:rsidP="008432E8">
      <w:pPr>
        <w:shd w:val="clear" w:color="auto" w:fill="FFFFFF"/>
        <w:spacing w:before="180" w:after="180" w:line="360" w:lineRule="auto"/>
        <w:contextualSpacing/>
        <w:jc w:val="both"/>
        <w:rPr>
          <w:b/>
          <w:bCs/>
          <w:color w:val="000000" w:themeColor="text1"/>
          <w:shd w:val="clear" w:color="auto" w:fill="FFFFFF"/>
        </w:rPr>
      </w:pPr>
      <w:r w:rsidRPr="00110F8A">
        <w:rPr>
          <w:b/>
          <w:bCs/>
          <w:color w:val="000000" w:themeColor="text1"/>
          <w:shd w:val="clear" w:color="auto" w:fill="FFFFFF"/>
        </w:rPr>
        <w:t>Supply Chain</w:t>
      </w:r>
    </w:p>
    <w:p w14:paraId="05543E8D" w14:textId="17A8CB3E" w:rsidR="00110F8A" w:rsidRDefault="00110F8A"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Turmoil on the global supply chain due to macroeconomic events.</w:t>
      </w:r>
    </w:p>
    <w:p w14:paraId="260B83D7" w14:textId="77777777" w:rsidR="00110F8A" w:rsidRPr="00110F8A" w:rsidRDefault="00110F8A" w:rsidP="008432E8">
      <w:pPr>
        <w:shd w:val="clear" w:color="auto" w:fill="FFFFFF"/>
        <w:spacing w:before="180" w:after="180" w:line="360" w:lineRule="auto"/>
        <w:contextualSpacing/>
        <w:jc w:val="both"/>
        <w:rPr>
          <w:color w:val="000000" w:themeColor="text1"/>
          <w:shd w:val="clear" w:color="auto" w:fill="FFFFFF"/>
        </w:rPr>
      </w:pPr>
    </w:p>
    <w:p w14:paraId="698991BA" w14:textId="0BF04ECA" w:rsidR="00F450CB" w:rsidRPr="00110F8A" w:rsidRDefault="00F450CB" w:rsidP="008432E8">
      <w:pPr>
        <w:shd w:val="clear" w:color="auto" w:fill="FFFFFF"/>
        <w:spacing w:before="180" w:after="180" w:line="360" w:lineRule="auto"/>
        <w:contextualSpacing/>
        <w:jc w:val="both"/>
        <w:rPr>
          <w:b/>
          <w:bCs/>
          <w:color w:val="000000" w:themeColor="text1"/>
          <w:shd w:val="clear" w:color="auto" w:fill="FFFFFF"/>
        </w:rPr>
      </w:pPr>
      <w:r w:rsidRPr="00110F8A">
        <w:rPr>
          <w:b/>
          <w:bCs/>
          <w:color w:val="000000" w:themeColor="text1"/>
          <w:shd w:val="clear" w:color="auto" w:fill="FFFFFF"/>
        </w:rPr>
        <w:t>Operating Results</w:t>
      </w:r>
    </w:p>
    <w:p w14:paraId="1D0B4B44" w14:textId="4F10776A" w:rsidR="00110F8A" w:rsidRDefault="00110F8A" w:rsidP="008432E8">
      <w:pPr>
        <w:shd w:val="clear" w:color="auto" w:fill="FFFFFF"/>
        <w:spacing w:before="180" w:after="180" w:line="360" w:lineRule="auto"/>
        <w:contextualSpacing/>
        <w:jc w:val="both"/>
        <w:rPr>
          <w:color w:val="000000" w:themeColor="text1"/>
          <w:u w:val="single"/>
          <w:shd w:val="clear" w:color="auto" w:fill="FFFFFF"/>
        </w:rPr>
      </w:pPr>
      <w:r w:rsidRPr="00110F8A">
        <w:rPr>
          <w:color w:val="000000" w:themeColor="text1"/>
          <w:u w:val="single"/>
          <w:shd w:val="clear" w:color="auto" w:fill="FFFFFF"/>
        </w:rPr>
        <w:t>Sales</w:t>
      </w:r>
    </w:p>
    <w:p w14:paraId="5D6090AF" w14:textId="77777777" w:rsidR="00E228CC" w:rsidRDefault="00E228CC"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Sales increased in a rate of 24% in the 3</w:t>
      </w:r>
      <w:r w:rsidRPr="00E228CC">
        <w:rPr>
          <w:color w:val="000000" w:themeColor="text1"/>
          <w:shd w:val="clear" w:color="auto" w:fill="FFFFFF"/>
          <w:vertAlign w:val="superscript"/>
        </w:rPr>
        <w:t>rd</w:t>
      </w:r>
      <w:r>
        <w:rPr>
          <w:color w:val="000000" w:themeColor="text1"/>
          <w:shd w:val="clear" w:color="auto" w:fill="FFFFFF"/>
        </w:rPr>
        <w:t xml:space="preserve"> quarter of 2022 and </w:t>
      </w:r>
      <w:proofErr w:type="gramStart"/>
      <w:r>
        <w:rPr>
          <w:color w:val="000000" w:themeColor="text1"/>
          <w:shd w:val="clear" w:color="auto" w:fill="FFFFFF"/>
        </w:rPr>
        <w:t>overall</w:t>
      </w:r>
      <w:proofErr w:type="gramEnd"/>
      <w:r>
        <w:rPr>
          <w:color w:val="000000" w:themeColor="text1"/>
          <w:shd w:val="clear" w:color="auto" w:fill="FFFFFF"/>
        </w:rPr>
        <w:t xml:space="preserve"> the rise was of 29%</w:t>
      </w:r>
      <w:r>
        <w:rPr>
          <w:color w:val="000000" w:themeColor="text1"/>
          <w:shd w:val="clear" w:color="auto" w:fill="FFFFFF"/>
        </w:rPr>
        <w:t xml:space="preserve">, driven by oncology virology sales as well as results of vaccinations. </w:t>
      </w:r>
    </w:p>
    <w:p w14:paraId="52163619" w14:textId="62320F49" w:rsidR="00E228CC" w:rsidRDefault="00E228CC"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Negative repercussions of covid-19 but lesser than the previous year which lead to a rise in the year-to-year growth of sales.</w:t>
      </w:r>
    </w:p>
    <w:p w14:paraId="35813BC9" w14:textId="29C34963" w:rsidR="00406933" w:rsidRDefault="00406933" w:rsidP="008432E8">
      <w:pPr>
        <w:shd w:val="clear" w:color="auto" w:fill="FFFFFF"/>
        <w:spacing w:before="180" w:after="180" w:line="360" w:lineRule="auto"/>
        <w:contextualSpacing/>
        <w:jc w:val="both"/>
        <w:rPr>
          <w:color w:val="000000" w:themeColor="text1"/>
          <w:shd w:val="clear" w:color="auto" w:fill="FFFFFF"/>
        </w:rPr>
      </w:pPr>
    </w:p>
    <w:p w14:paraId="43E32080" w14:textId="13079E83" w:rsidR="00576013" w:rsidRPr="00576013" w:rsidRDefault="00576013" w:rsidP="008432E8">
      <w:pPr>
        <w:shd w:val="clear" w:color="auto" w:fill="FFFFFF"/>
        <w:spacing w:before="180" w:after="180" w:line="360" w:lineRule="auto"/>
        <w:contextualSpacing/>
        <w:jc w:val="both"/>
        <w:rPr>
          <w:color w:val="000000" w:themeColor="text1"/>
          <w:u w:val="single"/>
          <w:shd w:val="clear" w:color="auto" w:fill="FFFFFF"/>
        </w:rPr>
      </w:pPr>
      <w:r w:rsidRPr="00110F8A">
        <w:rPr>
          <w:color w:val="000000" w:themeColor="text1"/>
          <w:u w:val="single"/>
          <w:shd w:val="clear" w:color="auto" w:fill="FFFFFF"/>
        </w:rPr>
        <w:t>Pharmaceutical</w:t>
      </w:r>
      <w:r>
        <w:rPr>
          <w:color w:val="000000" w:themeColor="text1"/>
          <w:u w:val="single"/>
          <w:shd w:val="clear" w:color="auto" w:fill="FFFFFF"/>
        </w:rPr>
        <w:t xml:space="preserve"> Segment</w:t>
      </w:r>
    </w:p>
    <w:p w14:paraId="45C2086E" w14:textId="1EAF604E" w:rsidR="00110F8A" w:rsidRDefault="00E228CC"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The approval of a therapy for specific cancer patients also had a positive on sales, having an overall growth of 20% just in the last quarter. Approval of other drugs that also contributed to revenue but in a higher developed stage. Expansion of products in other regions around the globe and increase of sales on the international market. </w:t>
      </w:r>
    </w:p>
    <w:p w14:paraId="490E4443" w14:textId="3B5C6240" w:rsidR="00E228CC" w:rsidRPr="00110F8A" w:rsidRDefault="00E228CC"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FDA final approval of </w:t>
      </w:r>
      <w:proofErr w:type="gramStart"/>
      <w:r>
        <w:rPr>
          <w:color w:val="000000" w:themeColor="text1"/>
          <w:shd w:val="clear" w:color="auto" w:fill="FFFFFF"/>
        </w:rPr>
        <w:t>kids</w:t>
      </w:r>
      <w:proofErr w:type="gramEnd"/>
      <w:r>
        <w:rPr>
          <w:color w:val="000000" w:themeColor="text1"/>
          <w:shd w:val="clear" w:color="auto" w:fill="FFFFFF"/>
        </w:rPr>
        <w:t xml:space="preserve"> vaccine in June that later in October lead to an</w:t>
      </w:r>
      <w:r w:rsidR="00406933">
        <w:rPr>
          <w:color w:val="000000" w:themeColor="text1"/>
          <w:shd w:val="clear" w:color="auto" w:fill="FFFFFF"/>
        </w:rPr>
        <w:t xml:space="preserve"> endorsement for</w:t>
      </w:r>
      <w:r>
        <w:rPr>
          <w:color w:val="000000" w:themeColor="text1"/>
          <w:shd w:val="clear" w:color="auto" w:fill="FFFFFF"/>
        </w:rPr>
        <w:t xml:space="preserve"> </w:t>
      </w:r>
      <w:r w:rsidR="00406933">
        <w:rPr>
          <w:color w:val="000000" w:themeColor="text1"/>
          <w:shd w:val="clear" w:color="auto" w:fill="FFFFFF"/>
        </w:rPr>
        <w:t xml:space="preserve">an </w:t>
      </w:r>
      <w:r>
        <w:rPr>
          <w:color w:val="000000" w:themeColor="text1"/>
          <w:shd w:val="clear" w:color="auto" w:fill="FFFFFF"/>
        </w:rPr>
        <w:t xml:space="preserve">expansion </w:t>
      </w:r>
      <w:r w:rsidR="00406933">
        <w:rPr>
          <w:color w:val="000000" w:themeColor="text1"/>
          <w:shd w:val="clear" w:color="auto" w:fill="FFFFFF"/>
        </w:rPr>
        <w:t>of set vaccine.</w:t>
      </w:r>
    </w:p>
    <w:p w14:paraId="4DD9C5D3" w14:textId="39DF66CF" w:rsidR="00110F8A" w:rsidRDefault="00110F8A" w:rsidP="008432E8">
      <w:pPr>
        <w:shd w:val="clear" w:color="auto" w:fill="FFFFFF"/>
        <w:spacing w:before="180" w:after="180" w:line="360" w:lineRule="auto"/>
        <w:contextualSpacing/>
        <w:jc w:val="both"/>
        <w:rPr>
          <w:color w:val="000000" w:themeColor="text1"/>
          <w:shd w:val="clear" w:color="auto" w:fill="FFFFFF"/>
        </w:rPr>
      </w:pPr>
    </w:p>
    <w:p w14:paraId="4A77F667" w14:textId="4CC3CC4E" w:rsidR="00406933" w:rsidRDefault="00406933"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In the hospital acute care area, the sales for a drug used for surgical procedures rose 15% in the current quarter in the US as well as globally. On the other hand, Merck suspended the sales of a drug due to it causing long-term health issues.</w:t>
      </w:r>
    </w:p>
    <w:p w14:paraId="0E81B204" w14:textId="20970997" w:rsidR="00406933" w:rsidRDefault="00406933" w:rsidP="008432E8">
      <w:pPr>
        <w:shd w:val="clear" w:color="auto" w:fill="FFFFFF"/>
        <w:spacing w:before="180" w:after="180" w:line="360" w:lineRule="auto"/>
        <w:contextualSpacing/>
        <w:jc w:val="both"/>
        <w:rPr>
          <w:color w:val="000000" w:themeColor="text1"/>
          <w:shd w:val="clear" w:color="auto" w:fill="FFFFFF"/>
        </w:rPr>
      </w:pPr>
    </w:p>
    <w:p w14:paraId="5D5799EE" w14:textId="4E75A6ED" w:rsidR="00406933" w:rsidRDefault="00406933"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Getting to specialized products, a cardiovascular drug shared with Bayer was authorized for a new treatment however this caused a reduction in revenue of 12% this last quarter due to the previous arrangement with the consort company but all over ended up causing an increase in 2022.</w:t>
      </w:r>
    </w:p>
    <w:p w14:paraId="467647FD" w14:textId="2E7DD477" w:rsidR="00406933" w:rsidRDefault="008A335C"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The virology drugs also experienced a boom of authorizations around the world which turned up to result in a huge increase on sales on Australia as well as certain Asian countries. The predicted sales of this drug for the hole 2022 year are amongst $5 and $5.5 billion. The company expects another virological drug to put pressure on the market in the following periods despite having a negative return so far.</w:t>
      </w:r>
    </w:p>
    <w:p w14:paraId="48531E8C" w14:textId="398B448E" w:rsidR="008A335C" w:rsidRDefault="008A335C"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Finally for diabetes, sales declined around 15% this past quarter, with that decrease in demand being not only in the US but also in some European and Asian countries. This was compensated by an increase in the other regions of the world. Merck expects the competitive advantage of American pricing to push around sales in the following years. After the boom in China, the company lost the patent rights of two drugs to treat diabetes in that country and later on September they also lost the privileges in EU. Although the patent is currently still standing in the US, it is sat to expire in the first quarter of 2023. Merck is currently in court to try to appeal for a</w:t>
      </w:r>
      <w:r w:rsidR="00576013">
        <w:rPr>
          <w:color w:val="000000" w:themeColor="text1"/>
          <w:shd w:val="clear" w:color="auto" w:fill="FFFFFF"/>
        </w:rPr>
        <w:t>n extension to that patent. The sales caused by the inclusivity of this drugs depicted 10% of sales in China, 21 in EU and 34% in the United States in the first three quarters of this year.</w:t>
      </w:r>
    </w:p>
    <w:p w14:paraId="7C69463B" w14:textId="6DB847E2" w:rsidR="00406933" w:rsidRDefault="00406933" w:rsidP="008432E8">
      <w:pPr>
        <w:shd w:val="clear" w:color="auto" w:fill="FFFFFF"/>
        <w:spacing w:before="180" w:after="180" w:line="360" w:lineRule="auto"/>
        <w:contextualSpacing/>
        <w:jc w:val="both"/>
        <w:rPr>
          <w:color w:val="000000" w:themeColor="text1"/>
          <w:shd w:val="clear" w:color="auto" w:fill="FFFFFF"/>
        </w:rPr>
      </w:pPr>
    </w:p>
    <w:p w14:paraId="2CDF048D" w14:textId="1624E512" w:rsidR="00110F8A" w:rsidRPr="00110F8A" w:rsidRDefault="00110F8A" w:rsidP="008432E8">
      <w:pPr>
        <w:shd w:val="clear" w:color="auto" w:fill="FFFFFF"/>
        <w:spacing w:before="180" w:after="180" w:line="360" w:lineRule="auto"/>
        <w:contextualSpacing/>
        <w:jc w:val="both"/>
        <w:rPr>
          <w:color w:val="000000" w:themeColor="text1"/>
          <w:u w:val="single"/>
          <w:shd w:val="clear" w:color="auto" w:fill="FFFFFF"/>
        </w:rPr>
      </w:pPr>
      <w:r w:rsidRPr="00110F8A">
        <w:rPr>
          <w:color w:val="000000" w:themeColor="text1"/>
          <w:u w:val="single"/>
          <w:shd w:val="clear" w:color="auto" w:fill="FFFFFF"/>
        </w:rPr>
        <w:t>Animal Health</w:t>
      </w:r>
    </w:p>
    <w:p w14:paraId="3348E3FB" w14:textId="431A27E4" w:rsidR="001703FA" w:rsidRDefault="00576013"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Sale of products related to animal health experimented a downturn of 4% in the 3</w:t>
      </w:r>
      <w:r w:rsidRPr="00576013">
        <w:rPr>
          <w:color w:val="000000" w:themeColor="text1"/>
          <w:shd w:val="clear" w:color="auto" w:fill="FFFFFF"/>
          <w:vertAlign w:val="superscript"/>
        </w:rPr>
        <w:t>rd</w:t>
      </w:r>
      <w:r>
        <w:rPr>
          <w:color w:val="000000" w:themeColor="text1"/>
          <w:shd w:val="clear" w:color="auto" w:fill="FFFFFF"/>
        </w:rPr>
        <w:t xml:space="preserve"> quarter.</w:t>
      </w:r>
      <w:r w:rsidR="001703FA">
        <w:rPr>
          <w:color w:val="000000" w:themeColor="text1"/>
          <w:shd w:val="clear" w:color="auto" w:fill="FFFFFF"/>
        </w:rPr>
        <w:t xml:space="preserve"> </w:t>
      </w:r>
    </w:p>
    <w:p w14:paraId="679113DF" w14:textId="33978EA9" w:rsidR="001703FA" w:rsidRPr="00110F8A" w:rsidRDefault="001703FA"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Due to the macroeconomic effects the foreign exchange rate had a negative effect that was not taken into account in </w:t>
      </w:r>
      <w:proofErr w:type="gramStart"/>
      <w:r>
        <w:rPr>
          <w:color w:val="000000" w:themeColor="text1"/>
          <w:shd w:val="clear" w:color="auto" w:fill="FFFFFF"/>
        </w:rPr>
        <w:t>this results</w:t>
      </w:r>
      <w:proofErr w:type="gramEnd"/>
      <w:r>
        <w:rPr>
          <w:color w:val="000000" w:themeColor="text1"/>
          <w:shd w:val="clear" w:color="auto" w:fill="FFFFFF"/>
        </w:rPr>
        <w:t>.</w:t>
      </w:r>
    </w:p>
    <w:p w14:paraId="09D02D7B" w14:textId="77777777" w:rsidR="00110F8A" w:rsidRPr="00110F8A" w:rsidRDefault="00110F8A" w:rsidP="008432E8">
      <w:pPr>
        <w:shd w:val="clear" w:color="auto" w:fill="FFFFFF"/>
        <w:spacing w:before="180" w:after="180" w:line="360" w:lineRule="auto"/>
        <w:contextualSpacing/>
        <w:jc w:val="both"/>
        <w:rPr>
          <w:color w:val="000000" w:themeColor="text1"/>
          <w:shd w:val="clear" w:color="auto" w:fill="FFFFFF"/>
        </w:rPr>
      </w:pPr>
    </w:p>
    <w:p w14:paraId="4658A347" w14:textId="539EAFEE" w:rsidR="00110F8A" w:rsidRPr="00110F8A" w:rsidRDefault="00110F8A" w:rsidP="008432E8">
      <w:pPr>
        <w:shd w:val="clear" w:color="auto" w:fill="FFFFFF"/>
        <w:spacing w:before="180" w:after="180" w:line="360" w:lineRule="auto"/>
        <w:contextualSpacing/>
        <w:jc w:val="both"/>
        <w:rPr>
          <w:color w:val="000000" w:themeColor="text1"/>
          <w:u w:val="single"/>
          <w:shd w:val="clear" w:color="auto" w:fill="FFFFFF"/>
        </w:rPr>
      </w:pPr>
      <w:r w:rsidRPr="00110F8A">
        <w:rPr>
          <w:color w:val="000000" w:themeColor="text1"/>
          <w:u w:val="single"/>
          <w:shd w:val="clear" w:color="auto" w:fill="FFFFFF"/>
        </w:rPr>
        <w:t>Costs, expenses and other</w:t>
      </w:r>
    </w:p>
    <w:p w14:paraId="0794B837" w14:textId="77777777" w:rsidR="000948FB" w:rsidRDefault="00110F8A"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Cost of sales:</w:t>
      </w:r>
      <w:r w:rsidR="001703FA">
        <w:rPr>
          <w:color w:val="000000" w:themeColor="text1"/>
          <w:shd w:val="clear" w:color="auto" w:fill="FFFFFF"/>
        </w:rPr>
        <w:t xml:space="preserve"> </w:t>
      </w:r>
    </w:p>
    <w:p w14:paraId="3DE3A4B3" w14:textId="3FFDD302" w:rsidR="00110F8A" w:rsidRDefault="001703FA"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Increment of 14% in the last quarter and 39% overall in 2022. Amortization is present in the recorded costs as well as costs for restructure and dismantlement of covid related programs.</w:t>
      </w:r>
    </w:p>
    <w:p w14:paraId="104820F8" w14:textId="314DEB1A" w:rsidR="00110F8A" w:rsidRDefault="001703FA"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Gross margin had a value of 73.7% and was slightly lower when compared to the previous year. This is mainly due to </w:t>
      </w:r>
      <w:proofErr w:type="gramStart"/>
      <w:r>
        <w:rPr>
          <w:color w:val="000000" w:themeColor="text1"/>
          <w:shd w:val="clear" w:color="auto" w:fill="FFFFFF"/>
        </w:rPr>
        <w:t>the a</w:t>
      </w:r>
      <w:proofErr w:type="gramEnd"/>
      <w:r>
        <w:rPr>
          <w:color w:val="000000" w:themeColor="text1"/>
          <w:shd w:val="clear" w:color="auto" w:fill="FFFFFF"/>
        </w:rPr>
        <w:t xml:space="preserve"> low gross margin drug that accounted for a high revenue percentage and the increase of intangible’s assets amortization.</w:t>
      </w:r>
    </w:p>
    <w:p w14:paraId="7B130C7B" w14:textId="77777777" w:rsidR="00110F8A" w:rsidRDefault="00110F8A" w:rsidP="008432E8">
      <w:pPr>
        <w:shd w:val="clear" w:color="auto" w:fill="FFFFFF"/>
        <w:spacing w:before="180" w:after="180" w:line="360" w:lineRule="auto"/>
        <w:contextualSpacing/>
        <w:jc w:val="both"/>
        <w:rPr>
          <w:color w:val="000000" w:themeColor="text1"/>
          <w:shd w:val="clear" w:color="auto" w:fill="FFFFFF"/>
        </w:rPr>
      </w:pPr>
    </w:p>
    <w:p w14:paraId="4EB054C9" w14:textId="3793A12D" w:rsidR="00110F8A" w:rsidRDefault="00110F8A"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Selling, General and Administrative:</w:t>
      </w:r>
      <w:r w:rsidR="001703FA">
        <w:rPr>
          <w:color w:val="000000" w:themeColor="text1"/>
          <w:shd w:val="clear" w:color="auto" w:fill="FFFFFF"/>
        </w:rPr>
        <w:t xml:space="preserve"> SG&amp;A costs augmented 8% as a result of an escalation of administrative costs.</w:t>
      </w:r>
    </w:p>
    <w:p w14:paraId="45C11802" w14:textId="77777777" w:rsidR="00110F8A" w:rsidRDefault="00110F8A" w:rsidP="008432E8">
      <w:pPr>
        <w:shd w:val="clear" w:color="auto" w:fill="FFFFFF"/>
        <w:spacing w:before="180" w:after="180" w:line="360" w:lineRule="auto"/>
        <w:contextualSpacing/>
        <w:jc w:val="both"/>
        <w:rPr>
          <w:color w:val="000000" w:themeColor="text1"/>
          <w:shd w:val="clear" w:color="auto" w:fill="FFFFFF"/>
        </w:rPr>
      </w:pPr>
    </w:p>
    <w:p w14:paraId="15391DE3" w14:textId="77777777" w:rsidR="000948FB" w:rsidRDefault="00110F8A"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Research and Development:</w:t>
      </w:r>
      <w:r w:rsidR="00746D6D">
        <w:rPr>
          <w:color w:val="000000" w:themeColor="text1"/>
          <w:shd w:val="clear" w:color="auto" w:fill="FFFFFF"/>
        </w:rPr>
        <w:t xml:space="preserve"> </w:t>
      </w:r>
    </w:p>
    <w:p w14:paraId="403E2CCB" w14:textId="6F6BCA34" w:rsidR="00110F8A" w:rsidRDefault="000948FB"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R&amp;D rose to double in this quarter, primarily because of impairment and higher charges. The R&amp;D encompass all different areas of the company as well as other expenses caused during the process.</w:t>
      </w:r>
    </w:p>
    <w:p w14:paraId="625EF9FD" w14:textId="77777777" w:rsidR="00110F8A" w:rsidRDefault="00110F8A" w:rsidP="008432E8">
      <w:pPr>
        <w:shd w:val="clear" w:color="auto" w:fill="FFFFFF"/>
        <w:spacing w:before="180" w:after="180" w:line="360" w:lineRule="auto"/>
        <w:contextualSpacing/>
        <w:jc w:val="both"/>
        <w:rPr>
          <w:color w:val="000000" w:themeColor="text1"/>
          <w:shd w:val="clear" w:color="auto" w:fill="FFFFFF"/>
        </w:rPr>
      </w:pPr>
    </w:p>
    <w:p w14:paraId="6115B4E9" w14:textId="77777777" w:rsidR="000948FB" w:rsidRDefault="00110F8A"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Restructuring Costs:</w:t>
      </w:r>
      <w:r w:rsidR="000948FB">
        <w:rPr>
          <w:color w:val="000000" w:themeColor="text1"/>
          <w:shd w:val="clear" w:color="auto" w:fill="FFFFFF"/>
        </w:rPr>
        <w:t xml:space="preserve"> </w:t>
      </w:r>
    </w:p>
    <w:p w14:paraId="1330C011" w14:textId="4B3C3DA5" w:rsidR="00110F8A" w:rsidRDefault="000948FB"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The company passed a restructuring program in 2019 to optimize manufacturing, supply, and cost of facilities. Such costs are set to be expended in 2023 and only reflected now with the pretax costs that amount to more a less $3.5 billion in the lifespan of the program and of $600 million in 2022. The restructuring program expects to reduce costs by $900 million in 2023.</w:t>
      </w:r>
    </w:p>
    <w:p w14:paraId="03668BF4" w14:textId="77777777" w:rsidR="00110F8A" w:rsidRDefault="00110F8A" w:rsidP="008432E8">
      <w:pPr>
        <w:shd w:val="clear" w:color="auto" w:fill="FFFFFF"/>
        <w:spacing w:before="180" w:after="180" w:line="360" w:lineRule="auto"/>
        <w:contextualSpacing/>
        <w:jc w:val="both"/>
        <w:rPr>
          <w:color w:val="000000" w:themeColor="text1"/>
          <w:shd w:val="clear" w:color="auto" w:fill="FFFFFF"/>
        </w:rPr>
      </w:pPr>
    </w:p>
    <w:p w14:paraId="2B06607A" w14:textId="24ADF0DB" w:rsidR="00110F8A" w:rsidRDefault="00110F8A"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Other (Income) Expense, Net:</w:t>
      </w:r>
      <w:r w:rsidR="000948FB">
        <w:rPr>
          <w:color w:val="000000" w:themeColor="text1"/>
          <w:shd w:val="clear" w:color="auto" w:fill="FFFFFF"/>
        </w:rPr>
        <w:t xml:space="preserve"> </w:t>
      </w:r>
    </w:p>
    <w:p w14:paraId="3149F0D4" w14:textId="76121D42" w:rsidR="00110F8A" w:rsidRDefault="000948FB"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Other (income) expense, net consisted of $429 million this quarter which represents a small reduction of the expense when comparing it to the past year. This can be explained by unrealized losses </w:t>
      </w:r>
      <w:r w:rsidR="00773AC0">
        <w:rPr>
          <w:color w:val="000000" w:themeColor="text1"/>
          <w:shd w:val="clear" w:color="auto" w:fill="FFFFFF"/>
        </w:rPr>
        <w:t xml:space="preserve">as to net gains </w:t>
      </w:r>
      <w:r w:rsidR="00773AC0">
        <w:rPr>
          <w:color w:val="000000" w:themeColor="text1"/>
          <w:shd w:val="clear" w:color="auto" w:fill="FFFFFF"/>
        </w:rPr>
        <w:t>from investments in equity securities</w:t>
      </w:r>
      <w:r w:rsidR="00773AC0">
        <w:rPr>
          <w:color w:val="000000" w:themeColor="text1"/>
          <w:shd w:val="clear" w:color="auto" w:fill="FFFFFF"/>
        </w:rPr>
        <w:t>.</w:t>
      </w:r>
    </w:p>
    <w:p w14:paraId="229BFF63" w14:textId="77777777" w:rsidR="000948FB" w:rsidRDefault="000948FB" w:rsidP="008432E8">
      <w:pPr>
        <w:shd w:val="clear" w:color="auto" w:fill="FFFFFF"/>
        <w:spacing w:before="180" w:after="180" w:line="360" w:lineRule="auto"/>
        <w:contextualSpacing/>
        <w:jc w:val="both"/>
        <w:rPr>
          <w:color w:val="000000" w:themeColor="text1"/>
          <w:shd w:val="clear" w:color="auto" w:fill="FFFFFF"/>
        </w:rPr>
      </w:pPr>
    </w:p>
    <w:p w14:paraId="6E7FADFE" w14:textId="4192E1A9" w:rsidR="00110F8A" w:rsidRPr="000948FB" w:rsidRDefault="00F450CB" w:rsidP="008432E8">
      <w:pPr>
        <w:shd w:val="clear" w:color="auto" w:fill="FFFFFF"/>
        <w:spacing w:before="180" w:after="180" w:line="360" w:lineRule="auto"/>
        <w:contextualSpacing/>
        <w:jc w:val="both"/>
        <w:rPr>
          <w:color w:val="000000" w:themeColor="text1"/>
          <w:u w:val="single"/>
          <w:shd w:val="clear" w:color="auto" w:fill="FFFFFF"/>
        </w:rPr>
      </w:pPr>
      <w:r w:rsidRPr="000948FB">
        <w:rPr>
          <w:color w:val="000000" w:themeColor="text1"/>
          <w:u w:val="single"/>
          <w:shd w:val="clear" w:color="auto" w:fill="FFFFFF"/>
        </w:rPr>
        <w:t>Segment Profits</w:t>
      </w:r>
    </w:p>
    <w:p w14:paraId="69C97C89" w14:textId="74667F02" w:rsidR="001230FA" w:rsidRDefault="001230FA"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Profits for the pharmaceutical segment</w:t>
      </w:r>
      <w:r w:rsidR="00ED3424">
        <w:rPr>
          <w:color w:val="000000" w:themeColor="text1"/>
          <w:shd w:val="clear" w:color="auto" w:fill="FFFFFF"/>
        </w:rPr>
        <w:t xml:space="preserve"> embody segment sales minus standard costs and s</w:t>
      </w:r>
      <w:r w:rsidR="00ED3424">
        <w:rPr>
          <w:color w:val="000000" w:themeColor="text1"/>
          <w:shd w:val="clear" w:color="auto" w:fill="FFFFFF"/>
        </w:rPr>
        <w:t xml:space="preserve">elling, </w:t>
      </w:r>
      <w:r w:rsidR="00ED3424">
        <w:rPr>
          <w:color w:val="000000" w:themeColor="text1"/>
          <w:shd w:val="clear" w:color="auto" w:fill="FFFFFF"/>
        </w:rPr>
        <w:t>g</w:t>
      </w:r>
      <w:r w:rsidR="00ED3424">
        <w:rPr>
          <w:color w:val="000000" w:themeColor="text1"/>
          <w:shd w:val="clear" w:color="auto" w:fill="FFFFFF"/>
        </w:rPr>
        <w:t xml:space="preserve">eneral and </w:t>
      </w:r>
      <w:r w:rsidR="00ED3424">
        <w:rPr>
          <w:color w:val="000000" w:themeColor="text1"/>
          <w:shd w:val="clear" w:color="auto" w:fill="FFFFFF"/>
        </w:rPr>
        <w:t>a</w:t>
      </w:r>
      <w:r w:rsidR="00ED3424">
        <w:rPr>
          <w:color w:val="000000" w:themeColor="text1"/>
          <w:shd w:val="clear" w:color="auto" w:fill="FFFFFF"/>
        </w:rPr>
        <w:t>dministrative</w:t>
      </w:r>
      <w:r w:rsidR="00ED3424">
        <w:rPr>
          <w:color w:val="000000" w:themeColor="text1"/>
          <w:shd w:val="clear" w:color="auto" w:fill="FFFFFF"/>
        </w:rPr>
        <w:t xml:space="preserve"> expenses that aroused by the segment.</w:t>
      </w:r>
      <w:r>
        <w:rPr>
          <w:color w:val="000000" w:themeColor="text1"/>
          <w:shd w:val="clear" w:color="auto" w:fill="FFFFFF"/>
        </w:rPr>
        <w:t xml:space="preserve"> Such profits augmented this quarter in 11% which leads to assume higher sales, higher </w:t>
      </w:r>
      <w:proofErr w:type="gramStart"/>
      <w:r>
        <w:rPr>
          <w:color w:val="000000" w:themeColor="text1"/>
          <w:shd w:val="clear" w:color="auto" w:fill="FFFFFF"/>
        </w:rPr>
        <w:t>costs</w:t>
      </w:r>
      <w:proofErr w:type="gramEnd"/>
      <w:r>
        <w:rPr>
          <w:color w:val="000000" w:themeColor="text1"/>
          <w:shd w:val="clear" w:color="auto" w:fill="FFFFFF"/>
        </w:rPr>
        <w:t xml:space="preserve"> and unfavorable consequences of the foreign exchange rate.</w:t>
      </w:r>
    </w:p>
    <w:p w14:paraId="1B2371E1" w14:textId="77777777" w:rsidR="001230FA" w:rsidRDefault="001230FA" w:rsidP="008432E8">
      <w:pPr>
        <w:shd w:val="clear" w:color="auto" w:fill="FFFFFF"/>
        <w:spacing w:before="180" w:after="180" w:line="360" w:lineRule="auto"/>
        <w:contextualSpacing/>
        <w:jc w:val="both"/>
        <w:rPr>
          <w:color w:val="000000" w:themeColor="text1"/>
          <w:shd w:val="clear" w:color="auto" w:fill="FFFFFF"/>
        </w:rPr>
      </w:pPr>
    </w:p>
    <w:p w14:paraId="666ACD01" w14:textId="3FC60341" w:rsidR="001230FA" w:rsidRDefault="001230FA"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In contrast profits for the Animal Health segment also reflect R&amp;D expenses in addition to the other costs incurred in the pharma segment. The profits rose 2% in the last quarter due to a favorable product mix.</w:t>
      </w:r>
    </w:p>
    <w:p w14:paraId="270F903D" w14:textId="2A77B4AC" w:rsidR="000948FB" w:rsidRDefault="000948FB" w:rsidP="008432E8">
      <w:pPr>
        <w:shd w:val="clear" w:color="auto" w:fill="FFFFFF"/>
        <w:spacing w:before="180" w:after="180" w:line="360" w:lineRule="auto"/>
        <w:contextualSpacing/>
        <w:jc w:val="both"/>
        <w:rPr>
          <w:color w:val="000000" w:themeColor="text1"/>
          <w:shd w:val="clear" w:color="auto" w:fill="FFFFFF"/>
        </w:rPr>
      </w:pPr>
    </w:p>
    <w:p w14:paraId="4D5AFF14" w14:textId="36F87EE1" w:rsidR="001230FA" w:rsidRDefault="001230FA" w:rsidP="008432E8">
      <w:pPr>
        <w:shd w:val="clear" w:color="auto" w:fill="FFFFFF"/>
        <w:spacing w:before="180" w:after="180" w:line="360" w:lineRule="auto"/>
        <w:contextualSpacing/>
        <w:jc w:val="both"/>
        <w:rPr>
          <w:color w:val="000000" w:themeColor="text1"/>
          <w:shd w:val="clear" w:color="auto" w:fill="FFFFFF"/>
        </w:rPr>
      </w:pPr>
    </w:p>
    <w:p w14:paraId="762844B1" w14:textId="77777777" w:rsidR="001230FA" w:rsidRDefault="001230FA" w:rsidP="008432E8">
      <w:pPr>
        <w:shd w:val="clear" w:color="auto" w:fill="FFFFFF"/>
        <w:spacing w:before="180" w:after="180" w:line="360" w:lineRule="auto"/>
        <w:contextualSpacing/>
        <w:jc w:val="both"/>
        <w:rPr>
          <w:color w:val="000000" w:themeColor="text1"/>
          <w:shd w:val="clear" w:color="auto" w:fill="FFFFFF"/>
        </w:rPr>
      </w:pPr>
    </w:p>
    <w:p w14:paraId="72BB9528" w14:textId="669A1E8C" w:rsidR="00110F8A" w:rsidRPr="000948FB" w:rsidRDefault="00F450CB" w:rsidP="008432E8">
      <w:pPr>
        <w:shd w:val="clear" w:color="auto" w:fill="FFFFFF"/>
        <w:spacing w:before="180" w:after="180" w:line="360" w:lineRule="auto"/>
        <w:contextualSpacing/>
        <w:jc w:val="both"/>
        <w:rPr>
          <w:color w:val="000000" w:themeColor="text1"/>
          <w:u w:val="single"/>
          <w:shd w:val="clear" w:color="auto" w:fill="FFFFFF"/>
        </w:rPr>
      </w:pPr>
      <w:r w:rsidRPr="000948FB">
        <w:rPr>
          <w:color w:val="000000" w:themeColor="text1"/>
          <w:u w:val="single"/>
          <w:shd w:val="clear" w:color="auto" w:fill="FFFFFF"/>
        </w:rPr>
        <w:lastRenderedPageBreak/>
        <w:t>Taxes on Income</w:t>
      </w:r>
    </w:p>
    <w:p w14:paraId="22935ECD" w14:textId="34FDFDC5" w:rsidR="00110F8A" w:rsidRDefault="00EA335E"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The effective income tax rate decreased to 9.2% from 13.2% in a year due to the positive effect of foreign earnings and net unrealized losses form investments, and impairment charges on intangible assets. Contrarily, the negative effect caused by the acquisition of a drug offset the favorable income.</w:t>
      </w:r>
    </w:p>
    <w:p w14:paraId="0EFD4C4E" w14:textId="6199B602" w:rsidR="00EA335E" w:rsidRDefault="00EA335E"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The IRS required $190 million to the company that exceeded the reserves for unrecognized tax benefits.</w:t>
      </w:r>
    </w:p>
    <w:p w14:paraId="48BA278F" w14:textId="77777777" w:rsidR="000948FB" w:rsidRDefault="000948FB" w:rsidP="008432E8">
      <w:pPr>
        <w:shd w:val="clear" w:color="auto" w:fill="FFFFFF"/>
        <w:spacing w:before="180" w:after="180" w:line="360" w:lineRule="auto"/>
        <w:contextualSpacing/>
        <w:jc w:val="both"/>
        <w:rPr>
          <w:color w:val="000000" w:themeColor="text1"/>
          <w:shd w:val="clear" w:color="auto" w:fill="FFFFFF"/>
        </w:rPr>
      </w:pPr>
    </w:p>
    <w:p w14:paraId="03AB5E25" w14:textId="74511B88" w:rsidR="00110F8A" w:rsidRPr="000948FB" w:rsidRDefault="00F450CB" w:rsidP="008432E8">
      <w:pPr>
        <w:shd w:val="clear" w:color="auto" w:fill="FFFFFF"/>
        <w:spacing w:before="180" w:after="180" w:line="360" w:lineRule="auto"/>
        <w:contextualSpacing/>
        <w:jc w:val="both"/>
        <w:rPr>
          <w:color w:val="000000" w:themeColor="text1"/>
          <w:u w:val="single"/>
          <w:shd w:val="clear" w:color="auto" w:fill="FFFFFF"/>
        </w:rPr>
      </w:pPr>
      <w:r w:rsidRPr="000948FB">
        <w:rPr>
          <w:color w:val="000000" w:themeColor="text1"/>
          <w:u w:val="single"/>
          <w:shd w:val="clear" w:color="auto" w:fill="FFFFFF"/>
        </w:rPr>
        <w:t>Non-GAAP Income and Non-GAAP EPS from Continuing Operations</w:t>
      </w:r>
    </w:p>
    <w:p w14:paraId="69179F6D" w14:textId="77777777" w:rsidR="000C573C" w:rsidRDefault="000C573C"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Merck’s management provides a second standpoint on its performance to help investors. Non-GAAP income and EPS rule out non-recurring incomes. These measures can also be used for planning and forecasting. This year Merck modified the items that fall under </w:t>
      </w:r>
      <w:r w:rsidRPr="000C573C">
        <w:rPr>
          <w:color w:val="000000" w:themeColor="text1"/>
          <w:shd w:val="clear" w:color="auto" w:fill="FFFFFF"/>
        </w:rPr>
        <w:t xml:space="preserve">Non-GAAP Income and Non-GAAP </w:t>
      </w:r>
      <w:proofErr w:type="gramStart"/>
      <w:r w:rsidRPr="000C573C">
        <w:rPr>
          <w:color w:val="000000" w:themeColor="text1"/>
          <w:shd w:val="clear" w:color="auto" w:fill="FFFFFF"/>
        </w:rPr>
        <w:t>EPS</w:t>
      </w:r>
      <w:proofErr w:type="gramEnd"/>
      <w:r>
        <w:rPr>
          <w:color w:val="000000" w:themeColor="text1"/>
          <w:shd w:val="clear" w:color="auto" w:fill="FFFFFF"/>
        </w:rPr>
        <w:t xml:space="preserve"> so they take into account costs related to pre-approval assets from acquisition transactions.</w:t>
      </w:r>
    </w:p>
    <w:p w14:paraId="2F6CFD6F" w14:textId="4A4C0FCF" w:rsidR="000948FB" w:rsidRPr="000C573C" w:rsidRDefault="000C573C"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Non-GAAP income went from 17,270 in the 09-30-2021 to 5,452 in </w:t>
      </w:r>
      <w:r>
        <w:rPr>
          <w:color w:val="000000" w:themeColor="text1"/>
          <w:shd w:val="clear" w:color="auto" w:fill="FFFFFF"/>
        </w:rPr>
        <w:t>09-30-202</w:t>
      </w:r>
      <w:r>
        <w:rPr>
          <w:color w:val="000000" w:themeColor="text1"/>
          <w:shd w:val="clear" w:color="auto" w:fill="FFFFFF"/>
        </w:rPr>
        <w:t>2.</w:t>
      </w:r>
    </w:p>
    <w:p w14:paraId="38D64917" w14:textId="3E3B4746" w:rsidR="000C573C" w:rsidRPr="000C573C" w:rsidRDefault="000C573C" w:rsidP="008432E8">
      <w:pPr>
        <w:shd w:val="clear" w:color="auto" w:fill="FFFFFF"/>
        <w:spacing w:before="180" w:after="180" w:line="360" w:lineRule="auto"/>
        <w:contextualSpacing/>
        <w:jc w:val="both"/>
        <w:rPr>
          <w:color w:val="000000" w:themeColor="text1"/>
          <w:shd w:val="clear" w:color="auto" w:fill="FFFFFF"/>
        </w:rPr>
      </w:pPr>
    </w:p>
    <w:p w14:paraId="032A14C9" w14:textId="742369AB" w:rsidR="000C573C" w:rsidRPr="000C573C" w:rsidRDefault="000C573C" w:rsidP="008432E8">
      <w:pPr>
        <w:shd w:val="clear" w:color="auto" w:fill="FFFFFF"/>
        <w:spacing w:before="180" w:after="180" w:line="360" w:lineRule="auto"/>
        <w:contextualSpacing/>
        <w:jc w:val="both"/>
        <w:rPr>
          <w:color w:val="000000" w:themeColor="text1"/>
          <w:shd w:val="clear" w:color="auto" w:fill="FFFFFF"/>
        </w:rPr>
      </w:pPr>
      <w:r w:rsidRPr="000C573C">
        <w:rPr>
          <w:color w:val="000000" w:themeColor="text1"/>
          <w:shd w:val="clear" w:color="auto" w:fill="FFFFFF"/>
        </w:rPr>
        <w:t>Acquisition and Divestiture-Related Costs</w:t>
      </w:r>
      <w:r w:rsidRPr="000C573C">
        <w:rPr>
          <w:color w:val="000000" w:themeColor="text1"/>
          <w:shd w:val="clear" w:color="auto" w:fill="FFFFFF"/>
        </w:rPr>
        <w:t>:</w:t>
      </w:r>
      <w:r>
        <w:rPr>
          <w:color w:val="000000" w:themeColor="text1"/>
          <w:shd w:val="clear" w:color="auto" w:fill="FFFFFF"/>
        </w:rPr>
        <w:t xml:space="preserve"> the effect caused by </w:t>
      </w:r>
      <w:r w:rsidR="006217A2">
        <w:rPr>
          <w:color w:val="000000" w:themeColor="text1"/>
          <w:shd w:val="clear" w:color="auto" w:fill="FFFFFF"/>
        </w:rPr>
        <w:t>relations with acquisitions and divestitures are not included. It is also not comprehended amortization linked to collaborations and licensing arrangements.</w:t>
      </w:r>
    </w:p>
    <w:p w14:paraId="5266F087" w14:textId="3765AE30" w:rsidR="000C573C" w:rsidRPr="000C573C" w:rsidRDefault="006217A2"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 </w:t>
      </w:r>
    </w:p>
    <w:p w14:paraId="204D3954" w14:textId="0170808D" w:rsidR="000C573C" w:rsidRPr="000C573C" w:rsidRDefault="000C573C" w:rsidP="008432E8">
      <w:pPr>
        <w:shd w:val="clear" w:color="auto" w:fill="FFFFFF"/>
        <w:spacing w:before="180" w:after="180" w:line="360" w:lineRule="auto"/>
        <w:contextualSpacing/>
        <w:jc w:val="both"/>
        <w:rPr>
          <w:color w:val="000000" w:themeColor="text1"/>
          <w:shd w:val="clear" w:color="auto" w:fill="FFFFFF"/>
        </w:rPr>
      </w:pPr>
      <w:r w:rsidRPr="000C573C">
        <w:rPr>
          <w:color w:val="000000" w:themeColor="text1"/>
          <w:shd w:val="clear" w:color="auto" w:fill="FFFFFF"/>
        </w:rPr>
        <w:t>Restructuring Costs</w:t>
      </w:r>
      <w:r w:rsidRPr="000C573C">
        <w:rPr>
          <w:color w:val="000000" w:themeColor="text1"/>
          <w:shd w:val="clear" w:color="auto" w:fill="FFFFFF"/>
        </w:rPr>
        <w:t>:</w:t>
      </w:r>
      <w:r w:rsidR="006217A2">
        <w:rPr>
          <w:color w:val="000000" w:themeColor="text1"/>
          <w:shd w:val="clear" w:color="auto" w:fill="FFFFFF"/>
        </w:rPr>
        <w:t xml:space="preserve"> cost that arise from restructuring are also not included.</w:t>
      </w:r>
    </w:p>
    <w:p w14:paraId="21196DEB" w14:textId="679A8EDC" w:rsidR="000C573C" w:rsidRPr="000C573C" w:rsidRDefault="000C573C" w:rsidP="008432E8">
      <w:pPr>
        <w:shd w:val="clear" w:color="auto" w:fill="FFFFFF"/>
        <w:spacing w:before="180" w:after="180" w:line="360" w:lineRule="auto"/>
        <w:contextualSpacing/>
        <w:jc w:val="both"/>
        <w:rPr>
          <w:color w:val="000000" w:themeColor="text1"/>
          <w:shd w:val="clear" w:color="auto" w:fill="FFFFFF"/>
        </w:rPr>
      </w:pPr>
    </w:p>
    <w:p w14:paraId="2F677A7F" w14:textId="5D13449F" w:rsidR="000C573C" w:rsidRPr="000C573C" w:rsidRDefault="000C573C" w:rsidP="008432E8">
      <w:pPr>
        <w:shd w:val="clear" w:color="auto" w:fill="FFFFFF"/>
        <w:spacing w:before="180" w:after="180" w:line="360" w:lineRule="auto"/>
        <w:contextualSpacing/>
        <w:jc w:val="both"/>
        <w:rPr>
          <w:color w:val="000000" w:themeColor="text1"/>
          <w:shd w:val="clear" w:color="auto" w:fill="FFFFFF"/>
        </w:rPr>
      </w:pPr>
      <w:r w:rsidRPr="000C573C">
        <w:rPr>
          <w:color w:val="000000" w:themeColor="text1"/>
          <w:shd w:val="clear" w:color="auto" w:fill="FFFFFF"/>
        </w:rPr>
        <w:t>Income and Losses from Investments in Equity Securities</w:t>
      </w:r>
      <w:r w:rsidRPr="000C573C">
        <w:rPr>
          <w:color w:val="000000" w:themeColor="text1"/>
          <w:shd w:val="clear" w:color="auto" w:fill="FFFFFF"/>
        </w:rPr>
        <w:t>:</w:t>
      </w:r>
      <w:r w:rsidR="001D314A">
        <w:rPr>
          <w:color w:val="000000" w:themeColor="text1"/>
          <w:shd w:val="clear" w:color="auto" w:fill="FFFFFF"/>
        </w:rPr>
        <w:t xml:space="preserve"> gains and losses from </w:t>
      </w:r>
      <w:r w:rsidR="001D314A" w:rsidRPr="001D314A">
        <w:rPr>
          <w:color w:val="000000" w:themeColor="text1"/>
          <w:shd w:val="clear" w:color="auto" w:fill="FFFFFF"/>
        </w:rPr>
        <w:t>investments in equity securities</w:t>
      </w:r>
      <w:r w:rsidR="001D314A" w:rsidRPr="001D314A">
        <w:rPr>
          <w:color w:val="000000" w:themeColor="text1"/>
          <w:shd w:val="clear" w:color="auto" w:fill="FFFFFF"/>
        </w:rPr>
        <w:t xml:space="preserve"> owned in investment funds</w:t>
      </w:r>
      <w:r w:rsidR="001D314A">
        <w:rPr>
          <w:color w:val="000000" w:themeColor="text1"/>
          <w:shd w:val="clear" w:color="auto" w:fill="FFFFFF"/>
        </w:rPr>
        <w:t xml:space="preserve"> are excluded.</w:t>
      </w:r>
    </w:p>
    <w:p w14:paraId="1BD7FD79" w14:textId="77777777" w:rsidR="000C573C" w:rsidRPr="000C573C" w:rsidRDefault="000C573C" w:rsidP="008432E8">
      <w:pPr>
        <w:shd w:val="clear" w:color="auto" w:fill="FFFFFF"/>
        <w:spacing w:before="180" w:after="180" w:line="360" w:lineRule="auto"/>
        <w:contextualSpacing/>
        <w:jc w:val="both"/>
        <w:rPr>
          <w:color w:val="000000" w:themeColor="text1"/>
          <w:shd w:val="clear" w:color="auto" w:fill="FFFFFF"/>
        </w:rPr>
      </w:pPr>
    </w:p>
    <w:p w14:paraId="2AD4BBF4" w14:textId="0191E15F" w:rsidR="000C573C" w:rsidRPr="000C573C" w:rsidRDefault="000C573C" w:rsidP="008432E8">
      <w:pPr>
        <w:shd w:val="clear" w:color="auto" w:fill="FFFFFF"/>
        <w:spacing w:before="180" w:after="180" w:line="360" w:lineRule="auto"/>
        <w:contextualSpacing/>
        <w:jc w:val="both"/>
        <w:rPr>
          <w:color w:val="000000" w:themeColor="text1"/>
          <w:shd w:val="clear" w:color="auto" w:fill="FFFFFF"/>
        </w:rPr>
      </w:pPr>
      <w:r w:rsidRPr="000C573C">
        <w:rPr>
          <w:color w:val="000000" w:themeColor="text1"/>
          <w:shd w:val="clear" w:color="auto" w:fill="FFFFFF"/>
        </w:rPr>
        <w:t>Certain Other Items</w:t>
      </w:r>
      <w:r>
        <w:rPr>
          <w:color w:val="000000" w:themeColor="text1"/>
          <w:shd w:val="clear" w:color="auto" w:fill="FFFFFF"/>
        </w:rPr>
        <w:t>:</w:t>
      </w:r>
      <w:r w:rsidR="001D314A">
        <w:rPr>
          <w:color w:val="000000" w:themeColor="text1"/>
          <w:shd w:val="clear" w:color="auto" w:fill="FFFFFF"/>
        </w:rPr>
        <w:t xml:space="preserve"> Other items not accounted for are frequently</w:t>
      </w:r>
      <w:r w:rsidR="00ED2893">
        <w:rPr>
          <w:color w:val="000000" w:themeColor="text1"/>
          <w:shd w:val="clear" w:color="auto" w:fill="FFFFFF"/>
        </w:rPr>
        <w:t xml:space="preserve"> not common and have a high level of significance. For example, losses from discontinuing covid development programs.</w:t>
      </w:r>
    </w:p>
    <w:p w14:paraId="44DBAA08" w14:textId="77777777" w:rsidR="000C573C" w:rsidRPr="000C573C" w:rsidRDefault="000C573C" w:rsidP="008432E8">
      <w:pPr>
        <w:shd w:val="clear" w:color="auto" w:fill="FFFFFF"/>
        <w:spacing w:before="180" w:after="180" w:line="360" w:lineRule="auto"/>
        <w:contextualSpacing/>
        <w:jc w:val="both"/>
        <w:rPr>
          <w:color w:val="000000" w:themeColor="text1"/>
          <w:shd w:val="clear" w:color="auto" w:fill="FFFFFF"/>
        </w:rPr>
      </w:pPr>
    </w:p>
    <w:p w14:paraId="08FC0901" w14:textId="6B2D02EE" w:rsidR="00110F8A" w:rsidRPr="008C1467" w:rsidRDefault="00F450CB" w:rsidP="008432E8">
      <w:pPr>
        <w:shd w:val="clear" w:color="auto" w:fill="FFFFFF"/>
        <w:spacing w:before="180" w:after="180" w:line="360" w:lineRule="auto"/>
        <w:contextualSpacing/>
        <w:jc w:val="both"/>
        <w:rPr>
          <w:color w:val="000000" w:themeColor="text1"/>
          <w:u w:val="single"/>
          <w:shd w:val="clear" w:color="auto" w:fill="FFFFFF"/>
        </w:rPr>
      </w:pPr>
      <w:r w:rsidRPr="008C1467">
        <w:rPr>
          <w:color w:val="000000" w:themeColor="text1"/>
          <w:u w:val="single"/>
          <w:shd w:val="clear" w:color="auto" w:fill="FFFFFF"/>
        </w:rPr>
        <w:t>Research and Development Update</w:t>
      </w:r>
    </w:p>
    <w:p w14:paraId="4B700F39" w14:textId="4F6BA5EE" w:rsidR="000948FB" w:rsidRDefault="008C1467"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Deal with another pharmaceutical company to develop a covid drug currently not approved for use but in progress and largely praised amongst the community.</w:t>
      </w:r>
    </w:p>
    <w:p w14:paraId="6FC97539" w14:textId="52F62D8A" w:rsidR="008C1467" w:rsidRDefault="008C1467"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lastRenderedPageBreak/>
        <w:t xml:space="preserve">Extension for revisal of a cancer treatment and further analysis. </w:t>
      </w:r>
    </w:p>
    <w:p w14:paraId="493DE877" w14:textId="670BF532" w:rsidR="008C1467" w:rsidRDefault="008C1467" w:rsidP="008432E8">
      <w:pPr>
        <w:shd w:val="clear" w:color="auto" w:fill="FFFFFF"/>
        <w:spacing w:before="180" w:after="180" w:line="360" w:lineRule="auto"/>
        <w:contextualSpacing/>
        <w:jc w:val="both"/>
        <w:rPr>
          <w:color w:val="000000" w:themeColor="text1"/>
          <w:shd w:val="clear" w:color="auto" w:fill="FFFFFF"/>
        </w:rPr>
      </w:pPr>
    </w:p>
    <w:p w14:paraId="6DC81583" w14:textId="702E6034" w:rsidR="008C1467" w:rsidRDefault="008C1467"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Advance of numerous drugs to last phase of trial and testing with different environmental conditions, however so </w:t>
      </w:r>
      <w:proofErr w:type="gramStart"/>
      <w:r>
        <w:rPr>
          <w:color w:val="000000" w:themeColor="text1"/>
          <w:shd w:val="clear" w:color="auto" w:fill="FFFFFF"/>
        </w:rPr>
        <w:t>far</w:t>
      </w:r>
      <w:proofErr w:type="gramEnd"/>
      <w:r>
        <w:rPr>
          <w:color w:val="000000" w:themeColor="text1"/>
          <w:shd w:val="clear" w:color="auto" w:fill="FFFFFF"/>
        </w:rPr>
        <w:t xml:space="preserve"> the results have not been as promising as expected in this situations</w:t>
      </w:r>
      <w:r w:rsidR="00D470AD">
        <w:rPr>
          <w:color w:val="000000" w:themeColor="text1"/>
          <w:shd w:val="clear" w:color="auto" w:fill="FFFFFF"/>
        </w:rPr>
        <w:t>, in exception of HIV prescriptions.</w:t>
      </w:r>
    </w:p>
    <w:p w14:paraId="61C4A015" w14:textId="4AAFC3AF" w:rsidR="008C1467" w:rsidRDefault="008C1467"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Abolition of other drugs in the last trial stage due to no noticeable progress in health or failure to meet the mandatory requirements.</w:t>
      </w:r>
    </w:p>
    <w:p w14:paraId="0ABEBE82" w14:textId="3E2DA506" w:rsidR="008C1467" w:rsidRDefault="008C1467" w:rsidP="008432E8">
      <w:pPr>
        <w:shd w:val="clear" w:color="auto" w:fill="FFFFFF"/>
        <w:spacing w:before="180" w:after="180" w:line="360" w:lineRule="auto"/>
        <w:contextualSpacing/>
        <w:jc w:val="both"/>
        <w:rPr>
          <w:color w:val="000000" w:themeColor="text1"/>
          <w:shd w:val="clear" w:color="auto" w:fill="FFFFFF"/>
        </w:rPr>
      </w:pPr>
    </w:p>
    <w:p w14:paraId="7820B403" w14:textId="59F19FE5" w:rsidR="00D470AD" w:rsidRDefault="00D470AD"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Funding agreement for founding with Royalty Pharma for schizophrenia treatments.</w:t>
      </w:r>
    </w:p>
    <w:p w14:paraId="04DF8E1F" w14:textId="77777777" w:rsidR="00D470AD" w:rsidRDefault="00D470AD" w:rsidP="008432E8">
      <w:pPr>
        <w:shd w:val="clear" w:color="auto" w:fill="FFFFFF"/>
        <w:spacing w:before="180" w:after="180" w:line="360" w:lineRule="auto"/>
        <w:contextualSpacing/>
        <w:jc w:val="both"/>
        <w:rPr>
          <w:color w:val="000000" w:themeColor="text1"/>
          <w:shd w:val="clear" w:color="auto" w:fill="FFFFFF"/>
        </w:rPr>
      </w:pPr>
    </w:p>
    <w:p w14:paraId="30EBC694" w14:textId="29324FEA" w:rsidR="00D470AD" w:rsidRDefault="00D470AD"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Extended plan of the different drugs organized in the medical area they belong to and the phase they are currently in can be found in pages 48 to 49 on the sec report (</w:t>
      </w:r>
      <w:hyperlink w:anchor="_References" w:history="1">
        <w:r w:rsidRPr="00D470AD">
          <w:rPr>
            <w:rStyle w:val="Hyperlink"/>
            <w:i/>
            <w:iCs/>
          </w:rPr>
          <w:t>Inline XBRL Viewer</w:t>
        </w:r>
      </w:hyperlink>
      <w:r>
        <w:t>).</w:t>
      </w:r>
    </w:p>
    <w:p w14:paraId="5B0C5152" w14:textId="77777777" w:rsidR="00D470AD" w:rsidRDefault="00D470AD" w:rsidP="008432E8">
      <w:pPr>
        <w:shd w:val="clear" w:color="auto" w:fill="FFFFFF"/>
        <w:spacing w:before="180" w:after="180" w:line="360" w:lineRule="auto"/>
        <w:contextualSpacing/>
        <w:jc w:val="both"/>
        <w:rPr>
          <w:color w:val="000000" w:themeColor="text1"/>
          <w:shd w:val="clear" w:color="auto" w:fill="FFFFFF"/>
        </w:rPr>
      </w:pPr>
    </w:p>
    <w:p w14:paraId="0C854696" w14:textId="671BB428" w:rsidR="00110F8A" w:rsidRPr="000948FB" w:rsidRDefault="00F450CB" w:rsidP="008432E8">
      <w:pPr>
        <w:shd w:val="clear" w:color="auto" w:fill="FFFFFF"/>
        <w:spacing w:before="180" w:after="180" w:line="360" w:lineRule="auto"/>
        <w:contextualSpacing/>
        <w:jc w:val="both"/>
        <w:rPr>
          <w:color w:val="000000" w:themeColor="text1"/>
          <w:u w:val="single"/>
          <w:shd w:val="clear" w:color="auto" w:fill="FFFFFF"/>
        </w:rPr>
      </w:pPr>
      <w:r w:rsidRPr="000948FB">
        <w:rPr>
          <w:color w:val="000000" w:themeColor="text1"/>
          <w:u w:val="single"/>
          <w:shd w:val="clear" w:color="auto" w:fill="FFFFFF"/>
        </w:rPr>
        <w:t>Liquidity and Capital Resources</w:t>
      </w:r>
    </w:p>
    <w:p w14:paraId="02E02E2B" w14:textId="5F031085" w:rsidR="001A4608" w:rsidRDefault="00C27D49"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Cash from operating differed by an increase of $6.7 billion when comparing this year with the previous one.</w:t>
      </w:r>
      <w:r w:rsidR="00AD3F45">
        <w:rPr>
          <w:color w:val="000000" w:themeColor="text1"/>
          <w:shd w:val="clear" w:color="auto" w:fill="FFFFFF"/>
        </w:rPr>
        <w:t xml:space="preserve"> It </w:t>
      </w:r>
      <w:r w:rsidR="00731F9C">
        <w:rPr>
          <w:color w:val="000000" w:themeColor="text1"/>
          <w:shd w:val="clear" w:color="auto" w:fill="FFFFFF"/>
        </w:rPr>
        <w:t xml:space="preserve">remains </w:t>
      </w:r>
      <w:r w:rsidR="00AD3F45">
        <w:rPr>
          <w:color w:val="000000" w:themeColor="text1"/>
          <w:shd w:val="clear" w:color="auto" w:fill="FFFFFF"/>
        </w:rPr>
        <w:t>the main point of financing for operations</w:t>
      </w:r>
      <w:r w:rsidR="00387AAC">
        <w:rPr>
          <w:color w:val="000000" w:themeColor="text1"/>
          <w:shd w:val="clear" w:color="auto" w:fill="FFFFFF"/>
        </w:rPr>
        <w:t>. As a consequence of regulatory changes, the tax expense has increased set side by side with the other years.</w:t>
      </w:r>
    </w:p>
    <w:p w14:paraId="139DAA11" w14:textId="2292094C" w:rsidR="00387AAC" w:rsidRDefault="00387AAC" w:rsidP="008432E8">
      <w:pPr>
        <w:shd w:val="clear" w:color="auto" w:fill="FFFFFF"/>
        <w:spacing w:before="180" w:after="180" w:line="360" w:lineRule="auto"/>
        <w:contextualSpacing/>
        <w:jc w:val="both"/>
        <w:rPr>
          <w:color w:val="000000" w:themeColor="text1"/>
          <w:shd w:val="clear" w:color="auto" w:fill="FFFFFF"/>
        </w:rPr>
      </w:pPr>
    </w:p>
    <w:p w14:paraId="577B6826" w14:textId="6147BA71" w:rsidR="00387AAC" w:rsidRDefault="00387AAC"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As for cash from financing, it tripled compared to the previous year, for de most part due to the spin-off and an increased in long-term debt payments.</w:t>
      </w:r>
    </w:p>
    <w:p w14:paraId="17C87E09" w14:textId="0197D1DA" w:rsidR="00387AAC" w:rsidRDefault="00387AAC" w:rsidP="008432E8">
      <w:pPr>
        <w:shd w:val="clear" w:color="auto" w:fill="FFFFFF"/>
        <w:spacing w:before="180" w:after="180" w:line="360" w:lineRule="auto"/>
        <w:contextualSpacing/>
        <w:jc w:val="both"/>
        <w:rPr>
          <w:color w:val="000000" w:themeColor="text1"/>
          <w:shd w:val="clear" w:color="auto" w:fill="FFFFFF"/>
        </w:rPr>
      </w:pPr>
    </w:p>
    <w:p w14:paraId="62B86418" w14:textId="29FA4E40" w:rsidR="00387AAC" w:rsidRDefault="00387AAC"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Accounts receivable accounted for $2.8 billion due to favorable agreements, capital expenditures $3.2 and dividends $5.3 in the course of 2022. The dividends had a value of 0.69 dollars per share and there was no stock repurchases during the year.</w:t>
      </w:r>
    </w:p>
    <w:p w14:paraId="45D714F1" w14:textId="77777777" w:rsidR="00094DB7" w:rsidRDefault="00094DB7" w:rsidP="008432E8">
      <w:pPr>
        <w:shd w:val="clear" w:color="auto" w:fill="FFFFFF"/>
        <w:spacing w:before="180" w:after="180" w:line="360" w:lineRule="auto"/>
        <w:contextualSpacing/>
        <w:jc w:val="both"/>
        <w:rPr>
          <w:color w:val="000000" w:themeColor="text1"/>
          <w:shd w:val="clear" w:color="auto" w:fill="FFFFFF"/>
        </w:rPr>
      </w:pPr>
    </w:p>
    <w:p w14:paraId="0298A8D2" w14:textId="08AF3D80" w:rsidR="00387AAC" w:rsidRPr="00094DB7" w:rsidRDefault="008D5821" w:rsidP="008432E8">
      <w:pPr>
        <w:shd w:val="clear" w:color="auto" w:fill="FFFFFF"/>
        <w:spacing w:before="180" w:after="180" w:line="360" w:lineRule="auto"/>
        <w:contextualSpacing/>
        <w:jc w:val="both"/>
        <w:rPr>
          <w:color w:val="000000" w:themeColor="text1"/>
          <w:shd w:val="clear" w:color="auto" w:fill="FFFFFF"/>
        </w:rPr>
      </w:pPr>
      <w:r w:rsidRPr="00094DB7">
        <w:rPr>
          <w:color w:val="000000" w:themeColor="text1"/>
          <w:shd w:val="clear" w:color="auto" w:fill="FFFFFF"/>
        </w:rPr>
        <w:t>$6.0 billion</w:t>
      </w:r>
      <w:r w:rsidR="00094DB7" w:rsidRPr="00094DB7">
        <w:rPr>
          <w:color w:val="000000" w:themeColor="text1"/>
          <w:shd w:val="clear" w:color="auto" w:fill="FFFFFF"/>
        </w:rPr>
        <w:t xml:space="preserve"> credit reserve in case of need if commercial paper is not enough which </w:t>
      </w:r>
      <w:r w:rsidRPr="00094DB7">
        <w:rPr>
          <w:color w:val="000000" w:themeColor="text1"/>
          <w:shd w:val="clear" w:color="auto" w:fill="FFFFFF"/>
        </w:rPr>
        <w:t>remains untouched.</w:t>
      </w:r>
    </w:p>
    <w:p w14:paraId="20CEBD1C" w14:textId="77777777" w:rsidR="00387AAC" w:rsidRDefault="00387AAC" w:rsidP="008432E8">
      <w:pPr>
        <w:shd w:val="clear" w:color="auto" w:fill="FFFFFF"/>
        <w:spacing w:before="180" w:after="180" w:line="360" w:lineRule="auto"/>
        <w:contextualSpacing/>
        <w:jc w:val="both"/>
        <w:rPr>
          <w:color w:val="000000" w:themeColor="text1"/>
          <w:shd w:val="clear" w:color="auto" w:fill="FFFFFF"/>
        </w:rPr>
      </w:pPr>
    </w:p>
    <w:p w14:paraId="385A3C9C" w14:textId="56E4D5D8" w:rsidR="00387AAC" w:rsidRPr="001A4608" w:rsidRDefault="00387AAC"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 </w:t>
      </w:r>
    </w:p>
    <w:p w14:paraId="3C9408D6" w14:textId="1623DAA1" w:rsidR="001A4608" w:rsidRPr="001A4608" w:rsidRDefault="001A4608" w:rsidP="008432E8">
      <w:pPr>
        <w:shd w:val="clear" w:color="auto" w:fill="FFFFFF"/>
        <w:spacing w:before="180" w:after="180" w:line="360" w:lineRule="auto"/>
        <w:contextualSpacing/>
        <w:jc w:val="both"/>
        <w:rPr>
          <w:color w:val="000000" w:themeColor="text1"/>
          <w:shd w:val="clear" w:color="auto" w:fill="FFFFFF"/>
        </w:rPr>
      </w:pPr>
    </w:p>
    <w:p w14:paraId="7E212238" w14:textId="2C55F7DE" w:rsidR="00682FB5" w:rsidRDefault="00682FB5" w:rsidP="008432E8">
      <w:pPr>
        <w:pStyle w:val="Heading1"/>
        <w:numPr>
          <w:ilvl w:val="0"/>
          <w:numId w:val="3"/>
        </w:numPr>
        <w:spacing w:line="360" w:lineRule="auto"/>
        <w:jc w:val="both"/>
        <w:rPr>
          <w:sz w:val="32"/>
          <w:szCs w:val="32"/>
          <w:shd w:val="clear" w:color="auto" w:fill="FFFFFF"/>
        </w:rPr>
      </w:pPr>
      <w:r>
        <w:rPr>
          <w:sz w:val="32"/>
          <w:szCs w:val="32"/>
          <w:shd w:val="clear" w:color="auto" w:fill="FFFFFF"/>
        </w:rPr>
        <w:lastRenderedPageBreak/>
        <w:t>Input Variables</w:t>
      </w:r>
    </w:p>
    <w:p w14:paraId="7482FBD8" w14:textId="5007CD96" w:rsidR="007E0CFD" w:rsidRDefault="00A418FB"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In order to get an accurate prediction of the sales of the company different methods were tried. The most approximated forecast to the current sales was the one made using the Holt-Winters Multiplicative Seasonal (HWMS) method</w:t>
      </w:r>
      <w:r w:rsidR="007E0CFD">
        <w:rPr>
          <w:color w:val="000000" w:themeColor="text1"/>
          <w:shd w:val="clear" w:color="auto" w:fill="FFFFFF"/>
        </w:rPr>
        <w:t xml:space="preserve">. This method includes the forecast equation and smoothing factors: alpha for level, beta for trend and gamma for seasonality. </w:t>
      </w:r>
      <w:r w:rsidR="007E0CFD">
        <w:rPr>
          <w:color w:val="000000" w:themeColor="text1"/>
          <w:shd w:val="clear" w:color="auto" w:fill="FFFFFF"/>
        </w:rPr>
        <w:t>We can see in Table 1 the values for each variable</w:t>
      </w:r>
      <w:r w:rsidR="007E0CFD">
        <w:rPr>
          <w:color w:val="000000" w:themeColor="text1"/>
          <w:shd w:val="clear" w:color="auto" w:fill="FFFFFF"/>
        </w:rPr>
        <w:t>.</w:t>
      </w:r>
    </w:p>
    <w:p w14:paraId="5666C1F1" w14:textId="77777777" w:rsidR="008D6238" w:rsidRDefault="008D6238" w:rsidP="008432E8">
      <w:pPr>
        <w:shd w:val="clear" w:color="auto" w:fill="FFFFFF"/>
        <w:spacing w:before="180" w:after="180" w:line="360" w:lineRule="auto"/>
        <w:contextualSpacing/>
        <w:jc w:val="both"/>
        <w:rPr>
          <w:color w:val="000000" w:themeColor="text1"/>
          <w:shd w:val="clear" w:color="auto" w:fill="FFFFFF"/>
        </w:rPr>
      </w:pPr>
    </w:p>
    <w:tbl>
      <w:tblPr>
        <w:tblW w:w="5200" w:type="dxa"/>
        <w:tblLook w:val="04A0" w:firstRow="1" w:lastRow="0" w:firstColumn="1" w:lastColumn="0" w:noHBand="0" w:noVBand="1"/>
      </w:tblPr>
      <w:tblGrid>
        <w:gridCol w:w="3574"/>
        <w:gridCol w:w="222"/>
        <w:gridCol w:w="222"/>
        <w:gridCol w:w="1300"/>
      </w:tblGrid>
      <w:tr w:rsidR="007E0CFD" w14:paraId="599788EB" w14:textId="77777777" w:rsidTr="007E0CFD">
        <w:trPr>
          <w:trHeight w:val="320"/>
        </w:trPr>
        <w:tc>
          <w:tcPr>
            <w:tcW w:w="3900" w:type="dxa"/>
            <w:gridSpan w:val="3"/>
            <w:tcBorders>
              <w:top w:val="nil"/>
              <w:left w:val="nil"/>
              <w:bottom w:val="single" w:sz="4" w:space="0" w:color="auto"/>
              <w:right w:val="nil"/>
            </w:tcBorders>
            <w:shd w:val="clear" w:color="auto" w:fill="auto"/>
            <w:noWrap/>
            <w:vAlign w:val="center"/>
            <w:hideMark/>
          </w:tcPr>
          <w:p w14:paraId="1D4B34D2" w14:textId="77777777" w:rsidR="007E0CFD" w:rsidRDefault="007E0CFD" w:rsidP="008432E8">
            <w:pPr>
              <w:spacing w:line="360" w:lineRule="auto"/>
              <w:rPr>
                <w:b/>
                <w:bCs/>
                <w:color w:val="000000"/>
              </w:rPr>
            </w:pPr>
            <w:r>
              <w:rPr>
                <w:b/>
                <w:bCs/>
                <w:color w:val="000000"/>
              </w:rPr>
              <w:t>Sensitivity Factors &amp; Forecast Error</w:t>
            </w:r>
          </w:p>
        </w:tc>
        <w:tc>
          <w:tcPr>
            <w:tcW w:w="1300" w:type="dxa"/>
            <w:tcBorders>
              <w:top w:val="nil"/>
              <w:left w:val="nil"/>
              <w:bottom w:val="single" w:sz="4" w:space="0" w:color="auto"/>
              <w:right w:val="nil"/>
            </w:tcBorders>
            <w:shd w:val="clear" w:color="auto" w:fill="auto"/>
            <w:noWrap/>
            <w:vAlign w:val="center"/>
            <w:hideMark/>
          </w:tcPr>
          <w:p w14:paraId="69360CD7" w14:textId="0F25F470" w:rsidR="007E0CFD" w:rsidRDefault="007E0CFD" w:rsidP="008432E8">
            <w:pPr>
              <w:spacing w:line="360" w:lineRule="auto"/>
              <w:rPr>
                <w:color w:val="000000"/>
                <w:sz w:val="22"/>
                <w:szCs w:val="22"/>
              </w:rPr>
            </w:pPr>
          </w:p>
        </w:tc>
      </w:tr>
      <w:tr w:rsidR="007E0CFD" w14:paraId="7F948C6F" w14:textId="77777777" w:rsidTr="007E0CFD">
        <w:trPr>
          <w:trHeight w:val="280"/>
        </w:trPr>
        <w:tc>
          <w:tcPr>
            <w:tcW w:w="3574" w:type="dxa"/>
            <w:tcBorders>
              <w:top w:val="nil"/>
              <w:left w:val="nil"/>
              <w:bottom w:val="nil"/>
              <w:right w:val="nil"/>
            </w:tcBorders>
            <w:shd w:val="clear" w:color="auto" w:fill="auto"/>
            <w:noWrap/>
            <w:vAlign w:val="center"/>
            <w:hideMark/>
          </w:tcPr>
          <w:p w14:paraId="256C8008" w14:textId="77777777" w:rsidR="007E0CFD" w:rsidRDefault="007E0CFD" w:rsidP="008432E8">
            <w:pPr>
              <w:spacing w:line="360" w:lineRule="auto"/>
              <w:rPr>
                <w:b/>
                <w:bCs/>
                <w:color w:val="000000"/>
                <w:sz w:val="22"/>
                <w:szCs w:val="22"/>
              </w:rPr>
            </w:pPr>
            <w:r>
              <w:rPr>
                <w:b/>
                <w:bCs/>
                <w:color w:val="000000"/>
                <w:sz w:val="22"/>
                <w:szCs w:val="22"/>
              </w:rPr>
              <w:t>Alpha</w:t>
            </w:r>
          </w:p>
        </w:tc>
        <w:tc>
          <w:tcPr>
            <w:tcW w:w="163" w:type="dxa"/>
            <w:tcBorders>
              <w:top w:val="nil"/>
              <w:left w:val="nil"/>
              <w:bottom w:val="nil"/>
              <w:right w:val="nil"/>
            </w:tcBorders>
            <w:shd w:val="clear" w:color="auto" w:fill="auto"/>
            <w:noWrap/>
            <w:vAlign w:val="center"/>
            <w:hideMark/>
          </w:tcPr>
          <w:p w14:paraId="4E787285" w14:textId="77777777" w:rsidR="007E0CFD" w:rsidRDefault="007E0CFD" w:rsidP="008432E8">
            <w:pPr>
              <w:spacing w:line="360" w:lineRule="auto"/>
              <w:rPr>
                <w:b/>
                <w:bCs/>
                <w:color w:val="000000"/>
                <w:sz w:val="22"/>
                <w:szCs w:val="22"/>
              </w:rPr>
            </w:pPr>
          </w:p>
        </w:tc>
        <w:tc>
          <w:tcPr>
            <w:tcW w:w="163" w:type="dxa"/>
            <w:tcBorders>
              <w:top w:val="nil"/>
              <w:left w:val="nil"/>
              <w:bottom w:val="nil"/>
              <w:right w:val="nil"/>
            </w:tcBorders>
            <w:shd w:val="clear" w:color="auto" w:fill="auto"/>
            <w:noWrap/>
            <w:vAlign w:val="center"/>
            <w:hideMark/>
          </w:tcPr>
          <w:p w14:paraId="7DCE3A52" w14:textId="77777777" w:rsidR="007E0CFD" w:rsidRDefault="007E0CFD" w:rsidP="008432E8">
            <w:pPr>
              <w:spacing w:line="360" w:lineRule="auto"/>
              <w:rPr>
                <w:sz w:val="20"/>
                <w:szCs w:val="20"/>
              </w:rPr>
            </w:pPr>
          </w:p>
        </w:tc>
        <w:tc>
          <w:tcPr>
            <w:tcW w:w="1300" w:type="dxa"/>
            <w:tcBorders>
              <w:top w:val="nil"/>
              <w:left w:val="nil"/>
              <w:bottom w:val="nil"/>
              <w:right w:val="nil"/>
            </w:tcBorders>
            <w:shd w:val="clear" w:color="000000" w:fill="D9E1F2"/>
            <w:noWrap/>
            <w:vAlign w:val="center"/>
            <w:hideMark/>
          </w:tcPr>
          <w:p w14:paraId="6BA04C1B" w14:textId="4D04A734" w:rsidR="007E0CFD" w:rsidRDefault="007E0CFD" w:rsidP="008432E8">
            <w:pPr>
              <w:spacing w:line="360" w:lineRule="auto"/>
              <w:rPr>
                <w:color w:val="000000"/>
                <w:sz w:val="22"/>
                <w:szCs w:val="22"/>
              </w:rPr>
            </w:pPr>
            <w:r>
              <w:rPr>
                <w:color w:val="000000"/>
                <w:sz w:val="22"/>
                <w:szCs w:val="22"/>
              </w:rPr>
              <w:t>0.3060</w:t>
            </w:r>
          </w:p>
        </w:tc>
      </w:tr>
      <w:tr w:rsidR="007E0CFD" w14:paraId="130DE9F9" w14:textId="77777777" w:rsidTr="007E0CFD">
        <w:trPr>
          <w:trHeight w:val="280"/>
        </w:trPr>
        <w:tc>
          <w:tcPr>
            <w:tcW w:w="3574" w:type="dxa"/>
            <w:tcBorders>
              <w:top w:val="nil"/>
              <w:left w:val="nil"/>
              <w:bottom w:val="nil"/>
              <w:right w:val="nil"/>
            </w:tcBorders>
            <w:shd w:val="clear" w:color="auto" w:fill="auto"/>
            <w:noWrap/>
            <w:vAlign w:val="center"/>
            <w:hideMark/>
          </w:tcPr>
          <w:p w14:paraId="00DC7C6F" w14:textId="77777777" w:rsidR="007E0CFD" w:rsidRDefault="007E0CFD" w:rsidP="008432E8">
            <w:pPr>
              <w:spacing w:line="360" w:lineRule="auto"/>
              <w:rPr>
                <w:b/>
                <w:bCs/>
                <w:color w:val="000000"/>
                <w:sz w:val="22"/>
                <w:szCs w:val="22"/>
              </w:rPr>
            </w:pPr>
            <w:r>
              <w:rPr>
                <w:b/>
                <w:bCs/>
                <w:color w:val="000000"/>
                <w:sz w:val="22"/>
                <w:szCs w:val="22"/>
              </w:rPr>
              <w:t>Beta</w:t>
            </w:r>
          </w:p>
        </w:tc>
        <w:tc>
          <w:tcPr>
            <w:tcW w:w="163" w:type="dxa"/>
            <w:tcBorders>
              <w:top w:val="nil"/>
              <w:left w:val="nil"/>
              <w:bottom w:val="nil"/>
              <w:right w:val="nil"/>
            </w:tcBorders>
            <w:shd w:val="clear" w:color="auto" w:fill="auto"/>
            <w:noWrap/>
            <w:vAlign w:val="center"/>
            <w:hideMark/>
          </w:tcPr>
          <w:p w14:paraId="259E566A" w14:textId="77777777" w:rsidR="007E0CFD" w:rsidRDefault="007E0CFD" w:rsidP="008432E8">
            <w:pPr>
              <w:spacing w:line="360" w:lineRule="auto"/>
              <w:rPr>
                <w:b/>
                <w:bCs/>
                <w:color w:val="000000"/>
                <w:sz w:val="22"/>
                <w:szCs w:val="22"/>
              </w:rPr>
            </w:pPr>
          </w:p>
        </w:tc>
        <w:tc>
          <w:tcPr>
            <w:tcW w:w="163" w:type="dxa"/>
            <w:tcBorders>
              <w:top w:val="nil"/>
              <w:left w:val="nil"/>
              <w:bottom w:val="nil"/>
              <w:right w:val="nil"/>
            </w:tcBorders>
            <w:shd w:val="clear" w:color="auto" w:fill="auto"/>
            <w:noWrap/>
            <w:vAlign w:val="center"/>
            <w:hideMark/>
          </w:tcPr>
          <w:p w14:paraId="4665DACE" w14:textId="77777777" w:rsidR="007E0CFD" w:rsidRDefault="007E0CFD" w:rsidP="008432E8">
            <w:pPr>
              <w:spacing w:line="360" w:lineRule="auto"/>
              <w:rPr>
                <w:sz w:val="20"/>
                <w:szCs w:val="20"/>
              </w:rPr>
            </w:pPr>
          </w:p>
        </w:tc>
        <w:tc>
          <w:tcPr>
            <w:tcW w:w="1300" w:type="dxa"/>
            <w:tcBorders>
              <w:top w:val="nil"/>
              <w:left w:val="nil"/>
              <w:bottom w:val="nil"/>
              <w:right w:val="nil"/>
            </w:tcBorders>
            <w:shd w:val="clear" w:color="000000" w:fill="D9E1F2"/>
            <w:noWrap/>
            <w:vAlign w:val="center"/>
            <w:hideMark/>
          </w:tcPr>
          <w:p w14:paraId="4C87DBF3" w14:textId="029C4E7D" w:rsidR="007E0CFD" w:rsidRDefault="007E0CFD" w:rsidP="008432E8">
            <w:pPr>
              <w:spacing w:line="360" w:lineRule="auto"/>
              <w:rPr>
                <w:color w:val="000000"/>
                <w:sz w:val="22"/>
                <w:szCs w:val="22"/>
              </w:rPr>
            </w:pPr>
            <w:r>
              <w:rPr>
                <w:color w:val="000000"/>
                <w:sz w:val="22"/>
                <w:szCs w:val="22"/>
              </w:rPr>
              <w:t>0.1569</w:t>
            </w:r>
          </w:p>
        </w:tc>
      </w:tr>
      <w:tr w:rsidR="007E0CFD" w14:paraId="066F061E" w14:textId="77777777" w:rsidTr="007E0CFD">
        <w:trPr>
          <w:trHeight w:val="280"/>
        </w:trPr>
        <w:tc>
          <w:tcPr>
            <w:tcW w:w="3574" w:type="dxa"/>
            <w:tcBorders>
              <w:top w:val="nil"/>
              <w:left w:val="nil"/>
              <w:bottom w:val="nil"/>
              <w:right w:val="nil"/>
            </w:tcBorders>
            <w:shd w:val="clear" w:color="auto" w:fill="auto"/>
            <w:noWrap/>
            <w:vAlign w:val="center"/>
            <w:hideMark/>
          </w:tcPr>
          <w:p w14:paraId="17D5B021" w14:textId="77777777" w:rsidR="007E0CFD" w:rsidRDefault="007E0CFD" w:rsidP="008432E8">
            <w:pPr>
              <w:spacing w:line="360" w:lineRule="auto"/>
              <w:rPr>
                <w:b/>
                <w:bCs/>
                <w:color w:val="000000"/>
                <w:sz w:val="22"/>
                <w:szCs w:val="22"/>
              </w:rPr>
            </w:pPr>
            <w:r>
              <w:rPr>
                <w:b/>
                <w:bCs/>
                <w:color w:val="000000"/>
                <w:sz w:val="22"/>
                <w:szCs w:val="22"/>
              </w:rPr>
              <w:t>Gamma</w:t>
            </w:r>
          </w:p>
        </w:tc>
        <w:tc>
          <w:tcPr>
            <w:tcW w:w="163" w:type="dxa"/>
            <w:tcBorders>
              <w:top w:val="nil"/>
              <w:left w:val="nil"/>
              <w:bottom w:val="nil"/>
              <w:right w:val="nil"/>
            </w:tcBorders>
            <w:shd w:val="clear" w:color="auto" w:fill="auto"/>
            <w:noWrap/>
            <w:vAlign w:val="center"/>
            <w:hideMark/>
          </w:tcPr>
          <w:p w14:paraId="7BD29E14" w14:textId="77777777" w:rsidR="007E0CFD" w:rsidRDefault="007E0CFD" w:rsidP="008432E8">
            <w:pPr>
              <w:spacing w:line="360" w:lineRule="auto"/>
              <w:rPr>
                <w:b/>
                <w:bCs/>
                <w:color w:val="000000"/>
                <w:sz w:val="22"/>
                <w:szCs w:val="22"/>
              </w:rPr>
            </w:pPr>
          </w:p>
        </w:tc>
        <w:tc>
          <w:tcPr>
            <w:tcW w:w="163" w:type="dxa"/>
            <w:tcBorders>
              <w:top w:val="nil"/>
              <w:left w:val="nil"/>
              <w:bottom w:val="nil"/>
              <w:right w:val="nil"/>
            </w:tcBorders>
            <w:shd w:val="clear" w:color="auto" w:fill="auto"/>
            <w:noWrap/>
            <w:vAlign w:val="center"/>
            <w:hideMark/>
          </w:tcPr>
          <w:p w14:paraId="5A075907" w14:textId="77777777" w:rsidR="007E0CFD" w:rsidRDefault="007E0CFD" w:rsidP="008432E8">
            <w:pPr>
              <w:spacing w:line="360" w:lineRule="auto"/>
              <w:rPr>
                <w:sz w:val="20"/>
                <w:szCs w:val="20"/>
              </w:rPr>
            </w:pPr>
          </w:p>
        </w:tc>
        <w:tc>
          <w:tcPr>
            <w:tcW w:w="1300" w:type="dxa"/>
            <w:tcBorders>
              <w:top w:val="nil"/>
              <w:left w:val="nil"/>
              <w:bottom w:val="nil"/>
              <w:right w:val="nil"/>
            </w:tcBorders>
            <w:shd w:val="clear" w:color="000000" w:fill="D9E1F2"/>
            <w:noWrap/>
            <w:vAlign w:val="center"/>
            <w:hideMark/>
          </w:tcPr>
          <w:p w14:paraId="66EF53CE" w14:textId="45737C2C" w:rsidR="007E0CFD" w:rsidRDefault="007E0CFD" w:rsidP="008432E8">
            <w:pPr>
              <w:spacing w:line="360" w:lineRule="auto"/>
              <w:rPr>
                <w:color w:val="000000"/>
                <w:sz w:val="22"/>
                <w:szCs w:val="22"/>
              </w:rPr>
            </w:pPr>
            <w:r>
              <w:rPr>
                <w:color w:val="000000"/>
                <w:sz w:val="22"/>
                <w:szCs w:val="22"/>
              </w:rPr>
              <w:t>0.5010</w:t>
            </w:r>
          </w:p>
        </w:tc>
      </w:tr>
      <w:tr w:rsidR="007E0CFD" w14:paraId="289A7A26" w14:textId="77777777" w:rsidTr="007E0CFD">
        <w:trPr>
          <w:trHeight w:val="280"/>
        </w:trPr>
        <w:tc>
          <w:tcPr>
            <w:tcW w:w="3900" w:type="dxa"/>
            <w:gridSpan w:val="3"/>
            <w:tcBorders>
              <w:top w:val="nil"/>
              <w:left w:val="nil"/>
              <w:bottom w:val="nil"/>
              <w:right w:val="nil"/>
            </w:tcBorders>
            <w:shd w:val="clear" w:color="auto" w:fill="auto"/>
            <w:noWrap/>
            <w:vAlign w:val="center"/>
            <w:hideMark/>
          </w:tcPr>
          <w:p w14:paraId="6C4A5F2C" w14:textId="77777777" w:rsidR="007E0CFD" w:rsidRDefault="007E0CFD" w:rsidP="008432E8">
            <w:pPr>
              <w:spacing w:line="360" w:lineRule="auto"/>
              <w:rPr>
                <w:b/>
                <w:bCs/>
                <w:color w:val="000000"/>
                <w:sz w:val="22"/>
                <w:szCs w:val="22"/>
              </w:rPr>
            </w:pPr>
            <w:r>
              <w:rPr>
                <w:b/>
                <w:bCs/>
                <w:color w:val="000000"/>
                <w:sz w:val="22"/>
                <w:szCs w:val="22"/>
              </w:rPr>
              <w:t>Mean Squared Error (MSE)</w:t>
            </w:r>
          </w:p>
        </w:tc>
        <w:tc>
          <w:tcPr>
            <w:tcW w:w="1300" w:type="dxa"/>
            <w:tcBorders>
              <w:top w:val="nil"/>
              <w:left w:val="nil"/>
              <w:bottom w:val="nil"/>
              <w:right w:val="nil"/>
            </w:tcBorders>
            <w:shd w:val="clear" w:color="000000" w:fill="D9E1F2"/>
            <w:noWrap/>
            <w:vAlign w:val="center"/>
            <w:hideMark/>
          </w:tcPr>
          <w:p w14:paraId="7C32169D" w14:textId="2226BA3B" w:rsidR="007E0CFD" w:rsidRDefault="007E0CFD" w:rsidP="008432E8">
            <w:pPr>
              <w:spacing w:line="360" w:lineRule="auto"/>
              <w:rPr>
                <w:color w:val="000000"/>
                <w:sz w:val="22"/>
                <w:szCs w:val="22"/>
              </w:rPr>
            </w:pPr>
            <w:r>
              <w:rPr>
                <w:color w:val="000000"/>
                <w:sz w:val="22"/>
                <w:szCs w:val="22"/>
              </w:rPr>
              <w:t>1,185,886</w:t>
            </w:r>
          </w:p>
        </w:tc>
      </w:tr>
      <w:tr w:rsidR="007E0CFD" w14:paraId="0CB889AD" w14:textId="77777777" w:rsidTr="007E0CFD">
        <w:trPr>
          <w:trHeight w:val="280"/>
        </w:trPr>
        <w:tc>
          <w:tcPr>
            <w:tcW w:w="3900" w:type="dxa"/>
            <w:gridSpan w:val="3"/>
            <w:tcBorders>
              <w:top w:val="nil"/>
              <w:left w:val="nil"/>
              <w:bottom w:val="nil"/>
              <w:right w:val="nil"/>
            </w:tcBorders>
            <w:shd w:val="clear" w:color="auto" w:fill="auto"/>
            <w:noWrap/>
            <w:vAlign w:val="center"/>
            <w:hideMark/>
          </w:tcPr>
          <w:p w14:paraId="494CDA0C" w14:textId="77777777" w:rsidR="007E0CFD" w:rsidRDefault="007E0CFD" w:rsidP="008432E8">
            <w:pPr>
              <w:spacing w:line="360" w:lineRule="auto"/>
              <w:rPr>
                <w:b/>
                <w:bCs/>
                <w:color w:val="000000"/>
                <w:sz w:val="22"/>
                <w:szCs w:val="22"/>
              </w:rPr>
            </w:pPr>
            <w:r>
              <w:rPr>
                <w:b/>
                <w:bCs/>
                <w:color w:val="000000"/>
                <w:sz w:val="22"/>
                <w:szCs w:val="22"/>
              </w:rPr>
              <w:t>Mean Absolute % Error (MAPE)</w:t>
            </w:r>
          </w:p>
        </w:tc>
        <w:tc>
          <w:tcPr>
            <w:tcW w:w="1300" w:type="dxa"/>
            <w:tcBorders>
              <w:top w:val="nil"/>
              <w:left w:val="nil"/>
              <w:bottom w:val="nil"/>
              <w:right w:val="nil"/>
            </w:tcBorders>
            <w:shd w:val="clear" w:color="000000" w:fill="D9E1F2"/>
            <w:noWrap/>
            <w:vAlign w:val="center"/>
            <w:hideMark/>
          </w:tcPr>
          <w:p w14:paraId="2455DAD3" w14:textId="77777777" w:rsidR="007E0CFD" w:rsidRDefault="007E0CFD" w:rsidP="008432E8">
            <w:pPr>
              <w:spacing w:line="360" w:lineRule="auto"/>
              <w:rPr>
                <w:color w:val="000000"/>
                <w:sz w:val="22"/>
                <w:szCs w:val="22"/>
              </w:rPr>
            </w:pPr>
            <w:r>
              <w:rPr>
                <w:color w:val="000000"/>
                <w:sz w:val="22"/>
                <w:szCs w:val="22"/>
              </w:rPr>
              <w:t>5.55%</w:t>
            </w:r>
          </w:p>
        </w:tc>
      </w:tr>
      <w:tr w:rsidR="007E0CFD" w14:paraId="405D5595" w14:textId="77777777" w:rsidTr="007E0CFD">
        <w:trPr>
          <w:trHeight w:val="78"/>
        </w:trPr>
        <w:tc>
          <w:tcPr>
            <w:tcW w:w="3900" w:type="dxa"/>
            <w:gridSpan w:val="3"/>
            <w:tcBorders>
              <w:top w:val="nil"/>
              <w:left w:val="nil"/>
              <w:bottom w:val="nil"/>
              <w:right w:val="nil"/>
            </w:tcBorders>
            <w:shd w:val="clear" w:color="auto" w:fill="auto"/>
            <w:noWrap/>
            <w:vAlign w:val="center"/>
          </w:tcPr>
          <w:p w14:paraId="650F82CD" w14:textId="77777777" w:rsidR="007E0CFD" w:rsidRPr="007E0CFD" w:rsidRDefault="007E0CFD" w:rsidP="008432E8">
            <w:pPr>
              <w:spacing w:line="360" w:lineRule="auto"/>
              <w:rPr>
                <w:b/>
                <w:bCs/>
                <w:color w:val="000000"/>
                <w:sz w:val="16"/>
                <w:szCs w:val="16"/>
              </w:rPr>
            </w:pPr>
          </w:p>
        </w:tc>
        <w:tc>
          <w:tcPr>
            <w:tcW w:w="1300" w:type="dxa"/>
            <w:tcBorders>
              <w:top w:val="nil"/>
              <w:left w:val="nil"/>
              <w:bottom w:val="nil"/>
              <w:right w:val="nil"/>
            </w:tcBorders>
            <w:shd w:val="clear" w:color="auto" w:fill="auto"/>
            <w:noWrap/>
            <w:vAlign w:val="center"/>
          </w:tcPr>
          <w:p w14:paraId="1F19EB1C" w14:textId="77777777" w:rsidR="007E0CFD" w:rsidRPr="007E0CFD" w:rsidRDefault="007E0CFD" w:rsidP="008432E8">
            <w:pPr>
              <w:spacing w:line="360" w:lineRule="auto"/>
              <w:rPr>
                <w:color w:val="000000"/>
                <w:sz w:val="16"/>
                <w:szCs w:val="16"/>
              </w:rPr>
            </w:pPr>
          </w:p>
        </w:tc>
      </w:tr>
    </w:tbl>
    <w:p w14:paraId="105BD973" w14:textId="37967BD6" w:rsidR="007E0CFD" w:rsidRDefault="007E0CFD" w:rsidP="008432E8">
      <w:pPr>
        <w:shd w:val="clear" w:color="auto" w:fill="FFFFFF"/>
        <w:spacing w:before="180" w:after="180" w:line="360" w:lineRule="auto"/>
        <w:contextualSpacing/>
        <w:jc w:val="both"/>
        <w:rPr>
          <w:i/>
          <w:iCs/>
          <w:color w:val="000000" w:themeColor="text1"/>
          <w:shd w:val="clear" w:color="auto" w:fill="FFFFFF"/>
        </w:rPr>
      </w:pPr>
      <w:r>
        <w:rPr>
          <w:i/>
          <w:iCs/>
          <w:color w:val="000000" w:themeColor="text1"/>
          <w:shd w:val="clear" w:color="auto" w:fill="FFFFFF"/>
        </w:rPr>
        <w:t xml:space="preserve">                    </w:t>
      </w:r>
      <w:r w:rsidRPr="007E0CFD">
        <w:rPr>
          <w:i/>
          <w:iCs/>
          <w:color w:val="000000" w:themeColor="text1"/>
          <w:shd w:val="clear" w:color="auto" w:fill="FFFFFF"/>
        </w:rPr>
        <w:t>Table 1. Values of the variables</w:t>
      </w:r>
    </w:p>
    <w:p w14:paraId="23198920" w14:textId="77777777" w:rsidR="007E0CFD" w:rsidRPr="007E0CFD" w:rsidRDefault="007E0CFD" w:rsidP="008432E8">
      <w:pPr>
        <w:shd w:val="clear" w:color="auto" w:fill="FFFFFF"/>
        <w:spacing w:before="180" w:after="180" w:line="360" w:lineRule="auto"/>
        <w:contextualSpacing/>
        <w:jc w:val="both"/>
        <w:rPr>
          <w:i/>
          <w:iCs/>
          <w:color w:val="000000" w:themeColor="text1"/>
          <w:shd w:val="clear" w:color="auto" w:fill="FFFFFF"/>
        </w:rPr>
      </w:pPr>
    </w:p>
    <w:p w14:paraId="5FDFEFE5" w14:textId="50D401D6" w:rsidR="00A418FB" w:rsidRDefault="007E0CFD"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Although the Mean squared error is relatively high and higher than some of the other models computed, looking at the graph of the forecast we can conclude that overall presents a good fit exempting the quarter 5/01/2022.</w:t>
      </w:r>
    </w:p>
    <w:p w14:paraId="70574E46" w14:textId="77777777" w:rsidR="008D6238" w:rsidRDefault="008D6238" w:rsidP="008432E8">
      <w:pPr>
        <w:shd w:val="clear" w:color="auto" w:fill="FFFFFF"/>
        <w:spacing w:before="180" w:after="180" w:line="360" w:lineRule="auto"/>
        <w:contextualSpacing/>
        <w:jc w:val="both"/>
        <w:rPr>
          <w:color w:val="000000" w:themeColor="text1"/>
          <w:shd w:val="clear" w:color="auto" w:fill="FFFFFF"/>
        </w:rPr>
      </w:pPr>
    </w:p>
    <w:p w14:paraId="60288CFE" w14:textId="2FFA5888" w:rsidR="00F106B1" w:rsidRDefault="00A418FB" w:rsidP="008432E8">
      <w:pPr>
        <w:shd w:val="clear" w:color="auto" w:fill="FFFFFF"/>
        <w:spacing w:before="180" w:after="180" w:line="360" w:lineRule="auto"/>
        <w:contextualSpacing/>
        <w:jc w:val="center"/>
        <w:rPr>
          <w:color w:val="000000" w:themeColor="text1"/>
          <w:shd w:val="clear" w:color="auto" w:fill="FFFFFF"/>
        </w:rPr>
      </w:pPr>
      <w:r>
        <w:rPr>
          <w:noProof/>
        </w:rPr>
        <w:drawing>
          <wp:inline distT="0" distB="0" distL="0" distR="0" wp14:anchorId="698A1019" wp14:editId="7099510C">
            <wp:extent cx="5153660" cy="2453951"/>
            <wp:effectExtent l="0" t="0" r="15240" b="10160"/>
            <wp:docPr id="5" name="Chart 5">
              <a:extLst xmlns:a="http://schemas.openxmlformats.org/drawingml/2006/main">
                <a:ext uri="{FF2B5EF4-FFF2-40B4-BE49-F238E27FC236}">
                  <a16:creationId xmlns:a16="http://schemas.microsoft.com/office/drawing/2014/main" id="{0B3F6DE9-C034-EB27-4020-BD2C8C845C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97AC032" w14:textId="78D09714" w:rsidR="008D6238" w:rsidRPr="000F2930" w:rsidRDefault="008D6238" w:rsidP="008432E8">
      <w:pPr>
        <w:shd w:val="clear" w:color="auto" w:fill="FFFFFF"/>
        <w:spacing w:before="180" w:after="180" w:line="360" w:lineRule="auto"/>
        <w:contextualSpacing/>
        <w:jc w:val="center"/>
        <w:rPr>
          <w:i/>
          <w:iCs/>
          <w:color w:val="000000" w:themeColor="text1"/>
          <w:shd w:val="clear" w:color="auto" w:fill="FFFFFF"/>
        </w:rPr>
      </w:pPr>
      <w:r>
        <w:rPr>
          <w:i/>
          <w:iCs/>
          <w:color w:val="000000" w:themeColor="text1"/>
          <w:shd w:val="clear" w:color="auto" w:fill="FFFFFF"/>
        </w:rPr>
        <w:t xml:space="preserve">Figure </w:t>
      </w:r>
      <w:r>
        <w:rPr>
          <w:i/>
          <w:iCs/>
          <w:color w:val="000000" w:themeColor="text1"/>
          <w:shd w:val="clear" w:color="auto" w:fill="FFFFFF"/>
        </w:rPr>
        <w:t>4</w:t>
      </w:r>
      <w:r>
        <w:rPr>
          <w:i/>
          <w:iCs/>
          <w:color w:val="000000" w:themeColor="text1"/>
          <w:shd w:val="clear" w:color="auto" w:fill="FFFFFF"/>
        </w:rPr>
        <w:t xml:space="preserve">. </w:t>
      </w:r>
      <w:r>
        <w:rPr>
          <w:i/>
          <w:iCs/>
          <w:color w:val="000000" w:themeColor="text1"/>
          <w:shd w:val="clear" w:color="auto" w:fill="FFFFFF"/>
        </w:rPr>
        <w:t xml:space="preserve">HWMS sales forecast for Merck </w:t>
      </w:r>
      <w:proofErr w:type="gramStart"/>
      <w:r>
        <w:rPr>
          <w:i/>
          <w:iCs/>
          <w:color w:val="000000" w:themeColor="text1"/>
          <w:shd w:val="clear" w:color="auto" w:fill="FFFFFF"/>
        </w:rPr>
        <w:t>Co..</w:t>
      </w:r>
      <w:proofErr w:type="gramEnd"/>
    </w:p>
    <w:p w14:paraId="32232622" w14:textId="77777777" w:rsidR="008D6238" w:rsidRDefault="008D6238" w:rsidP="008432E8">
      <w:pPr>
        <w:shd w:val="clear" w:color="auto" w:fill="FFFFFF"/>
        <w:spacing w:before="180" w:after="180" w:line="360" w:lineRule="auto"/>
        <w:contextualSpacing/>
        <w:jc w:val="center"/>
        <w:rPr>
          <w:color w:val="000000" w:themeColor="text1"/>
          <w:shd w:val="clear" w:color="auto" w:fill="FFFFFF"/>
        </w:rPr>
      </w:pPr>
    </w:p>
    <w:p w14:paraId="7084C3C8" w14:textId="1A5FEEEE" w:rsidR="00A418FB" w:rsidRDefault="00916297"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For forecasting Cost of Sales and Net Property Plan and Equipment, further analysis was done. </w:t>
      </w:r>
    </w:p>
    <w:p w14:paraId="345AD642" w14:textId="77A8EB2B" w:rsidR="00A418FB" w:rsidRDefault="00A418FB" w:rsidP="008432E8">
      <w:pPr>
        <w:shd w:val="clear" w:color="auto" w:fill="FFFFFF"/>
        <w:spacing w:before="180" w:after="180" w:line="360" w:lineRule="auto"/>
        <w:contextualSpacing/>
        <w:jc w:val="both"/>
        <w:rPr>
          <w:color w:val="000000" w:themeColor="text1"/>
          <w:shd w:val="clear" w:color="auto" w:fill="FFFFFF"/>
        </w:rPr>
      </w:pPr>
    </w:p>
    <w:p w14:paraId="4C097AD1" w14:textId="2F5C04EB" w:rsidR="00A418FB" w:rsidRDefault="00744871" w:rsidP="008432E8">
      <w:pPr>
        <w:shd w:val="clear" w:color="auto" w:fill="FFFFFF"/>
        <w:spacing w:before="180" w:after="180" w:line="360" w:lineRule="auto"/>
        <w:contextualSpacing/>
        <w:jc w:val="both"/>
        <w:rPr>
          <w:color w:val="000000" w:themeColor="text1"/>
          <w:shd w:val="clear" w:color="auto" w:fill="FFFFFF"/>
        </w:rPr>
      </w:pPr>
      <w:r w:rsidRPr="008D6238">
        <w:rPr>
          <w:color w:val="000000" w:themeColor="text1"/>
          <w:shd w:val="clear" w:color="auto" w:fill="FFFFFF"/>
        </w:rPr>
        <w:t xml:space="preserve">In </w:t>
      </w:r>
      <w:r w:rsidR="008D6238" w:rsidRPr="008D6238">
        <w:rPr>
          <w:color w:val="000000" w:themeColor="text1"/>
          <w:shd w:val="clear" w:color="auto" w:fill="FFFFFF"/>
        </w:rPr>
        <w:t xml:space="preserve">Figure 4, we can see the </w:t>
      </w:r>
      <w:r w:rsidR="008D6238">
        <w:rPr>
          <w:color w:val="000000" w:themeColor="text1"/>
          <w:shd w:val="clear" w:color="auto" w:fill="FFFFFF"/>
        </w:rPr>
        <w:t xml:space="preserve">how COGS </w:t>
      </w:r>
      <w:proofErr w:type="gramStart"/>
      <w:r w:rsidR="008D6238">
        <w:rPr>
          <w:color w:val="000000" w:themeColor="text1"/>
          <w:shd w:val="clear" w:color="auto" w:fill="FFFFFF"/>
        </w:rPr>
        <w:t>does</w:t>
      </w:r>
      <w:proofErr w:type="gramEnd"/>
      <w:r w:rsidR="008D6238">
        <w:rPr>
          <w:color w:val="000000" w:themeColor="text1"/>
          <w:shd w:val="clear" w:color="auto" w:fill="FFFFFF"/>
        </w:rPr>
        <w:t xml:space="preserve"> not follow a clear trend, and that generally doesn’t behave hand by hand with sales. </w:t>
      </w:r>
      <w:proofErr w:type="gramStart"/>
      <w:r w:rsidR="008D6238">
        <w:rPr>
          <w:color w:val="000000" w:themeColor="text1"/>
          <w:shd w:val="clear" w:color="auto" w:fill="FFFFFF"/>
        </w:rPr>
        <w:t>However</w:t>
      </w:r>
      <w:proofErr w:type="gramEnd"/>
      <w:r w:rsidR="008D6238">
        <w:rPr>
          <w:color w:val="000000" w:themeColor="text1"/>
          <w:shd w:val="clear" w:color="auto" w:fill="FFFFFF"/>
        </w:rPr>
        <w:t xml:space="preserve"> we can see that it has a linear tendency, thus the best way to forecast sales is by using a linear regression with sales (</w:t>
      </w:r>
      <w:r w:rsidR="008D6238" w:rsidRPr="008D6238">
        <w:rPr>
          <w:i/>
          <w:iCs/>
          <w:color w:val="000000" w:themeColor="text1"/>
          <w:shd w:val="clear" w:color="auto" w:fill="FFFFFF"/>
        </w:rPr>
        <w:t>Figure 5</w:t>
      </w:r>
      <w:r w:rsidR="008D6238">
        <w:rPr>
          <w:color w:val="000000" w:themeColor="text1"/>
          <w:shd w:val="clear" w:color="auto" w:fill="FFFFFF"/>
        </w:rPr>
        <w:t xml:space="preserve">). </w:t>
      </w:r>
    </w:p>
    <w:p w14:paraId="2652C224" w14:textId="77777777" w:rsidR="00A418FB" w:rsidRDefault="00A418FB" w:rsidP="008432E8">
      <w:pPr>
        <w:shd w:val="clear" w:color="auto" w:fill="FFFFFF"/>
        <w:spacing w:before="180" w:after="180" w:line="360" w:lineRule="auto"/>
        <w:contextualSpacing/>
        <w:jc w:val="both"/>
        <w:rPr>
          <w:color w:val="000000" w:themeColor="text1"/>
          <w:shd w:val="clear" w:color="auto" w:fill="FFFFFF"/>
        </w:rPr>
      </w:pPr>
    </w:p>
    <w:p w14:paraId="263784D6" w14:textId="77894773" w:rsidR="00A418FB" w:rsidRDefault="008D6238" w:rsidP="008432E8">
      <w:pPr>
        <w:shd w:val="clear" w:color="auto" w:fill="FFFFFF"/>
        <w:spacing w:before="180" w:after="180" w:line="360" w:lineRule="auto"/>
        <w:contextualSpacing/>
        <w:jc w:val="center"/>
        <w:rPr>
          <w:color w:val="000000" w:themeColor="text1"/>
          <w:shd w:val="clear" w:color="auto" w:fill="FFFFFF"/>
        </w:rPr>
      </w:pPr>
      <w:r>
        <w:rPr>
          <w:noProof/>
        </w:rPr>
        <w:drawing>
          <wp:inline distT="0" distB="0" distL="0" distR="0" wp14:anchorId="06CEDE7F" wp14:editId="2A13F39A">
            <wp:extent cx="4114800" cy="2239347"/>
            <wp:effectExtent l="0" t="0" r="12700" b="8890"/>
            <wp:docPr id="7" name="Chart 7">
              <a:extLst xmlns:a="http://schemas.openxmlformats.org/drawingml/2006/main">
                <a:ext uri="{FF2B5EF4-FFF2-40B4-BE49-F238E27FC236}">
                  <a16:creationId xmlns:a16="http://schemas.microsoft.com/office/drawing/2014/main" id="{CCD1505C-BFE7-7AC4-3B1B-47AE7782E3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2E5152B" w14:textId="75890B4A" w:rsidR="008D6238" w:rsidRDefault="008D6238" w:rsidP="008432E8">
      <w:pPr>
        <w:shd w:val="clear" w:color="auto" w:fill="FFFFFF"/>
        <w:spacing w:before="180" w:after="180" w:line="360" w:lineRule="auto"/>
        <w:contextualSpacing/>
        <w:jc w:val="center"/>
        <w:rPr>
          <w:i/>
          <w:iCs/>
          <w:color w:val="000000" w:themeColor="text1"/>
          <w:shd w:val="clear" w:color="auto" w:fill="FFFFFF"/>
        </w:rPr>
      </w:pPr>
      <w:r>
        <w:rPr>
          <w:i/>
          <w:iCs/>
          <w:color w:val="000000" w:themeColor="text1"/>
          <w:shd w:val="clear" w:color="auto" w:fill="FFFFFF"/>
        </w:rPr>
        <w:t xml:space="preserve">Figure </w:t>
      </w:r>
      <w:r>
        <w:rPr>
          <w:i/>
          <w:iCs/>
          <w:color w:val="000000" w:themeColor="text1"/>
          <w:shd w:val="clear" w:color="auto" w:fill="FFFFFF"/>
        </w:rPr>
        <w:t>5</w:t>
      </w:r>
      <w:r>
        <w:rPr>
          <w:i/>
          <w:iCs/>
          <w:color w:val="000000" w:themeColor="text1"/>
          <w:shd w:val="clear" w:color="auto" w:fill="FFFFFF"/>
        </w:rPr>
        <w:t xml:space="preserve">. </w:t>
      </w:r>
      <w:r>
        <w:rPr>
          <w:i/>
          <w:iCs/>
          <w:color w:val="000000" w:themeColor="text1"/>
          <w:shd w:val="clear" w:color="auto" w:fill="FFFFFF"/>
        </w:rPr>
        <w:t>Quarterly sales and Cost of Sales</w:t>
      </w:r>
    </w:p>
    <w:p w14:paraId="25830335" w14:textId="77777777" w:rsidR="008D6238" w:rsidRPr="000F2930" w:rsidRDefault="008D6238" w:rsidP="008432E8">
      <w:pPr>
        <w:shd w:val="clear" w:color="auto" w:fill="FFFFFF"/>
        <w:spacing w:before="180" w:after="180" w:line="360" w:lineRule="auto"/>
        <w:contextualSpacing/>
        <w:jc w:val="center"/>
        <w:rPr>
          <w:i/>
          <w:iCs/>
          <w:color w:val="000000" w:themeColor="text1"/>
          <w:shd w:val="clear" w:color="auto" w:fill="FFFFFF"/>
        </w:rPr>
      </w:pPr>
    </w:p>
    <w:p w14:paraId="68870D7F" w14:textId="43F447CB" w:rsidR="008D6238" w:rsidRDefault="008D6238" w:rsidP="008432E8">
      <w:pPr>
        <w:shd w:val="clear" w:color="auto" w:fill="FFFFFF"/>
        <w:spacing w:before="180" w:after="180" w:line="360" w:lineRule="auto"/>
        <w:contextualSpacing/>
        <w:jc w:val="center"/>
        <w:rPr>
          <w:color w:val="000000" w:themeColor="text1"/>
          <w:shd w:val="clear" w:color="auto" w:fill="FFFFFF"/>
        </w:rPr>
      </w:pPr>
      <w:r>
        <w:rPr>
          <w:noProof/>
        </w:rPr>
        <w:drawing>
          <wp:inline distT="0" distB="0" distL="0" distR="0" wp14:anchorId="0D7315D5" wp14:editId="5A753169">
            <wp:extent cx="4587316" cy="2526276"/>
            <wp:effectExtent l="0" t="0" r="10160" b="13970"/>
            <wp:docPr id="8" name="Chart 8">
              <a:extLst xmlns:a="http://schemas.openxmlformats.org/drawingml/2006/main">
                <a:ext uri="{FF2B5EF4-FFF2-40B4-BE49-F238E27FC236}">
                  <a16:creationId xmlns:a16="http://schemas.microsoft.com/office/drawing/2014/main" id="{A9DBAD63-1324-3DF5-0271-D7F96C56E8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8F47FF3" w14:textId="6C3C045C" w:rsidR="008D6238" w:rsidRDefault="008D6238" w:rsidP="008432E8">
      <w:pPr>
        <w:shd w:val="clear" w:color="auto" w:fill="FFFFFF"/>
        <w:spacing w:before="180" w:after="180" w:line="360" w:lineRule="auto"/>
        <w:contextualSpacing/>
        <w:jc w:val="center"/>
        <w:rPr>
          <w:i/>
          <w:iCs/>
          <w:color w:val="000000" w:themeColor="text1"/>
          <w:shd w:val="clear" w:color="auto" w:fill="FFFFFF"/>
        </w:rPr>
      </w:pPr>
      <w:r>
        <w:rPr>
          <w:i/>
          <w:iCs/>
          <w:color w:val="000000" w:themeColor="text1"/>
          <w:shd w:val="clear" w:color="auto" w:fill="FFFFFF"/>
        </w:rPr>
        <w:t xml:space="preserve">Figure </w:t>
      </w:r>
      <w:r>
        <w:rPr>
          <w:i/>
          <w:iCs/>
          <w:color w:val="000000" w:themeColor="text1"/>
          <w:shd w:val="clear" w:color="auto" w:fill="FFFFFF"/>
        </w:rPr>
        <w:t>5</w:t>
      </w:r>
      <w:r>
        <w:rPr>
          <w:i/>
          <w:iCs/>
          <w:color w:val="000000" w:themeColor="text1"/>
          <w:shd w:val="clear" w:color="auto" w:fill="FFFFFF"/>
        </w:rPr>
        <w:t xml:space="preserve">. </w:t>
      </w:r>
      <w:r>
        <w:rPr>
          <w:i/>
          <w:iCs/>
          <w:color w:val="000000" w:themeColor="text1"/>
          <w:shd w:val="clear" w:color="auto" w:fill="FFFFFF"/>
        </w:rPr>
        <w:t>Relation Sales-COGS</w:t>
      </w:r>
    </w:p>
    <w:p w14:paraId="2E39132E" w14:textId="5EA18BEC" w:rsidR="008D6238" w:rsidRDefault="008D6238" w:rsidP="008432E8">
      <w:pPr>
        <w:shd w:val="clear" w:color="auto" w:fill="FFFFFF"/>
        <w:spacing w:before="180" w:after="180" w:line="360" w:lineRule="auto"/>
        <w:contextualSpacing/>
        <w:jc w:val="both"/>
        <w:rPr>
          <w:color w:val="000000" w:themeColor="text1"/>
          <w:shd w:val="clear" w:color="auto" w:fill="FFFFFF"/>
        </w:rPr>
      </w:pPr>
    </w:p>
    <w:p w14:paraId="7681D01F" w14:textId="6D1A2AF9" w:rsidR="008D6238" w:rsidRDefault="008D6238" w:rsidP="008432E8">
      <w:pPr>
        <w:shd w:val="clear" w:color="auto" w:fill="FFFFFF"/>
        <w:spacing w:before="180" w:after="180" w:line="360" w:lineRule="auto"/>
        <w:contextualSpacing/>
        <w:jc w:val="both"/>
        <w:rPr>
          <w:color w:val="000000" w:themeColor="text1"/>
          <w:shd w:val="clear" w:color="auto" w:fill="FFFFFF"/>
        </w:rPr>
      </w:pPr>
    </w:p>
    <w:p w14:paraId="1FEF7A16" w14:textId="412B598F" w:rsidR="008D6238" w:rsidRDefault="008D6238" w:rsidP="008432E8">
      <w:pPr>
        <w:shd w:val="clear" w:color="auto" w:fill="FFFFFF"/>
        <w:spacing w:before="180" w:after="180" w:line="360" w:lineRule="auto"/>
        <w:contextualSpacing/>
        <w:jc w:val="both"/>
        <w:rPr>
          <w:color w:val="000000" w:themeColor="text1"/>
          <w:shd w:val="clear" w:color="auto" w:fill="FFFFFF"/>
        </w:rPr>
      </w:pPr>
    </w:p>
    <w:p w14:paraId="78B85237" w14:textId="4B293AF1" w:rsidR="00BA0FB1" w:rsidRDefault="00234878"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If we pay attention, even if the majority of values follow the trend line, the R</w:t>
      </w:r>
      <w:r w:rsidRPr="00234878">
        <w:rPr>
          <w:color w:val="000000" w:themeColor="text1"/>
          <w:shd w:val="clear" w:color="auto" w:fill="FFFFFF"/>
          <w:vertAlign w:val="superscript"/>
        </w:rPr>
        <w:t>2</w:t>
      </w:r>
      <w:r>
        <w:rPr>
          <w:color w:val="000000" w:themeColor="text1"/>
          <w:shd w:val="clear" w:color="auto" w:fill="FFFFFF"/>
        </w:rPr>
        <w:t xml:space="preserve"> is</w:t>
      </w:r>
      <w:r w:rsidR="00BA0FB1">
        <w:rPr>
          <w:color w:val="000000" w:themeColor="text1"/>
          <w:shd w:val="clear" w:color="auto" w:fill="FFFFFF"/>
        </w:rPr>
        <w:t xml:space="preserve"> relatively low. This is because we can see two outliers where sales are higher than 5,000 that don’t line up with the trend. </w:t>
      </w:r>
      <w:proofErr w:type="gramStart"/>
      <w:r w:rsidR="00BA0FB1">
        <w:rPr>
          <w:color w:val="000000" w:themeColor="text1"/>
          <w:shd w:val="clear" w:color="auto" w:fill="FFFFFF"/>
        </w:rPr>
        <w:t>Hence</w:t>
      </w:r>
      <w:proofErr w:type="gramEnd"/>
      <w:r w:rsidR="00BA0FB1">
        <w:rPr>
          <w:color w:val="000000" w:themeColor="text1"/>
          <w:shd w:val="clear" w:color="auto" w:fill="FFFFFF"/>
        </w:rPr>
        <w:t xml:space="preserve"> I redid the regression without taking into account the outliers (</w:t>
      </w:r>
      <w:r w:rsidR="00BA0FB1" w:rsidRPr="00BA0FB1">
        <w:rPr>
          <w:i/>
          <w:iCs/>
          <w:color w:val="000000" w:themeColor="text1"/>
          <w:shd w:val="clear" w:color="auto" w:fill="FFFFFF"/>
        </w:rPr>
        <w:t>Figure 6</w:t>
      </w:r>
      <w:r w:rsidR="00BA0FB1">
        <w:rPr>
          <w:color w:val="000000" w:themeColor="text1"/>
          <w:shd w:val="clear" w:color="auto" w:fill="FFFFFF"/>
        </w:rPr>
        <w:t>).</w:t>
      </w:r>
    </w:p>
    <w:p w14:paraId="1DC568D8" w14:textId="4E671435" w:rsidR="008D6238" w:rsidRDefault="00BA0FB1" w:rsidP="008432E8">
      <w:pPr>
        <w:shd w:val="clear" w:color="auto" w:fill="FFFFFF"/>
        <w:spacing w:before="180" w:after="180" w:line="360" w:lineRule="auto"/>
        <w:contextualSpacing/>
        <w:jc w:val="center"/>
        <w:rPr>
          <w:color w:val="000000" w:themeColor="text1"/>
          <w:shd w:val="clear" w:color="auto" w:fill="FFFFFF"/>
        </w:rPr>
      </w:pPr>
      <w:r>
        <w:rPr>
          <w:noProof/>
        </w:rPr>
        <w:drawing>
          <wp:inline distT="0" distB="0" distL="0" distR="0" wp14:anchorId="637F1529" wp14:editId="3B3ED8EC">
            <wp:extent cx="4441890" cy="2444621"/>
            <wp:effectExtent l="0" t="0" r="15875" b="6985"/>
            <wp:docPr id="9" name="Chart 9">
              <a:extLst xmlns:a="http://schemas.openxmlformats.org/drawingml/2006/main">
                <a:ext uri="{FF2B5EF4-FFF2-40B4-BE49-F238E27FC236}">
                  <a16:creationId xmlns:a16="http://schemas.microsoft.com/office/drawing/2014/main" id="{ABEDCF1B-9D78-2744-8EBE-90D7B0F1BA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EB998FB" w14:textId="6412F1A0" w:rsidR="00BA0FB1" w:rsidRDefault="00BA0FB1" w:rsidP="008432E8">
      <w:pPr>
        <w:shd w:val="clear" w:color="auto" w:fill="FFFFFF"/>
        <w:spacing w:before="180" w:after="180" w:line="360" w:lineRule="auto"/>
        <w:contextualSpacing/>
        <w:jc w:val="center"/>
        <w:rPr>
          <w:i/>
          <w:iCs/>
          <w:color w:val="000000" w:themeColor="text1"/>
          <w:shd w:val="clear" w:color="auto" w:fill="FFFFFF"/>
        </w:rPr>
      </w:pPr>
      <w:r>
        <w:rPr>
          <w:i/>
          <w:iCs/>
          <w:color w:val="000000" w:themeColor="text1"/>
          <w:shd w:val="clear" w:color="auto" w:fill="FFFFFF"/>
        </w:rPr>
        <w:t xml:space="preserve">Figure </w:t>
      </w:r>
      <w:r w:rsidR="00623238">
        <w:rPr>
          <w:i/>
          <w:iCs/>
          <w:color w:val="000000" w:themeColor="text1"/>
          <w:shd w:val="clear" w:color="auto" w:fill="FFFFFF"/>
        </w:rPr>
        <w:t>6</w:t>
      </w:r>
      <w:r>
        <w:rPr>
          <w:i/>
          <w:iCs/>
          <w:color w:val="000000" w:themeColor="text1"/>
          <w:shd w:val="clear" w:color="auto" w:fill="FFFFFF"/>
        </w:rPr>
        <w:t>. Relation Sales-COGS</w:t>
      </w:r>
      <w:r w:rsidR="00623238">
        <w:rPr>
          <w:i/>
          <w:iCs/>
          <w:color w:val="000000" w:themeColor="text1"/>
          <w:shd w:val="clear" w:color="auto" w:fill="FFFFFF"/>
        </w:rPr>
        <w:t xml:space="preserve"> without outliers</w:t>
      </w:r>
    </w:p>
    <w:p w14:paraId="64FEBAFE" w14:textId="1B588DA6" w:rsidR="008D6238" w:rsidRDefault="008D6238" w:rsidP="008432E8">
      <w:pPr>
        <w:shd w:val="clear" w:color="auto" w:fill="FFFFFF"/>
        <w:spacing w:before="180" w:after="180" w:line="360" w:lineRule="auto"/>
        <w:contextualSpacing/>
        <w:jc w:val="both"/>
        <w:rPr>
          <w:color w:val="000000" w:themeColor="text1"/>
          <w:shd w:val="clear" w:color="auto" w:fill="FFFFFF"/>
        </w:rPr>
      </w:pPr>
    </w:p>
    <w:p w14:paraId="2F3ED7F2" w14:textId="6EFDD919" w:rsidR="008D6238" w:rsidRDefault="00623238"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With the new regression, to obtain the forecasted value for COGS, we just have to put the value of the sale forecasted before in the regression equation.</w:t>
      </w:r>
    </w:p>
    <w:p w14:paraId="2B869F9E" w14:textId="112EB745" w:rsidR="008D6238" w:rsidRDefault="008D6238" w:rsidP="008432E8">
      <w:pPr>
        <w:shd w:val="clear" w:color="auto" w:fill="FFFFFF"/>
        <w:spacing w:before="180" w:after="180" w:line="360" w:lineRule="auto"/>
        <w:contextualSpacing/>
        <w:jc w:val="both"/>
        <w:rPr>
          <w:color w:val="000000" w:themeColor="text1"/>
          <w:shd w:val="clear" w:color="auto" w:fill="FFFFFF"/>
        </w:rPr>
      </w:pPr>
    </w:p>
    <w:p w14:paraId="48397CA0" w14:textId="1F153733" w:rsidR="00BA0FB1" w:rsidRDefault="00623238"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On the other hand, in </w:t>
      </w:r>
      <w:r w:rsidRPr="008D6238">
        <w:rPr>
          <w:color w:val="000000" w:themeColor="text1"/>
          <w:shd w:val="clear" w:color="auto" w:fill="FFFFFF"/>
        </w:rPr>
        <w:t xml:space="preserve">Figure </w:t>
      </w:r>
      <w:r w:rsidR="006E2A6D">
        <w:rPr>
          <w:color w:val="000000" w:themeColor="text1"/>
          <w:shd w:val="clear" w:color="auto" w:fill="FFFFFF"/>
        </w:rPr>
        <w:t>7</w:t>
      </w:r>
      <w:r>
        <w:rPr>
          <w:color w:val="000000" w:themeColor="text1"/>
          <w:shd w:val="clear" w:color="auto" w:fill="FFFFFF"/>
        </w:rPr>
        <w:t xml:space="preserve">, we find reflected that Net PPE does have a trend. Hence for forecasting </w:t>
      </w:r>
      <w:r w:rsidR="006E2A6D">
        <w:rPr>
          <w:color w:val="000000" w:themeColor="text1"/>
          <w:shd w:val="clear" w:color="auto" w:fill="FFFFFF"/>
        </w:rPr>
        <w:t>this item we can just use the values obtained with the TREND formula in excel.</w:t>
      </w:r>
    </w:p>
    <w:p w14:paraId="198FCD06" w14:textId="184B358C" w:rsidR="00BA0FB1" w:rsidRDefault="006E2A6D" w:rsidP="008432E8">
      <w:pPr>
        <w:shd w:val="clear" w:color="auto" w:fill="FFFFFF"/>
        <w:spacing w:before="180" w:after="180" w:line="360" w:lineRule="auto"/>
        <w:contextualSpacing/>
        <w:jc w:val="center"/>
        <w:rPr>
          <w:color w:val="000000" w:themeColor="text1"/>
          <w:shd w:val="clear" w:color="auto" w:fill="FFFFFF"/>
        </w:rPr>
      </w:pPr>
      <w:r>
        <w:rPr>
          <w:noProof/>
        </w:rPr>
        <w:drawing>
          <wp:inline distT="0" distB="0" distL="0" distR="0" wp14:anchorId="18520D4F" wp14:editId="5C718087">
            <wp:extent cx="4544008" cy="2658745"/>
            <wp:effectExtent l="0" t="0" r="15875" b="8255"/>
            <wp:docPr id="10" name="Chart 10">
              <a:extLst xmlns:a="http://schemas.openxmlformats.org/drawingml/2006/main">
                <a:ext uri="{FF2B5EF4-FFF2-40B4-BE49-F238E27FC236}">
                  <a16:creationId xmlns:a16="http://schemas.microsoft.com/office/drawing/2014/main" id="{1A847372-72A7-81A3-2807-AEFC695F6C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BF36D28" w14:textId="07B2EC31" w:rsidR="006E2A6D" w:rsidRDefault="006E2A6D" w:rsidP="008432E8">
      <w:pPr>
        <w:shd w:val="clear" w:color="auto" w:fill="FFFFFF"/>
        <w:spacing w:before="180" w:after="180" w:line="360" w:lineRule="auto"/>
        <w:contextualSpacing/>
        <w:jc w:val="center"/>
        <w:rPr>
          <w:i/>
          <w:iCs/>
          <w:color w:val="000000" w:themeColor="text1"/>
          <w:shd w:val="clear" w:color="auto" w:fill="FFFFFF"/>
        </w:rPr>
      </w:pPr>
      <w:r>
        <w:rPr>
          <w:i/>
          <w:iCs/>
          <w:color w:val="000000" w:themeColor="text1"/>
          <w:shd w:val="clear" w:color="auto" w:fill="FFFFFF"/>
        </w:rPr>
        <w:lastRenderedPageBreak/>
        <w:t xml:space="preserve">Figure </w:t>
      </w:r>
      <w:r>
        <w:rPr>
          <w:i/>
          <w:iCs/>
          <w:color w:val="000000" w:themeColor="text1"/>
          <w:shd w:val="clear" w:color="auto" w:fill="FFFFFF"/>
        </w:rPr>
        <w:t>7</w:t>
      </w:r>
      <w:r>
        <w:rPr>
          <w:i/>
          <w:iCs/>
          <w:color w:val="000000" w:themeColor="text1"/>
          <w:shd w:val="clear" w:color="auto" w:fill="FFFFFF"/>
        </w:rPr>
        <w:t xml:space="preserve">. Quarterly sales and </w:t>
      </w:r>
      <w:r>
        <w:rPr>
          <w:i/>
          <w:iCs/>
          <w:color w:val="000000" w:themeColor="text1"/>
          <w:shd w:val="clear" w:color="auto" w:fill="FFFFFF"/>
        </w:rPr>
        <w:t>Net Property Plant &amp; Equipment</w:t>
      </w:r>
    </w:p>
    <w:p w14:paraId="26212545" w14:textId="02B811BF" w:rsidR="00BA0FB1" w:rsidRPr="00F5481F" w:rsidRDefault="001B37C9"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To forecast R&amp;D is trickier than it looks. As explained in the </w:t>
      </w:r>
      <w:hyperlink w:anchor="_Business_&amp;_Industry" w:history="1">
        <w:r w:rsidRPr="001B37C9">
          <w:rPr>
            <w:rStyle w:val="Hyperlink"/>
            <w:shd w:val="clear" w:color="auto" w:fill="FFFFFF"/>
          </w:rPr>
          <w:t>Company and Industry Analysis</w:t>
        </w:r>
      </w:hyperlink>
      <w:r w:rsidR="00772667">
        <w:rPr>
          <w:color w:val="000000" w:themeColor="text1"/>
          <w:shd w:val="clear" w:color="auto" w:fill="FFFFFF"/>
        </w:rPr>
        <w:t xml:space="preserve">, R&amp;D accounts for the most important aspect in companies that belong in the pharmaceutical industry. Also seen there, we know that R&amp;D expenses tent to have a positive tendency; thus, the first step in the analysis was to use the TREND function to predict the expense. Surprisingly though, the values obtained where lower than the previous period. The explanation for that can be found in the 10K fillings of the company for this past year </w:t>
      </w:r>
      <w:r w:rsidR="00772667">
        <w:rPr>
          <w:color w:val="000000" w:themeColor="text1"/>
          <w:shd w:val="clear" w:color="auto" w:fill="FFFFFF"/>
        </w:rPr>
        <w:t>(</w:t>
      </w:r>
      <w:hyperlink w:anchor="_References" w:history="1">
        <w:r w:rsidR="00772667" w:rsidRPr="00D470AD">
          <w:rPr>
            <w:rStyle w:val="Hyperlink"/>
            <w:i/>
            <w:iCs/>
          </w:rPr>
          <w:t>Inline XB</w:t>
        </w:r>
        <w:r w:rsidR="00772667" w:rsidRPr="00D470AD">
          <w:rPr>
            <w:rStyle w:val="Hyperlink"/>
            <w:i/>
            <w:iCs/>
          </w:rPr>
          <w:t>R</w:t>
        </w:r>
        <w:r w:rsidR="00772667" w:rsidRPr="00D470AD">
          <w:rPr>
            <w:rStyle w:val="Hyperlink"/>
            <w:i/>
            <w:iCs/>
          </w:rPr>
          <w:t>L Viewer</w:t>
        </w:r>
      </w:hyperlink>
      <w:r w:rsidR="00772667">
        <w:rPr>
          <w:color w:val="000000" w:themeColor="text1"/>
          <w:shd w:val="clear" w:color="auto" w:fill="FFFFFF"/>
        </w:rPr>
        <w:t xml:space="preserve">). </w:t>
      </w:r>
      <w:r w:rsidR="00F5481F">
        <w:rPr>
          <w:color w:val="000000" w:themeColor="text1"/>
          <w:shd w:val="clear" w:color="auto" w:fill="FFFFFF"/>
        </w:rPr>
        <w:t>In The Management Discussions (</w:t>
      </w:r>
      <w:r w:rsidR="00F5481F">
        <w:rPr>
          <w:i/>
          <w:iCs/>
          <w:color w:val="000000" w:themeColor="text1"/>
          <w:shd w:val="clear" w:color="auto" w:fill="FFFFFF"/>
        </w:rPr>
        <w:t>page 8</w:t>
      </w:r>
      <w:r w:rsidR="00F5481F">
        <w:rPr>
          <w:color w:val="000000" w:themeColor="text1"/>
          <w:shd w:val="clear" w:color="auto" w:fill="FFFFFF"/>
        </w:rPr>
        <w:t xml:space="preserve">) we find all the exceptional charges made in R&amp;D resulting from agreements made in previous years. The charges are way higher than previous years, this could be explained by the projects </w:t>
      </w:r>
      <w:r w:rsidR="00E13A05">
        <w:rPr>
          <w:color w:val="000000" w:themeColor="text1"/>
          <w:shd w:val="clear" w:color="auto" w:fill="FFFFFF"/>
        </w:rPr>
        <w:t>being put on standby due to Covid-19 and resumed this year.</w:t>
      </w:r>
    </w:p>
    <w:p w14:paraId="6483B070" w14:textId="779A4CF6" w:rsidR="00BA0FB1" w:rsidRDefault="00E13A05"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Since even if the values are lower, the projected values still have a positive trend, the value obtained with the TREND function is a good forecasting.</w:t>
      </w:r>
    </w:p>
    <w:p w14:paraId="1A21CDA7" w14:textId="77777777" w:rsidR="001D696D" w:rsidRDefault="001D696D" w:rsidP="008432E8">
      <w:pPr>
        <w:shd w:val="clear" w:color="auto" w:fill="FFFFFF"/>
        <w:spacing w:before="180" w:after="180" w:line="360" w:lineRule="auto"/>
        <w:contextualSpacing/>
        <w:jc w:val="both"/>
        <w:rPr>
          <w:color w:val="000000" w:themeColor="text1"/>
          <w:shd w:val="clear" w:color="auto" w:fill="FFFFFF"/>
        </w:rPr>
      </w:pPr>
    </w:p>
    <w:p w14:paraId="0EB75945" w14:textId="19BD9C4C" w:rsidR="00F5481F" w:rsidRDefault="001D696D"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Selling, general and administrative expenses are also forecasted with TREND, since even though they are related to sales, they don’t always move the same way so the forecast with excel gives a more accurate value.</w:t>
      </w:r>
    </w:p>
    <w:p w14:paraId="6A01DFC4" w14:textId="64F24FAC" w:rsidR="00E13A05" w:rsidRDefault="00E13A05" w:rsidP="008432E8">
      <w:pPr>
        <w:shd w:val="clear" w:color="auto" w:fill="FFFFFF"/>
        <w:spacing w:before="180" w:after="180" w:line="360" w:lineRule="auto"/>
        <w:contextualSpacing/>
        <w:jc w:val="both"/>
        <w:rPr>
          <w:color w:val="000000" w:themeColor="text1"/>
          <w:shd w:val="clear" w:color="auto" w:fill="FFFFFF"/>
        </w:rPr>
      </w:pPr>
    </w:p>
    <w:p w14:paraId="0D608E23" w14:textId="15B7049A" w:rsidR="00846923" w:rsidRDefault="001D696D"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For Restructuring costs, the pas</w:t>
      </w:r>
      <w:r w:rsidR="00846923">
        <w:rPr>
          <w:color w:val="000000" w:themeColor="text1"/>
          <w:shd w:val="clear" w:color="auto" w:fill="FFFFFF"/>
        </w:rPr>
        <w:t xml:space="preserve">t couple years had a lower value than the previous ones. However, on the </w:t>
      </w:r>
      <w:r w:rsidR="00846923" w:rsidRPr="00846923">
        <w:rPr>
          <w:color w:val="000000" w:themeColor="text1"/>
          <w:shd w:val="clear" w:color="auto" w:fill="FFFFFF"/>
        </w:rPr>
        <w:t>Business Developments</w:t>
      </w:r>
      <w:r w:rsidR="00846923">
        <w:rPr>
          <w:color w:val="000000" w:themeColor="text1"/>
          <w:shd w:val="clear" w:color="auto" w:fill="FFFFFF"/>
        </w:rPr>
        <w:t xml:space="preserve"> section in the </w:t>
      </w:r>
      <w:r w:rsidR="00846923">
        <w:rPr>
          <w:color w:val="000000" w:themeColor="text1"/>
          <w:shd w:val="clear" w:color="auto" w:fill="FFFFFF"/>
        </w:rPr>
        <w:t xml:space="preserve">10K </w:t>
      </w:r>
      <w:r w:rsidR="00846923">
        <w:rPr>
          <w:color w:val="000000" w:themeColor="text1"/>
          <w:shd w:val="clear" w:color="auto" w:fill="FFFFFF"/>
        </w:rPr>
        <w:t>report</w:t>
      </w:r>
      <w:r w:rsidR="00846923">
        <w:rPr>
          <w:color w:val="000000" w:themeColor="text1"/>
          <w:shd w:val="clear" w:color="auto" w:fill="FFFFFF"/>
        </w:rPr>
        <w:t xml:space="preserve"> for </w:t>
      </w:r>
      <w:r w:rsidR="00846923">
        <w:rPr>
          <w:color w:val="000000" w:themeColor="text1"/>
          <w:shd w:val="clear" w:color="auto" w:fill="FFFFFF"/>
        </w:rPr>
        <w:t>2022</w:t>
      </w:r>
      <w:r w:rsidR="00846923">
        <w:rPr>
          <w:color w:val="000000" w:themeColor="text1"/>
          <w:shd w:val="clear" w:color="auto" w:fill="FFFFFF"/>
        </w:rPr>
        <w:t xml:space="preserve"> (</w:t>
      </w:r>
      <w:hyperlink w:anchor="_References" w:history="1">
        <w:r w:rsidR="00846923" w:rsidRPr="00D470AD">
          <w:rPr>
            <w:rStyle w:val="Hyperlink"/>
            <w:i/>
            <w:iCs/>
          </w:rPr>
          <w:t>Inline XBRL Viewer</w:t>
        </w:r>
      </w:hyperlink>
      <w:r w:rsidR="00846923">
        <w:rPr>
          <w:color w:val="000000" w:themeColor="text1"/>
          <w:shd w:val="clear" w:color="auto" w:fill="FFFFFF"/>
        </w:rPr>
        <w:t>)</w:t>
      </w:r>
      <w:r w:rsidR="00177E03">
        <w:rPr>
          <w:color w:val="000000" w:themeColor="text1"/>
          <w:shd w:val="clear" w:color="auto" w:fill="FFFFFF"/>
        </w:rPr>
        <w:t xml:space="preserve">, they showed how the company is going to incurring the expense in the following quarters. By using TREND using at least 20 quarter of data we can approximate this cost since there </w:t>
      </w:r>
      <w:r w:rsidR="00A72501">
        <w:rPr>
          <w:color w:val="000000" w:themeColor="text1"/>
          <w:shd w:val="clear" w:color="auto" w:fill="FFFFFF"/>
        </w:rPr>
        <w:t>were</w:t>
      </w:r>
      <w:r w:rsidR="00177E03">
        <w:rPr>
          <w:color w:val="000000" w:themeColor="text1"/>
          <w:shd w:val="clear" w:color="auto" w:fill="FFFFFF"/>
        </w:rPr>
        <w:t xml:space="preserve"> also </w:t>
      </w:r>
      <w:r w:rsidR="00A72501">
        <w:rPr>
          <w:color w:val="000000" w:themeColor="text1"/>
          <w:shd w:val="clear" w:color="auto" w:fill="FFFFFF"/>
        </w:rPr>
        <w:t>big restructuring costs in the past</w:t>
      </w:r>
      <w:r w:rsidR="00977940">
        <w:rPr>
          <w:color w:val="000000" w:themeColor="text1"/>
          <w:shd w:val="clear" w:color="auto" w:fill="FFFFFF"/>
        </w:rPr>
        <w:t>.</w:t>
      </w:r>
    </w:p>
    <w:p w14:paraId="29383E7F" w14:textId="6DC24A9A" w:rsidR="00977940" w:rsidRDefault="00977940" w:rsidP="008432E8">
      <w:pPr>
        <w:shd w:val="clear" w:color="auto" w:fill="FFFFFF"/>
        <w:spacing w:before="180" w:after="180" w:line="360" w:lineRule="auto"/>
        <w:contextualSpacing/>
        <w:jc w:val="both"/>
        <w:rPr>
          <w:color w:val="000000" w:themeColor="text1"/>
          <w:shd w:val="clear" w:color="auto" w:fill="FFFFFF"/>
        </w:rPr>
      </w:pPr>
    </w:p>
    <w:p w14:paraId="51B4E630" w14:textId="060BCD12" w:rsidR="00977940" w:rsidRDefault="00977940"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Since the financials of the company are not stable due to the high </w:t>
      </w:r>
      <w:proofErr w:type="gramStart"/>
      <w:r>
        <w:rPr>
          <w:color w:val="000000" w:themeColor="text1"/>
          <w:shd w:val="clear" w:color="auto" w:fill="FFFFFF"/>
        </w:rPr>
        <w:t>amount</w:t>
      </w:r>
      <w:proofErr w:type="gramEnd"/>
      <w:r>
        <w:rPr>
          <w:color w:val="000000" w:themeColor="text1"/>
          <w:shd w:val="clear" w:color="auto" w:fill="FFFFFF"/>
        </w:rPr>
        <w:t xml:space="preserve"> of prior agreements with other pharma companies that come into place this year, and for which Merck is reliable to receive income or have to incur an expense and that depends on the external company, the item Other (income) expense, net was calculated with TREND.</w:t>
      </w:r>
    </w:p>
    <w:p w14:paraId="0DC6E068" w14:textId="219B9BBC" w:rsidR="00977940" w:rsidRDefault="00977940" w:rsidP="008432E8">
      <w:pPr>
        <w:shd w:val="clear" w:color="auto" w:fill="FFFFFF"/>
        <w:spacing w:before="180" w:after="180" w:line="360" w:lineRule="auto"/>
        <w:contextualSpacing/>
        <w:jc w:val="both"/>
        <w:rPr>
          <w:color w:val="000000" w:themeColor="text1"/>
          <w:shd w:val="clear" w:color="auto" w:fill="FFFFFF"/>
        </w:rPr>
      </w:pPr>
    </w:p>
    <w:p w14:paraId="69B241FD" w14:textId="477AA948" w:rsidR="00977940" w:rsidRDefault="00977940"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The tax rate was calculated </w:t>
      </w:r>
      <w:r w:rsidR="00892EA7">
        <w:rPr>
          <w:color w:val="000000" w:themeColor="text1"/>
          <w:shd w:val="clear" w:color="auto" w:fill="FFFFFF"/>
        </w:rPr>
        <w:t xml:space="preserve">by the division of Provision for Income tax </w:t>
      </w:r>
      <w:r w:rsidR="005C51B2">
        <w:rPr>
          <w:color w:val="000000" w:themeColor="text1"/>
          <w:shd w:val="clear" w:color="auto" w:fill="FFFFFF"/>
        </w:rPr>
        <w:t>by</w:t>
      </w:r>
      <w:r w:rsidR="00892EA7">
        <w:rPr>
          <w:color w:val="000000" w:themeColor="text1"/>
          <w:shd w:val="clear" w:color="auto" w:fill="FFFFFF"/>
        </w:rPr>
        <w:t xml:space="preserve"> Income before tax. </w:t>
      </w:r>
      <w:r w:rsidR="005C51B2">
        <w:rPr>
          <w:color w:val="000000" w:themeColor="text1"/>
          <w:shd w:val="clear" w:color="auto" w:fill="FFFFFF"/>
        </w:rPr>
        <w:t xml:space="preserve">In order to obtain the value for Provision for Income tax, we calculated the percentage of tax from the previous quarters by dividing the tax values from that year by the income before tax for the </w:t>
      </w:r>
      <w:r w:rsidR="005C51B2">
        <w:rPr>
          <w:color w:val="000000" w:themeColor="text1"/>
          <w:shd w:val="clear" w:color="auto" w:fill="FFFFFF"/>
        </w:rPr>
        <w:lastRenderedPageBreak/>
        <w:t>past three years. With that we were able to obtain the projected tax rates, and using the real forecasted values obtained in the forecasted income statement for Income before tax, we multiplied it by the tax rate obtained.</w:t>
      </w:r>
    </w:p>
    <w:p w14:paraId="2EE720FB" w14:textId="7BF39923" w:rsidR="00892EA7" w:rsidRDefault="00892EA7" w:rsidP="008432E8">
      <w:pPr>
        <w:shd w:val="clear" w:color="auto" w:fill="FFFFFF"/>
        <w:spacing w:before="180" w:after="180" w:line="360" w:lineRule="auto"/>
        <w:contextualSpacing/>
        <w:jc w:val="both"/>
        <w:rPr>
          <w:color w:val="000000" w:themeColor="text1"/>
          <w:shd w:val="clear" w:color="auto" w:fill="FFFFFF"/>
        </w:rPr>
      </w:pPr>
    </w:p>
    <w:p w14:paraId="4B46BBCA" w14:textId="0538D79B" w:rsidR="00F147C1" w:rsidRPr="00846923" w:rsidRDefault="00F147C1"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Finally, net </w:t>
      </w:r>
      <w:r w:rsidR="00951D45">
        <w:rPr>
          <w:color w:val="000000" w:themeColor="text1"/>
          <w:shd w:val="clear" w:color="auto" w:fill="FFFFFF"/>
        </w:rPr>
        <w:t>income attributable to noncontrolling interest was also calculated using TREND but using a shorter period of time since that value was pretty stable during the past three years.</w:t>
      </w:r>
    </w:p>
    <w:p w14:paraId="1B6340A1" w14:textId="1D0851B0" w:rsidR="001D696D" w:rsidRDefault="001D696D" w:rsidP="008432E8">
      <w:pPr>
        <w:shd w:val="clear" w:color="auto" w:fill="FFFFFF"/>
        <w:spacing w:before="180" w:after="180" w:line="360" w:lineRule="auto"/>
        <w:contextualSpacing/>
        <w:jc w:val="both"/>
        <w:rPr>
          <w:color w:val="000000" w:themeColor="text1"/>
          <w:shd w:val="clear" w:color="auto" w:fill="FFFFFF"/>
        </w:rPr>
      </w:pPr>
    </w:p>
    <w:p w14:paraId="5BC19A83" w14:textId="44A845A9" w:rsidR="00042655" w:rsidRDefault="00042655"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For the </w:t>
      </w:r>
      <w:r w:rsidRPr="00B00BAA">
        <w:rPr>
          <w:color w:val="000000" w:themeColor="text1"/>
          <w:u w:val="single"/>
          <w:shd w:val="clear" w:color="auto" w:fill="FFFFFF"/>
        </w:rPr>
        <w:t>Balance Sheet</w:t>
      </w:r>
      <w:r>
        <w:rPr>
          <w:color w:val="000000" w:themeColor="text1"/>
          <w:shd w:val="clear" w:color="auto" w:fill="FFFFFF"/>
        </w:rPr>
        <w:t xml:space="preserve"> accounts, </w:t>
      </w:r>
      <w:r w:rsidR="00B23CF1">
        <w:rPr>
          <w:color w:val="000000" w:themeColor="text1"/>
          <w:shd w:val="clear" w:color="auto" w:fill="FFFFFF"/>
        </w:rPr>
        <w:t>Inventory was also predicted using a trend based on the past three years since there’s no specific explanation on what will happen in the future with inventories and the values are closer to the real ones by following the tendency than relating it to sales.</w:t>
      </w:r>
    </w:p>
    <w:p w14:paraId="068540EF" w14:textId="4118D0D0" w:rsidR="00AA3206" w:rsidRDefault="00AA3206" w:rsidP="008432E8">
      <w:pPr>
        <w:shd w:val="clear" w:color="auto" w:fill="FFFFFF"/>
        <w:spacing w:before="180" w:after="180" w:line="360" w:lineRule="auto"/>
        <w:contextualSpacing/>
        <w:jc w:val="both"/>
        <w:rPr>
          <w:color w:val="000000" w:themeColor="text1"/>
          <w:shd w:val="clear" w:color="auto" w:fill="FFFFFF"/>
        </w:rPr>
      </w:pPr>
    </w:p>
    <w:p w14:paraId="700F9A0B" w14:textId="6DE4491B" w:rsidR="00AA3206" w:rsidRDefault="00AA3206"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PPE was explained at the beginning of this section.</w:t>
      </w:r>
    </w:p>
    <w:p w14:paraId="69D57058" w14:textId="3C43C127" w:rsidR="00AA3206" w:rsidRDefault="00AA3206" w:rsidP="008432E8">
      <w:pPr>
        <w:shd w:val="clear" w:color="auto" w:fill="FFFFFF"/>
        <w:spacing w:before="180" w:after="180" w:line="360" w:lineRule="auto"/>
        <w:contextualSpacing/>
        <w:jc w:val="both"/>
        <w:rPr>
          <w:color w:val="000000" w:themeColor="text1"/>
          <w:shd w:val="clear" w:color="auto" w:fill="FFFFFF"/>
        </w:rPr>
      </w:pPr>
    </w:p>
    <w:p w14:paraId="0E55BF33" w14:textId="1A7A92DB" w:rsidR="00AA3206" w:rsidRDefault="00E10FB6"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By looking at the previous data of accrued and other current liabilities</w:t>
      </w:r>
      <w:r w:rsidR="00B00BAA">
        <w:rPr>
          <w:color w:val="000000" w:themeColor="text1"/>
          <w:shd w:val="clear" w:color="auto" w:fill="FFFFFF"/>
        </w:rPr>
        <w:t>, we can clearly see a tendency, so TREND was used to forecast it.</w:t>
      </w:r>
    </w:p>
    <w:p w14:paraId="2966D50C" w14:textId="6907EF5E" w:rsidR="00042655" w:rsidRDefault="00042655" w:rsidP="008432E8">
      <w:pPr>
        <w:shd w:val="clear" w:color="auto" w:fill="FFFFFF"/>
        <w:spacing w:before="180" w:after="180" w:line="360" w:lineRule="auto"/>
        <w:contextualSpacing/>
        <w:jc w:val="both"/>
        <w:rPr>
          <w:color w:val="000000" w:themeColor="text1"/>
          <w:shd w:val="clear" w:color="auto" w:fill="FFFFFF"/>
        </w:rPr>
      </w:pPr>
    </w:p>
    <w:p w14:paraId="5252CE76" w14:textId="7AAC4605" w:rsidR="00C829DB" w:rsidRDefault="00B00BAA"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Short and Long term debt was the hardest to forecast. After extensive research, we found out that Merck had over </w:t>
      </w:r>
      <w:r w:rsidR="00697302">
        <w:rPr>
          <w:color w:val="000000" w:themeColor="text1"/>
          <w:shd w:val="clear" w:color="auto" w:fill="FFFFFF"/>
        </w:rPr>
        <w:t>26</w:t>
      </w:r>
      <w:r w:rsidR="00C829DB">
        <w:rPr>
          <w:color w:val="000000" w:themeColor="text1"/>
          <w:shd w:val="clear" w:color="auto" w:fill="FFFFFF"/>
        </w:rPr>
        <w:t>%</w:t>
      </w:r>
      <w:r w:rsidR="00C829DB">
        <w:rPr>
          <w:color w:val="000000" w:themeColor="text1"/>
          <w:shd w:val="clear" w:color="auto" w:fill="FFFFFF"/>
        </w:rPr>
        <w:t xml:space="preserve"> </w:t>
      </w:r>
      <w:r w:rsidR="00E42879">
        <w:rPr>
          <w:color w:val="000000" w:themeColor="text1"/>
          <w:shd w:val="clear" w:color="auto" w:fill="FFFFFF"/>
        </w:rPr>
        <w:t xml:space="preserve">of </w:t>
      </w:r>
      <w:r w:rsidR="00C829DB">
        <w:rPr>
          <w:color w:val="000000" w:themeColor="text1"/>
          <w:shd w:val="clear" w:color="auto" w:fill="FFFFFF"/>
        </w:rPr>
        <w:t xml:space="preserve">their </w:t>
      </w:r>
      <w:r w:rsidR="00E42879">
        <w:rPr>
          <w:color w:val="000000" w:themeColor="text1"/>
          <w:shd w:val="clear" w:color="auto" w:fill="FFFFFF"/>
        </w:rPr>
        <w:t xml:space="preserve">long-term debt whose maturity felt within the year, thus was going to </w:t>
      </w:r>
      <w:r w:rsidR="00AD33FC">
        <w:rPr>
          <w:color w:val="000000" w:themeColor="text1"/>
          <w:shd w:val="clear" w:color="auto" w:fill="FFFFFF"/>
        </w:rPr>
        <w:t>move to short term debt.</w:t>
      </w:r>
      <w:r w:rsidR="00C829DB">
        <w:rPr>
          <w:color w:val="000000" w:themeColor="text1"/>
          <w:shd w:val="clear" w:color="auto" w:fill="FFFFFF"/>
        </w:rPr>
        <w:t xml:space="preserve"> </w:t>
      </w:r>
    </w:p>
    <w:p w14:paraId="490551E9" w14:textId="70C516DB" w:rsidR="00C829DB" w:rsidRDefault="00C829DB"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Also, Merck is a company that is generally characterized by having a small proportion of debt, having a net debt of only 0.8 times its EBITDA and an interest expense coverage of 23.5 times with its EBIT. </w:t>
      </w:r>
      <w:r w:rsidR="0023495F">
        <w:rPr>
          <w:color w:val="000000" w:themeColor="text1"/>
          <w:shd w:val="clear" w:color="auto" w:fill="FFFFFF"/>
        </w:rPr>
        <w:t>Adding up the fact that there’s no mention of intentions of the company to acquire a high volume of new debt,</w:t>
      </w:r>
      <w:r>
        <w:rPr>
          <w:color w:val="000000" w:themeColor="text1"/>
          <w:shd w:val="clear" w:color="auto" w:fill="FFFFFF"/>
        </w:rPr>
        <w:t xml:space="preserve"> we can assume than in the following </w:t>
      </w:r>
      <w:r w:rsidR="0023495F">
        <w:rPr>
          <w:color w:val="000000" w:themeColor="text1"/>
          <w:shd w:val="clear" w:color="auto" w:fill="FFFFFF"/>
        </w:rPr>
        <w:t>year Merck is not going to incur a huge increase in long-term debt.</w:t>
      </w:r>
    </w:p>
    <w:p w14:paraId="0BFF531F" w14:textId="1A0DE233" w:rsidR="00846923" w:rsidRDefault="0023495F"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So, in</w:t>
      </w:r>
      <w:r w:rsidR="00C829DB">
        <w:rPr>
          <w:color w:val="000000" w:themeColor="text1"/>
          <w:shd w:val="clear" w:color="auto" w:fill="FFFFFF"/>
        </w:rPr>
        <w:t xml:space="preserve"> order to estimate the future values, first we calculated the </w:t>
      </w:r>
      <w:r w:rsidR="00697302">
        <w:rPr>
          <w:color w:val="000000" w:themeColor="text1"/>
          <w:shd w:val="clear" w:color="auto" w:fill="FFFFFF"/>
        </w:rPr>
        <w:t>trend</w:t>
      </w:r>
      <w:r w:rsidR="00C829DB">
        <w:rPr>
          <w:color w:val="000000" w:themeColor="text1"/>
          <w:shd w:val="clear" w:color="auto" w:fill="FFFFFF"/>
        </w:rPr>
        <w:t xml:space="preserve"> for long-term debt to account for a little incre</w:t>
      </w:r>
      <w:r>
        <w:rPr>
          <w:color w:val="000000" w:themeColor="text1"/>
          <w:shd w:val="clear" w:color="auto" w:fill="FFFFFF"/>
        </w:rPr>
        <w:t>ase just in case</w:t>
      </w:r>
      <w:r w:rsidR="00697302">
        <w:rPr>
          <w:color w:val="000000" w:themeColor="text1"/>
          <w:shd w:val="clear" w:color="auto" w:fill="FFFFFF"/>
        </w:rPr>
        <w:t>. Then we multiplied it by the percentage that was going to change to short term debt. Subtracting that from the forecasted value and we get the new and final forecasting. For the short-term debt, we also calculated the trend and added up the value subtracted from long-term debt.</w:t>
      </w:r>
    </w:p>
    <w:p w14:paraId="5D399C56" w14:textId="062F89FB" w:rsidR="00846923" w:rsidRDefault="00846923" w:rsidP="008432E8">
      <w:pPr>
        <w:shd w:val="clear" w:color="auto" w:fill="FFFFFF"/>
        <w:spacing w:before="180" w:after="180" w:line="360" w:lineRule="auto"/>
        <w:contextualSpacing/>
        <w:jc w:val="both"/>
        <w:rPr>
          <w:color w:val="000000" w:themeColor="text1"/>
          <w:shd w:val="clear" w:color="auto" w:fill="FFFFFF"/>
        </w:rPr>
      </w:pPr>
    </w:p>
    <w:p w14:paraId="68CD0386" w14:textId="09E97C63" w:rsidR="00846923" w:rsidRDefault="007F4DFD"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lastRenderedPageBreak/>
        <w:t>Income taxes payable follow a special distribution. The fluctuate around a value for a few periods, the change to a different value and again fluctuate so on and so off. At the end it was forecasted using trend since there was a high probability of a change in the following periods.</w:t>
      </w:r>
    </w:p>
    <w:p w14:paraId="3F5F3A06" w14:textId="4341DED5" w:rsidR="00846923" w:rsidRDefault="00846923" w:rsidP="008432E8">
      <w:pPr>
        <w:shd w:val="clear" w:color="auto" w:fill="FFFFFF"/>
        <w:spacing w:before="180" w:after="180" w:line="360" w:lineRule="auto"/>
        <w:contextualSpacing/>
        <w:jc w:val="both"/>
        <w:rPr>
          <w:color w:val="000000" w:themeColor="text1"/>
          <w:shd w:val="clear" w:color="auto" w:fill="FFFFFF"/>
        </w:rPr>
      </w:pPr>
    </w:p>
    <w:p w14:paraId="510E655F" w14:textId="531EDB94" w:rsidR="00846923" w:rsidRDefault="00F56613"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After looking at valuations on Merck and a recent announcement the company making a leap when increasing the payment of dividends after the second quarter of November 2022, in order to forecast the dividends payable, we adjusted the trend to account for that increase.</w:t>
      </w:r>
    </w:p>
    <w:p w14:paraId="53E1EB19" w14:textId="3982DF1C" w:rsidR="00C829DB" w:rsidRDefault="00C829DB" w:rsidP="008432E8">
      <w:pPr>
        <w:shd w:val="clear" w:color="auto" w:fill="FFFFFF"/>
        <w:spacing w:before="180" w:after="180" w:line="360" w:lineRule="auto"/>
        <w:contextualSpacing/>
        <w:jc w:val="both"/>
        <w:rPr>
          <w:color w:val="000000" w:themeColor="text1"/>
          <w:shd w:val="clear" w:color="auto" w:fill="FFFFFF"/>
        </w:rPr>
      </w:pPr>
    </w:p>
    <w:p w14:paraId="6CB5F8AE" w14:textId="25C75D43" w:rsidR="001E2FAF" w:rsidRDefault="001E2FAF"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Deferred Income Taxes and Noncontrolling Interests were also forecasted using trend since we can see a consistency in the past periods and don’t depend on sales. </w:t>
      </w:r>
    </w:p>
    <w:p w14:paraId="7A646A9C" w14:textId="6C51A648" w:rsidR="001D696D" w:rsidRDefault="001D696D" w:rsidP="008432E8">
      <w:pPr>
        <w:shd w:val="clear" w:color="auto" w:fill="FFFFFF"/>
        <w:spacing w:before="180" w:after="180" w:line="360" w:lineRule="auto"/>
        <w:contextualSpacing/>
        <w:jc w:val="both"/>
        <w:rPr>
          <w:color w:val="000000" w:themeColor="text1"/>
          <w:shd w:val="clear" w:color="auto" w:fill="FFFFFF"/>
        </w:rPr>
      </w:pPr>
    </w:p>
    <w:p w14:paraId="13651B49" w14:textId="3302F4D6" w:rsidR="001E2FAF" w:rsidRDefault="001E2FAF"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The interest rates remain the same for the forecast since it’s only for one year and the interest rates are annually. The interest rates were obtained from the Federal Reserve System and debt analysis.</w:t>
      </w:r>
    </w:p>
    <w:p w14:paraId="2C9F35A4" w14:textId="6A04F699" w:rsidR="001D696D" w:rsidRDefault="001D696D" w:rsidP="008432E8">
      <w:pPr>
        <w:shd w:val="clear" w:color="auto" w:fill="FFFFFF"/>
        <w:spacing w:before="180" w:after="180" w:line="360" w:lineRule="auto"/>
        <w:contextualSpacing/>
        <w:jc w:val="both"/>
        <w:rPr>
          <w:color w:val="000000" w:themeColor="text1"/>
          <w:shd w:val="clear" w:color="auto" w:fill="FFFFFF"/>
        </w:rPr>
      </w:pPr>
    </w:p>
    <w:p w14:paraId="5B7546EA" w14:textId="5E9E9793" w:rsidR="001E2FAF" w:rsidRDefault="001E2FAF"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At last, even though Depreciation and Amortization don’t appear in the income statement, they have a registered expense for each item in the 10Q report. With that we calculated the amount of depreciation and amortization as a percentage of net PPE (since according to the report the majority of the expense is accounted from PPE).</w:t>
      </w:r>
    </w:p>
    <w:p w14:paraId="220B274E" w14:textId="20EFB148" w:rsidR="001D696D" w:rsidRDefault="001D696D" w:rsidP="008432E8">
      <w:pPr>
        <w:shd w:val="clear" w:color="auto" w:fill="FFFFFF"/>
        <w:spacing w:before="180" w:after="180" w:line="360" w:lineRule="auto"/>
        <w:contextualSpacing/>
        <w:jc w:val="both"/>
        <w:rPr>
          <w:color w:val="000000" w:themeColor="text1"/>
          <w:shd w:val="clear" w:color="auto" w:fill="FFFFFF"/>
        </w:rPr>
      </w:pPr>
    </w:p>
    <w:p w14:paraId="2670D7BF" w14:textId="19B67463" w:rsidR="001D696D" w:rsidRDefault="00A72501"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*All the TREND calculations and past quarter data can be found in the second window of the excel file called F.</w:t>
      </w:r>
    </w:p>
    <w:p w14:paraId="6EFC14F0" w14:textId="22BC793E" w:rsidR="00E13A05" w:rsidRDefault="00E13A05"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*In the company reports they don’t give importance to </w:t>
      </w:r>
      <w:r w:rsidR="00697302">
        <w:rPr>
          <w:color w:val="000000" w:themeColor="text1"/>
          <w:shd w:val="clear" w:color="auto" w:fill="FFFFFF"/>
        </w:rPr>
        <w:t>inflation,</w:t>
      </w:r>
      <w:r>
        <w:rPr>
          <w:color w:val="000000" w:themeColor="text1"/>
          <w:shd w:val="clear" w:color="auto" w:fill="FFFFFF"/>
        </w:rPr>
        <w:t xml:space="preserve"> so it’s not present in the calculations.</w:t>
      </w:r>
    </w:p>
    <w:p w14:paraId="3384146B" w14:textId="77777777" w:rsidR="00AD5E41" w:rsidRDefault="00AD5E41" w:rsidP="008432E8">
      <w:pPr>
        <w:shd w:val="clear" w:color="auto" w:fill="FFFFFF"/>
        <w:spacing w:before="180" w:after="180" w:line="360" w:lineRule="auto"/>
        <w:contextualSpacing/>
        <w:jc w:val="both"/>
        <w:rPr>
          <w:color w:val="000000" w:themeColor="text1"/>
          <w:shd w:val="clear" w:color="auto" w:fill="FFFFFF"/>
        </w:rPr>
      </w:pPr>
    </w:p>
    <w:p w14:paraId="36535ECB" w14:textId="37A4F45A" w:rsidR="008D6238" w:rsidRDefault="00623238" w:rsidP="008432E8">
      <w:pPr>
        <w:pStyle w:val="Heading1"/>
        <w:numPr>
          <w:ilvl w:val="1"/>
          <w:numId w:val="8"/>
        </w:numPr>
        <w:spacing w:line="360" w:lineRule="auto"/>
        <w:jc w:val="both"/>
        <w:rPr>
          <w:sz w:val="32"/>
          <w:szCs w:val="32"/>
          <w:shd w:val="clear" w:color="auto" w:fill="FFFFFF"/>
        </w:rPr>
      </w:pPr>
      <w:r>
        <w:rPr>
          <w:sz w:val="32"/>
          <w:szCs w:val="32"/>
          <w:shd w:val="clear" w:color="auto" w:fill="FFFFFF"/>
        </w:rPr>
        <w:t>Forecasted IS</w:t>
      </w:r>
    </w:p>
    <w:p w14:paraId="4E3EE9FA" w14:textId="3672FF16" w:rsidR="00C50372" w:rsidRDefault="00C50372"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Total net sales increased almost 10%</w:t>
      </w:r>
      <w:r w:rsidR="00C20FAD">
        <w:rPr>
          <w:color w:val="000000" w:themeColor="text1"/>
          <w:shd w:val="clear" w:color="auto" w:fill="FFFFFF"/>
        </w:rPr>
        <w:t xml:space="preserve"> in the year forecasted.</w:t>
      </w:r>
      <w:r w:rsidR="00536E46">
        <w:rPr>
          <w:color w:val="000000" w:themeColor="text1"/>
          <w:shd w:val="clear" w:color="auto" w:fill="FFFFFF"/>
        </w:rPr>
        <w:t xml:space="preserve"> </w:t>
      </w:r>
    </w:p>
    <w:p w14:paraId="08DB85EB" w14:textId="77777777" w:rsidR="00536E46" w:rsidRDefault="00536E46" w:rsidP="008432E8">
      <w:pPr>
        <w:shd w:val="clear" w:color="auto" w:fill="FFFFFF"/>
        <w:spacing w:before="180" w:after="180" w:line="360" w:lineRule="auto"/>
        <w:contextualSpacing/>
        <w:jc w:val="both"/>
        <w:rPr>
          <w:color w:val="000000" w:themeColor="text1"/>
          <w:shd w:val="clear" w:color="auto" w:fill="FFFFFF"/>
        </w:rPr>
      </w:pPr>
    </w:p>
    <w:p w14:paraId="74B0B13A" w14:textId="09D122E3" w:rsidR="00536E46" w:rsidRPr="00C50372" w:rsidRDefault="00536E46"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Cost of sales also increased with a percentage of 9.03 due to the fact that if was forecasted with a regression dependent on sales. It represents almost the same % of sales.</w:t>
      </w:r>
    </w:p>
    <w:p w14:paraId="2AABFD9B" w14:textId="0DDEF63F" w:rsidR="00C50372" w:rsidRDefault="00536E46"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lastRenderedPageBreak/>
        <w:t>Hence the gross margin increased in a similar proportion as sales and COGS.</w:t>
      </w:r>
    </w:p>
    <w:p w14:paraId="5AD39F43" w14:textId="17E220C6" w:rsidR="00C50372" w:rsidRDefault="00C50372" w:rsidP="008432E8">
      <w:pPr>
        <w:shd w:val="clear" w:color="auto" w:fill="FFFFFF"/>
        <w:spacing w:before="180" w:after="180" w:line="360" w:lineRule="auto"/>
        <w:contextualSpacing/>
        <w:jc w:val="both"/>
        <w:rPr>
          <w:color w:val="000000" w:themeColor="text1"/>
          <w:shd w:val="clear" w:color="auto" w:fill="FFFFFF"/>
        </w:rPr>
      </w:pPr>
    </w:p>
    <w:p w14:paraId="591002ED" w14:textId="4AB4E743" w:rsidR="00C50372" w:rsidRDefault="00785661"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For the operating expenses</w:t>
      </w:r>
      <w:r w:rsidR="00EB0AC1">
        <w:rPr>
          <w:color w:val="000000" w:themeColor="text1"/>
          <w:shd w:val="clear" w:color="auto" w:fill="FFFFFF"/>
        </w:rPr>
        <w:t>;</w:t>
      </w:r>
      <w:r>
        <w:rPr>
          <w:color w:val="000000" w:themeColor="text1"/>
          <w:shd w:val="clear" w:color="auto" w:fill="FFFFFF"/>
        </w:rPr>
        <w:t xml:space="preserve"> </w:t>
      </w:r>
      <w:r w:rsidR="00EB0AC1">
        <w:rPr>
          <w:color w:val="000000" w:themeColor="text1"/>
          <w:shd w:val="clear" w:color="auto" w:fill="FFFFFF"/>
        </w:rPr>
        <w:t>R&amp;D costs were reduced and represent a lower percentage of sales since it wasn’t forecasted only taking into that variable.</w:t>
      </w:r>
    </w:p>
    <w:p w14:paraId="7AFBF452" w14:textId="1918DFE4" w:rsidR="00785661" w:rsidRDefault="00EB0AC1"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Same goes for </w:t>
      </w:r>
      <w:r>
        <w:rPr>
          <w:color w:val="000000" w:themeColor="text1"/>
          <w:shd w:val="clear" w:color="auto" w:fill="FFFFFF"/>
        </w:rPr>
        <w:t>selling, general and administrative costs</w:t>
      </w:r>
      <w:r>
        <w:rPr>
          <w:color w:val="000000" w:themeColor="text1"/>
          <w:shd w:val="clear" w:color="auto" w:fill="FFFFFF"/>
        </w:rPr>
        <w:t>.</w:t>
      </w:r>
    </w:p>
    <w:p w14:paraId="506EBAC7" w14:textId="69541C6C" w:rsidR="00785661" w:rsidRDefault="00785661" w:rsidP="008432E8">
      <w:pPr>
        <w:shd w:val="clear" w:color="auto" w:fill="FFFFFF"/>
        <w:spacing w:before="180" w:after="180" w:line="360" w:lineRule="auto"/>
        <w:contextualSpacing/>
        <w:jc w:val="both"/>
        <w:rPr>
          <w:color w:val="000000" w:themeColor="text1"/>
          <w:shd w:val="clear" w:color="auto" w:fill="FFFFFF"/>
        </w:rPr>
      </w:pPr>
    </w:p>
    <w:p w14:paraId="5AD355E4" w14:textId="56F074B0" w:rsidR="0072653F" w:rsidRDefault="0072653F"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Restructuring costs decreased in approximately 500% during the forecasted period and represent a bigger percentage of sales than the present due to the restructure caused by the opening of a new sub business.   </w:t>
      </w:r>
    </w:p>
    <w:p w14:paraId="7F3663A9" w14:textId="0A0FA58F" w:rsidR="00785661" w:rsidRDefault="00785661" w:rsidP="008432E8">
      <w:pPr>
        <w:shd w:val="clear" w:color="auto" w:fill="FFFFFF"/>
        <w:spacing w:before="180" w:after="180" w:line="360" w:lineRule="auto"/>
        <w:contextualSpacing/>
        <w:jc w:val="both"/>
        <w:rPr>
          <w:color w:val="000000" w:themeColor="text1"/>
          <w:shd w:val="clear" w:color="auto" w:fill="FFFFFF"/>
        </w:rPr>
      </w:pPr>
    </w:p>
    <w:p w14:paraId="154F0324" w14:textId="1448089F" w:rsidR="004C7BCF" w:rsidRDefault="004C7BCF"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On the whole, total operating expenses decreased, but less than the increase in gross margin, hence the total operating income increased.</w:t>
      </w:r>
    </w:p>
    <w:p w14:paraId="0EFE77D1" w14:textId="53C4843D" w:rsidR="00785661" w:rsidRDefault="00785661" w:rsidP="008432E8">
      <w:pPr>
        <w:shd w:val="clear" w:color="auto" w:fill="FFFFFF"/>
        <w:spacing w:before="180" w:after="180" w:line="360" w:lineRule="auto"/>
        <w:contextualSpacing/>
        <w:jc w:val="both"/>
        <w:rPr>
          <w:color w:val="000000" w:themeColor="text1"/>
          <w:shd w:val="clear" w:color="auto" w:fill="FFFFFF"/>
        </w:rPr>
      </w:pPr>
    </w:p>
    <w:p w14:paraId="3511E989" w14:textId="3E5665AB" w:rsidR="003C1EDE" w:rsidRDefault="00D558B4"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Other income went from a positive to a negative value and in the last forecasted period represents a higher % of sales. This difference is explained by the past values of the item.</w:t>
      </w:r>
    </w:p>
    <w:p w14:paraId="2180D13B" w14:textId="1387184E" w:rsidR="003C1EDE" w:rsidRDefault="003C1EDE" w:rsidP="008432E8">
      <w:pPr>
        <w:shd w:val="clear" w:color="auto" w:fill="FFFFFF"/>
        <w:spacing w:before="180" w:after="180" w:line="360" w:lineRule="auto"/>
        <w:contextualSpacing/>
        <w:jc w:val="both"/>
        <w:rPr>
          <w:color w:val="000000" w:themeColor="text1"/>
          <w:shd w:val="clear" w:color="auto" w:fill="FFFFFF"/>
        </w:rPr>
      </w:pPr>
    </w:p>
    <w:p w14:paraId="40BC313E" w14:textId="694A43B7" w:rsidR="00D558B4" w:rsidRDefault="00D558B4"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Interest expense is 0 in the current period and increases by the last one. </w:t>
      </w:r>
    </w:p>
    <w:p w14:paraId="0CE93FEB" w14:textId="6114C0E9" w:rsidR="00D558B4" w:rsidRDefault="00D558B4" w:rsidP="008432E8">
      <w:pPr>
        <w:shd w:val="clear" w:color="auto" w:fill="FFFFFF"/>
        <w:spacing w:before="180" w:after="180" w:line="360" w:lineRule="auto"/>
        <w:contextualSpacing/>
        <w:jc w:val="both"/>
        <w:rPr>
          <w:color w:val="000000" w:themeColor="text1"/>
          <w:shd w:val="clear" w:color="auto" w:fill="FFFFFF"/>
        </w:rPr>
      </w:pPr>
    </w:p>
    <w:p w14:paraId="74398707" w14:textId="0EFEB9FD" w:rsidR="00D558B4" w:rsidRDefault="00D558B4"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Income before tax also increas</w:t>
      </w:r>
      <w:r w:rsidR="00D31415">
        <w:rPr>
          <w:color w:val="000000" w:themeColor="text1"/>
          <w:shd w:val="clear" w:color="auto" w:fill="FFFFFF"/>
        </w:rPr>
        <w:t>ed, but ever more did the tax rate, hence the difference in Net Income is the lowest one yet.</w:t>
      </w:r>
    </w:p>
    <w:p w14:paraId="72C84F0A" w14:textId="60D24AEB" w:rsidR="00D558B4" w:rsidRDefault="00D558B4" w:rsidP="008432E8">
      <w:pPr>
        <w:shd w:val="clear" w:color="auto" w:fill="FFFFFF"/>
        <w:spacing w:before="180" w:after="180" w:line="360" w:lineRule="auto"/>
        <w:contextualSpacing/>
        <w:jc w:val="both"/>
        <w:rPr>
          <w:color w:val="000000" w:themeColor="text1"/>
          <w:shd w:val="clear" w:color="auto" w:fill="FFFFFF"/>
        </w:rPr>
      </w:pPr>
    </w:p>
    <w:p w14:paraId="607B3682" w14:textId="29F59317" w:rsidR="00D558B4" w:rsidRDefault="00BB00E7"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Net income attributable to noncontrolling interest barely changed, thus Net income attributable increased in the same percentage as Net Income.</w:t>
      </w:r>
    </w:p>
    <w:p w14:paraId="7F59CFFF" w14:textId="77777777" w:rsidR="003C1EDE" w:rsidRPr="00C50372" w:rsidRDefault="003C1EDE" w:rsidP="008432E8">
      <w:pPr>
        <w:shd w:val="clear" w:color="auto" w:fill="FFFFFF"/>
        <w:spacing w:before="180" w:after="180" w:line="360" w:lineRule="auto"/>
        <w:contextualSpacing/>
        <w:jc w:val="both"/>
        <w:rPr>
          <w:color w:val="000000" w:themeColor="text1"/>
          <w:shd w:val="clear" w:color="auto" w:fill="FFFFFF"/>
        </w:rPr>
      </w:pPr>
    </w:p>
    <w:p w14:paraId="0E29D7AF" w14:textId="6D4E7903" w:rsidR="00F106B1" w:rsidRDefault="00F106B1" w:rsidP="008432E8">
      <w:pPr>
        <w:pStyle w:val="Heading1"/>
        <w:numPr>
          <w:ilvl w:val="1"/>
          <w:numId w:val="8"/>
        </w:numPr>
        <w:spacing w:line="360" w:lineRule="auto"/>
        <w:jc w:val="both"/>
        <w:rPr>
          <w:sz w:val="32"/>
          <w:szCs w:val="32"/>
          <w:shd w:val="clear" w:color="auto" w:fill="FFFFFF"/>
        </w:rPr>
      </w:pPr>
      <w:r>
        <w:rPr>
          <w:sz w:val="32"/>
          <w:szCs w:val="32"/>
          <w:shd w:val="clear" w:color="auto" w:fill="FFFFFF"/>
        </w:rPr>
        <w:t xml:space="preserve">Forecasted </w:t>
      </w:r>
      <w:r>
        <w:rPr>
          <w:sz w:val="32"/>
          <w:szCs w:val="32"/>
          <w:shd w:val="clear" w:color="auto" w:fill="FFFFFF"/>
        </w:rPr>
        <w:t>BS</w:t>
      </w:r>
    </w:p>
    <w:p w14:paraId="73C23B8D" w14:textId="7BD1E5BE" w:rsidR="00F106B1" w:rsidRPr="00F106B1" w:rsidRDefault="00F106B1" w:rsidP="008432E8">
      <w:pPr>
        <w:shd w:val="clear" w:color="auto" w:fill="FFFFFF"/>
        <w:spacing w:before="180" w:after="180" w:line="360" w:lineRule="auto"/>
        <w:contextualSpacing/>
        <w:jc w:val="both"/>
        <w:rPr>
          <w:b/>
          <w:bCs/>
          <w:color w:val="000000" w:themeColor="text1"/>
          <w:shd w:val="clear" w:color="auto" w:fill="FFFFFF"/>
        </w:rPr>
      </w:pPr>
      <w:r w:rsidRPr="00F106B1">
        <w:rPr>
          <w:b/>
          <w:bCs/>
          <w:color w:val="000000" w:themeColor="text1"/>
          <w:shd w:val="clear" w:color="auto" w:fill="FFFFFF"/>
        </w:rPr>
        <w:t>Assets</w:t>
      </w:r>
    </w:p>
    <w:p w14:paraId="7E24BEAD" w14:textId="7572742C" w:rsidR="00F106B1" w:rsidRDefault="00340971"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Cash had the most drastical change in the Forecasted Balance Sheet, with an increase of over 300%.</w:t>
      </w:r>
    </w:p>
    <w:p w14:paraId="19E76AEA" w14:textId="77777777" w:rsidR="00340971" w:rsidRDefault="00340971" w:rsidP="008432E8">
      <w:pPr>
        <w:shd w:val="clear" w:color="auto" w:fill="FFFFFF"/>
        <w:spacing w:before="180" w:after="180" w:line="360" w:lineRule="auto"/>
        <w:contextualSpacing/>
        <w:jc w:val="both"/>
        <w:rPr>
          <w:color w:val="000000" w:themeColor="text1"/>
          <w:shd w:val="clear" w:color="auto" w:fill="FFFFFF"/>
        </w:rPr>
      </w:pPr>
    </w:p>
    <w:p w14:paraId="00E819CB" w14:textId="42EE8477" w:rsidR="00340971" w:rsidRDefault="00340971"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lastRenderedPageBreak/>
        <w:t xml:space="preserve">For simplicity we assumed that </w:t>
      </w:r>
      <w:r>
        <w:rPr>
          <w:color w:val="000000" w:themeColor="text1"/>
          <w:shd w:val="clear" w:color="auto" w:fill="FFFFFF"/>
        </w:rPr>
        <w:t>there weren’t any significant</w:t>
      </w:r>
      <w:r>
        <w:rPr>
          <w:color w:val="000000" w:themeColor="text1"/>
          <w:shd w:val="clear" w:color="auto" w:fill="FFFFFF"/>
        </w:rPr>
        <w:t xml:space="preserve"> change</w:t>
      </w:r>
      <w:r>
        <w:rPr>
          <w:color w:val="000000" w:themeColor="text1"/>
          <w:shd w:val="clear" w:color="auto" w:fill="FFFFFF"/>
        </w:rPr>
        <w:t>s in</w:t>
      </w:r>
      <w:r>
        <w:rPr>
          <w:color w:val="000000" w:themeColor="text1"/>
          <w:shd w:val="clear" w:color="auto" w:fill="FFFFFF"/>
        </w:rPr>
        <w:t xml:space="preserve"> the % of sales </w:t>
      </w:r>
      <w:r>
        <w:rPr>
          <w:color w:val="000000" w:themeColor="text1"/>
          <w:shd w:val="clear" w:color="auto" w:fill="FFFFFF"/>
        </w:rPr>
        <w:t>in most assets. Accordingly, all assets changed in the same percentage as sales except for inventories that was forecasted using trend and had a decline, and net PPE that had an augment. Overall total assets increased in almost 40%.</w:t>
      </w:r>
    </w:p>
    <w:p w14:paraId="2578493D" w14:textId="77777777" w:rsidR="00340971" w:rsidRDefault="00340971" w:rsidP="008432E8">
      <w:pPr>
        <w:shd w:val="clear" w:color="auto" w:fill="FFFFFF"/>
        <w:spacing w:before="180" w:after="180" w:line="360" w:lineRule="auto"/>
        <w:contextualSpacing/>
        <w:jc w:val="both"/>
        <w:rPr>
          <w:color w:val="000000" w:themeColor="text1"/>
          <w:shd w:val="clear" w:color="auto" w:fill="FFFFFF"/>
        </w:rPr>
      </w:pPr>
    </w:p>
    <w:p w14:paraId="705F5FCB" w14:textId="56FBD37F" w:rsidR="00F106B1" w:rsidRPr="00F106B1" w:rsidRDefault="00F106B1" w:rsidP="008432E8">
      <w:pPr>
        <w:shd w:val="clear" w:color="auto" w:fill="FFFFFF"/>
        <w:spacing w:before="180" w:after="180" w:line="360" w:lineRule="auto"/>
        <w:contextualSpacing/>
        <w:jc w:val="both"/>
        <w:rPr>
          <w:b/>
          <w:bCs/>
          <w:color w:val="000000" w:themeColor="text1"/>
          <w:shd w:val="clear" w:color="auto" w:fill="FFFFFF"/>
        </w:rPr>
      </w:pPr>
      <w:r w:rsidRPr="00F106B1">
        <w:rPr>
          <w:b/>
          <w:bCs/>
          <w:color w:val="000000" w:themeColor="text1"/>
          <w:shd w:val="clear" w:color="auto" w:fill="FFFFFF"/>
        </w:rPr>
        <w:t>Liabilities</w:t>
      </w:r>
    </w:p>
    <w:p w14:paraId="15ED9664" w14:textId="4E57ABC1" w:rsidR="00F106B1" w:rsidRDefault="00BD1F33"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Due to the restructuring of debt, the liabilities experienced a higher </w:t>
      </w:r>
      <w:r w:rsidR="00BC6301">
        <w:rPr>
          <w:color w:val="000000" w:themeColor="text1"/>
          <w:shd w:val="clear" w:color="auto" w:fill="FFFFFF"/>
        </w:rPr>
        <w:t xml:space="preserve">variation than sales. </w:t>
      </w:r>
    </w:p>
    <w:p w14:paraId="00DB192D" w14:textId="1464E5C8" w:rsidR="00BD1F33" w:rsidRDefault="00BD1F33" w:rsidP="008432E8">
      <w:pPr>
        <w:shd w:val="clear" w:color="auto" w:fill="FFFFFF"/>
        <w:spacing w:before="180" w:after="180" w:line="360" w:lineRule="auto"/>
        <w:contextualSpacing/>
        <w:jc w:val="both"/>
        <w:rPr>
          <w:color w:val="000000" w:themeColor="text1"/>
          <w:shd w:val="clear" w:color="auto" w:fill="FFFFFF"/>
        </w:rPr>
      </w:pPr>
    </w:p>
    <w:p w14:paraId="7DCFD4E3" w14:textId="6AD153D0" w:rsidR="00BC6301" w:rsidRDefault="00BC6301"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Accounts payable decreased while other current liabilities increased, both around 5% which is lower than the change in sales. </w:t>
      </w:r>
    </w:p>
    <w:p w14:paraId="67B4E760" w14:textId="1FBA8087" w:rsidR="00BD1F33" w:rsidRDefault="00BD1F33" w:rsidP="008432E8">
      <w:pPr>
        <w:shd w:val="clear" w:color="auto" w:fill="FFFFFF"/>
        <w:spacing w:before="180" w:after="180" w:line="360" w:lineRule="auto"/>
        <w:contextualSpacing/>
        <w:jc w:val="both"/>
        <w:rPr>
          <w:color w:val="000000" w:themeColor="text1"/>
          <w:shd w:val="clear" w:color="auto" w:fill="FFFFFF"/>
        </w:rPr>
      </w:pPr>
    </w:p>
    <w:p w14:paraId="50E16FF1" w14:textId="38C6A3B6" w:rsidR="00D234DC" w:rsidRDefault="00D234DC"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Commercial paper wasn’t issued thus remained unchanged.</w:t>
      </w:r>
    </w:p>
    <w:p w14:paraId="37834BDE" w14:textId="430259D1" w:rsidR="00D234DC" w:rsidRDefault="00D234DC" w:rsidP="008432E8">
      <w:pPr>
        <w:shd w:val="clear" w:color="auto" w:fill="FFFFFF"/>
        <w:spacing w:before="180" w:after="180" w:line="360" w:lineRule="auto"/>
        <w:contextualSpacing/>
        <w:jc w:val="both"/>
        <w:rPr>
          <w:color w:val="000000" w:themeColor="text1"/>
          <w:shd w:val="clear" w:color="auto" w:fill="FFFFFF"/>
        </w:rPr>
      </w:pPr>
    </w:p>
    <w:p w14:paraId="4C3C7C6B" w14:textId="61D185ED" w:rsidR="00D234DC" w:rsidRDefault="00D234DC"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Short-term debt </w:t>
      </w:r>
      <w:r w:rsidR="00B66EB2">
        <w:rPr>
          <w:color w:val="000000" w:themeColor="text1"/>
          <w:shd w:val="clear" w:color="auto" w:fill="FFFFFF"/>
        </w:rPr>
        <w:t>had an astronomical increase of over 1000% thanks to the change in maturity of the long-term debt.</w:t>
      </w:r>
    </w:p>
    <w:p w14:paraId="46AE5D1B" w14:textId="2A36B3AB" w:rsidR="00D234DC" w:rsidRDefault="00D234DC" w:rsidP="008432E8">
      <w:pPr>
        <w:shd w:val="clear" w:color="auto" w:fill="FFFFFF"/>
        <w:spacing w:before="180" w:after="180" w:line="360" w:lineRule="auto"/>
        <w:contextualSpacing/>
        <w:jc w:val="both"/>
        <w:rPr>
          <w:color w:val="000000" w:themeColor="text1"/>
          <w:shd w:val="clear" w:color="auto" w:fill="FFFFFF"/>
        </w:rPr>
      </w:pPr>
    </w:p>
    <w:p w14:paraId="1B37B598" w14:textId="6A57F219" w:rsidR="00F106B1" w:rsidRDefault="00B66EB2"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Income taxes payable and dividends payable experienced a grow of around 50% each. </w:t>
      </w:r>
    </w:p>
    <w:p w14:paraId="4AEFAAA2" w14:textId="6771E4DD" w:rsidR="00B66EB2" w:rsidRDefault="00B66EB2" w:rsidP="008432E8">
      <w:pPr>
        <w:shd w:val="clear" w:color="auto" w:fill="FFFFFF"/>
        <w:spacing w:before="180" w:after="180" w:line="360" w:lineRule="auto"/>
        <w:contextualSpacing/>
        <w:jc w:val="both"/>
        <w:rPr>
          <w:color w:val="000000" w:themeColor="text1"/>
          <w:shd w:val="clear" w:color="auto" w:fill="FFFFFF"/>
        </w:rPr>
      </w:pPr>
    </w:p>
    <w:p w14:paraId="1765CE3A" w14:textId="67B862B6" w:rsidR="00B66EB2" w:rsidRDefault="00B66EB2"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Due to the high variation in short-term debt, the change in total current liabilities was of almost 100%.</w:t>
      </w:r>
    </w:p>
    <w:p w14:paraId="27AFD30F" w14:textId="77777777" w:rsidR="00B66EB2" w:rsidRDefault="00B66EB2" w:rsidP="008432E8">
      <w:pPr>
        <w:shd w:val="clear" w:color="auto" w:fill="FFFFFF"/>
        <w:spacing w:before="180" w:after="180" w:line="360" w:lineRule="auto"/>
        <w:contextualSpacing/>
        <w:jc w:val="both"/>
        <w:rPr>
          <w:color w:val="000000" w:themeColor="text1"/>
          <w:shd w:val="clear" w:color="auto" w:fill="FFFFFF"/>
        </w:rPr>
      </w:pPr>
    </w:p>
    <w:p w14:paraId="580906F0" w14:textId="3BC62D42" w:rsidR="00B66EB2" w:rsidRDefault="00FB70DD"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Long-term debt </w:t>
      </w:r>
      <w:proofErr w:type="gramStart"/>
      <w:r>
        <w:rPr>
          <w:color w:val="000000" w:themeColor="text1"/>
          <w:shd w:val="clear" w:color="auto" w:fill="FFFFFF"/>
        </w:rPr>
        <w:t>decrease</w:t>
      </w:r>
      <w:proofErr w:type="gramEnd"/>
      <w:r>
        <w:rPr>
          <w:color w:val="000000" w:themeColor="text1"/>
          <w:shd w:val="clear" w:color="auto" w:fill="FFFFFF"/>
        </w:rPr>
        <w:t xml:space="preserve"> since it moved to short-term, and the % of change was relatively similar to the proportion of debt to </w:t>
      </w:r>
      <w:proofErr w:type="spellStart"/>
      <w:r>
        <w:rPr>
          <w:color w:val="000000" w:themeColor="text1"/>
          <w:shd w:val="clear" w:color="auto" w:fill="FFFFFF"/>
        </w:rPr>
        <w:t>moved</w:t>
      </w:r>
      <w:proofErr w:type="spellEnd"/>
      <w:r>
        <w:rPr>
          <w:color w:val="000000" w:themeColor="text1"/>
          <w:shd w:val="clear" w:color="auto" w:fill="FFFFFF"/>
        </w:rPr>
        <w:t xml:space="preserve"> to less than one year maturity. The reason why the change was not exactly the same is because we still added a small increase each quarter.</w:t>
      </w:r>
    </w:p>
    <w:p w14:paraId="284254C9" w14:textId="7A9DE368" w:rsidR="00FB70DD" w:rsidRDefault="00FB70DD" w:rsidP="00FB70DD">
      <w:pPr>
        <w:shd w:val="clear" w:color="auto" w:fill="FFFFFF"/>
        <w:spacing w:before="180" w:after="180" w:line="360" w:lineRule="auto"/>
        <w:contextualSpacing/>
        <w:jc w:val="both"/>
        <w:rPr>
          <w:color w:val="000000" w:themeColor="text1"/>
          <w:shd w:val="clear" w:color="auto" w:fill="FFFFFF"/>
        </w:rPr>
      </w:pPr>
    </w:p>
    <w:p w14:paraId="162A124E" w14:textId="413C5696" w:rsidR="00FB70DD" w:rsidRDefault="00FB70DD" w:rsidP="00FB70DD">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Deferred income taxes barely had any change during the forecasted period. </w:t>
      </w:r>
    </w:p>
    <w:p w14:paraId="79FFE8B5" w14:textId="77777777" w:rsidR="00FB70DD" w:rsidRDefault="00FB70DD" w:rsidP="00FB70DD">
      <w:pPr>
        <w:shd w:val="clear" w:color="auto" w:fill="FFFFFF"/>
        <w:spacing w:before="180" w:after="180" w:line="360" w:lineRule="auto"/>
        <w:contextualSpacing/>
        <w:jc w:val="both"/>
        <w:rPr>
          <w:color w:val="000000" w:themeColor="text1"/>
          <w:shd w:val="clear" w:color="auto" w:fill="FFFFFF"/>
        </w:rPr>
      </w:pPr>
    </w:p>
    <w:p w14:paraId="18368755" w14:textId="7A1F0A26" w:rsidR="00B66EB2" w:rsidRDefault="00FB70DD" w:rsidP="00FB70DD">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We assumed other non-current liabilities remained the same since we had no reason to suspect any variation.</w:t>
      </w:r>
    </w:p>
    <w:p w14:paraId="23E09AC3" w14:textId="77777777" w:rsidR="00FB70DD" w:rsidRDefault="00FB70DD" w:rsidP="008432E8">
      <w:pPr>
        <w:shd w:val="clear" w:color="auto" w:fill="FFFFFF"/>
        <w:spacing w:before="180" w:after="180" w:line="360" w:lineRule="auto"/>
        <w:contextualSpacing/>
        <w:jc w:val="both"/>
        <w:rPr>
          <w:color w:val="000000" w:themeColor="text1"/>
          <w:shd w:val="clear" w:color="auto" w:fill="FFFFFF"/>
        </w:rPr>
      </w:pPr>
    </w:p>
    <w:p w14:paraId="79AB8668" w14:textId="562B21D0" w:rsidR="00FB70DD" w:rsidRDefault="00FB70DD"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lastRenderedPageBreak/>
        <w:t>Adding everything up, we get a decrease in total non-current liabilities, but a growth in total liabilities of almost 25%.</w:t>
      </w:r>
    </w:p>
    <w:p w14:paraId="7D286327" w14:textId="77777777" w:rsidR="00B66EB2" w:rsidRDefault="00B66EB2" w:rsidP="008432E8">
      <w:pPr>
        <w:shd w:val="clear" w:color="auto" w:fill="FFFFFF"/>
        <w:spacing w:before="180" w:after="180" w:line="360" w:lineRule="auto"/>
        <w:contextualSpacing/>
        <w:jc w:val="both"/>
        <w:rPr>
          <w:color w:val="000000" w:themeColor="text1"/>
          <w:shd w:val="clear" w:color="auto" w:fill="FFFFFF"/>
        </w:rPr>
      </w:pPr>
    </w:p>
    <w:p w14:paraId="6FA46031" w14:textId="57B38569" w:rsidR="00F106B1" w:rsidRPr="00F106B1" w:rsidRDefault="00F106B1" w:rsidP="008432E8">
      <w:pPr>
        <w:shd w:val="clear" w:color="auto" w:fill="FFFFFF"/>
        <w:spacing w:before="180" w:after="180" w:line="360" w:lineRule="auto"/>
        <w:contextualSpacing/>
        <w:jc w:val="both"/>
        <w:rPr>
          <w:b/>
          <w:bCs/>
          <w:color w:val="000000" w:themeColor="text1"/>
          <w:shd w:val="clear" w:color="auto" w:fill="FFFFFF"/>
        </w:rPr>
      </w:pPr>
      <w:r w:rsidRPr="00F106B1">
        <w:rPr>
          <w:b/>
          <w:bCs/>
          <w:color w:val="000000" w:themeColor="text1"/>
          <w:shd w:val="clear" w:color="auto" w:fill="FFFFFF"/>
        </w:rPr>
        <w:t>Equities</w:t>
      </w:r>
    </w:p>
    <w:p w14:paraId="076EA865" w14:textId="209F7B71" w:rsidR="00BD1F33" w:rsidRDefault="00BD1F33" w:rsidP="008432E8">
      <w:pPr>
        <w:spacing w:line="360" w:lineRule="auto"/>
        <w:jc w:val="both"/>
        <w:rPr>
          <w:color w:val="000000" w:themeColor="text1"/>
          <w:shd w:val="clear" w:color="auto" w:fill="FFFFFF"/>
        </w:rPr>
      </w:pPr>
      <w:r w:rsidRPr="008432E8">
        <w:rPr>
          <w:color w:val="000000" w:themeColor="text1"/>
          <w:shd w:val="clear" w:color="auto" w:fill="FFFFFF"/>
        </w:rPr>
        <w:t xml:space="preserve">For simplicity, </w:t>
      </w:r>
      <w:r w:rsidR="008432E8">
        <w:rPr>
          <w:color w:val="000000" w:themeColor="text1"/>
          <w:shd w:val="clear" w:color="auto" w:fill="FFFFFF"/>
        </w:rPr>
        <w:t>we</w:t>
      </w:r>
      <w:r w:rsidRPr="008432E8">
        <w:rPr>
          <w:color w:val="000000" w:themeColor="text1"/>
          <w:shd w:val="clear" w:color="auto" w:fill="FFFFFF"/>
        </w:rPr>
        <w:t xml:space="preserve"> assume</w:t>
      </w:r>
      <w:r w:rsidR="008432E8">
        <w:rPr>
          <w:color w:val="000000" w:themeColor="text1"/>
          <w:shd w:val="clear" w:color="auto" w:fill="FFFFFF"/>
        </w:rPr>
        <w:t>d</w:t>
      </w:r>
      <w:r w:rsidRPr="008432E8">
        <w:rPr>
          <w:color w:val="000000" w:themeColor="text1"/>
          <w:shd w:val="clear" w:color="auto" w:fill="FFFFFF"/>
        </w:rPr>
        <w:t xml:space="preserve"> that the company does not issue equity during the </w:t>
      </w:r>
      <w:r w:rsidR="008432E8" w:rsidRPr="008432E8">
        <w:rPr>
          <w:color w:val="000000" w:themeColor="text1"/>
          <w:shd w:val="clear" w:color="auto" w:fill="FFFFFF"/>
        </w:rPr>
        <w:t>forecasted</w:t>
      </w:r>
      <w:r w:rsidRPr="008432E8">
        <w:rPr>
          <w:color w:val="000000" w:themeColor="text1"/>
          <w:shd w:val="clear" w:color="auto" w:fill="FFFFFF"/>
        </w:rPr>
        <w:t xml:space="preserve"> period</w:t>
      </w:r>
      <w:r w:rsidR="008432E8">
        <w:rPr>
          <w:color w:val="000000" w:themeColor="text1"/>
          <w:shd w:val="clear" w:color="auto" w:fill="FFFFFF"/>
        </w:rPr>
        <w:t>, and that was after confirmed</w:t>
      </w:r>
      <w:r w:rsidRPr="008432E8">
        <w:rPr>
          <w:color w:val="000000" w:themeColor="text1"/>
          <w:shd w:val="clear" w:color="auto" w:fill="FFFFFF"/>
        </w:rPr>
        <w:t xml:space="preserve"> </w:t>
      </w:r>
      <w:r w:rsidR="008432E8">
        <w:rPr>
          <w:color w:val="000000" w:themeColor="text1"/>
          <w:shd w:val="clear" w:color="auto" w:fill="FFFFFF"/>
        </w:rPr>
        <w:t>in the 10Q report of the company.</w:t>
      </w:r>
    </w:p>
    <w:p w14:paraId="4B75200D" w14:textId="6F8C0153" w:rsidR="008432E8" w:rsidRPr="008432E8" w:rsidRDefault="008432E8" w:rsidP="008432E8">
      <w:pPr>
        <w:spacing w:line="360" w:lineRule="auto"/>
        <w:jc w:val="both"/>
        <w:rPr>
          <w:color w:val="000000" w:themeColor="text1"/>
          <w:shd w:val="clear" w:color="auto" w:fill="FFFFFF"/>
        </w:rPr>
      </w:pPr>
      <w:r>
        <w:rPr>
          <w:color w:val="000000" w:themeColor="text1"/>
          <w:shd w:val="clear" w:color="auto" w:fill="FFFFFF"/>
        </w:rPr>
        <w:t>This means the majority of equity had a change of 0 except for Retained Earning that have a projected increase of almost 80% from the current period.</w:t>
      </w:r>
    </w:p>
    <w:p w14:paraId="0B6F2DA2" w14:textId="030A8A74" w:rsidR="00F106B1" w:rsidRDefault="00F106B1" w:rsidP="008432E8">
      <w:pPr>
        <w:shd w:val="clear" w:color="auto" w:fill="FFFFFF"/>
        <w:spacing w:before="180" w:after="180" w:line="360" w:lineRule="auto"/>
        <w:contextualSpacing/>
        <w:jc w:val="both"/>
        <w:rPr>
          <w:color w:val="000000" w:themeColor="text1"/>
          <w:shd w:val="clear" w:color="auto" w:fill="FFFFFF"/>
        </w:rPr>
      </w:pPr>
    </w:p>
    <w:p w14:paraId="47909A14" w14:textId="61C0D250" w:rsidR="00444027" w:rsidRDefault="00444027"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All-embracing</w:t>
      </w:r>
      <w:r w:rsidR="00DF22D2">
        <w:rPr>
          <w:color w:val="000000" w:themeColor="text1"/>
          <w:shd w:val="clear" w:color="auto" w:fill="FFFFFF"/>
        </w:rPr>
        <w:t xml:space="preserve">, </w:t>
      </w:r>
      <w:r>
        <w:rPr>
          <w:color w:val="000000" w:themeColor="text1"/>
          <w:shd w:val="clear" w:color="auto" w:fill="FFFFFF"/>
        </w:rPr>
        <w:t>total shareholders’ equity experienced a rise of over 100%. Making the joined change in liabilities and equity positive.</w:t>
      </w:r>
    </w:p>
    <w:p w14:paraId="1669AC37" w14:textId="4772C337" w:rsidR="00F106B1" w:rsidRDefault="00F106B1" w:rsidP="008432E8">
      <w:pPr>
        <w:shd w:val="clear" w:color="auto" w:fill="FFFFFF"/>
        <w:spacing w:before="180" w:after="180" w:line="360" w:lineRule="auto"/>
        <w:contextualSpacing/>
        <w:jc w:val="both"/>
        <w:rPr>
          <w:color w:val="000000" w:themeColor="text1"/>
          <w:shd w:val="clear" w:color="auto" w:fill="FFFFFF"/>
        </w:rPr>
      </w:pPr>
    </w:p>
    <w:p w14:paraId="6C21347F" w14:textId="18EC4683" w:rsidR="00F106B1" w:rsidRDefault="00F106B1" w:rsidP="008432E8">
      <w:pPr>
        <w:pStyle w:val="Heading1"/>
        <w:numPr>
          <w:ilvl w:val="1"/>
          <w:numId w:val="8"/>
        </w:numPr>
        <w:spacing w:line="360" w:lineRule="auto"/>
        <w:jc w:val="both"/>
        <w:rPr>
          <w:sz w:val="32"/>
          <w:szCs w:val="32"/>
          <w:shd w:val="clear" w:color="auto" w:fill="FFFFFF"/>
        </w:rPr>
      </w:pPr>
      <w:r>
        <w:rPr>
          <w:sz w:val="32"/>
          <w:szCs w:val="32"/>
          <w:shd w:val="clear" w:color="auto" w:fill="FFFFFF"/>
        </w:rPr>
        <w:t xml:space="preserve">Forecasted </w:t>
      </w:r>
      <w:r>
        <w:rPr>
          <w:sz w:val="32"/>
          <w:szCs w:val="32"/>
          <w:shd w:val="clear" w:color="auto" w:fill="FFFFFF"/>
        </w:rPr>
        <w:t>CF</w:t>
      </w:r>
    </w:p>
    <w:p w14:paraId="1EE6FE1D" w14:textId="616D7ACF" w:rsidR="00F106B1" w:rsidRPr="00F106B1" w:rsidRDefault="00F106B1" w:rsidP="008432E8">
      <w:pPr>
        <w:shd w:val="clear" w:color="auto" w:fill="FFFFFF"/>
        <w:spacing w:before="180" w:after="180" w:line="360" w:lineRule="auto"/>
        <w:contextualSpacing/>
        <w:jc w:val="both"/>
        <w:rPr>
          <w:b/>
          <w:bCs/>
          <w:color w:val="000000" w:themeColor="text1"/>
          <w:shd w:val="clear" w:color="auto" w:fill="FFFFFF"/>
        </w:rPr>
      </w:pPr>
      <w:r>
        <w:rPr>
          <w:b/>
          <w:bCs/>
          <w:color w:val="000000" w:themeColor="text1"/>
          <w:shd w:val="clear" w:color="auto" w:fill="FFFFFF"/>
        </w:rPr>
        <w:t>CF in Operating</w:t>
      </w:r>
    </w:p>
    <w:p w14:paraId="539C1A39" w14:textId="77777777" w:rsidR="00C56D00" w:rsidRDefault="001D7E0A"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The cash flows from operating activities fluctuate depending on the forecast</w:t>
      </w:r>
      <w:r w:rsidR="00C56D00">
        <w:rPr>
          <w:color w:val="000000" w:themeColor="text1"/>
          <w:shd w:val="clear" w:color="auto" w:fill="FFFFFF"/>
        </w:rPr>
        <w:t>ed</w:t>
      </w:r>
      <w:r>
        <w:rPr>
          <w:color w:val="000000" w:themeColor="text1"/>
          <w:shd w:val="clear" w:color="auto" w:fill="FFFFFF"/>
        </w:rPr>
        <w:t xml:space="preserve"> period. </w:t>
      </w:r>
    </w:p>
    <w:p w14:paraId="4BE65557" w14:textId="32A734AA" w:rsidR="00F106B1" w:rsidRPr="00F106B1" w:rsidRDefault="001D7E0A"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This is mainly due to Net Income which represents almost the entire balance. </w:t>
      </w:r>
      <w:r w:rsidR="00C56D00">
        <w:rPr>
          <w:color w:val="000000" w:themeColor="text1"/>
          <w:shd w:val="clear" w:color="auto" w:fill="FFFFFF"/>
        </w:rPr>
        <w:t>The overall result is positive which indicates an inflow of cash from operating.</w:t>
      </w:r>
    </w:p>
    <w:p w14:paraId="39E1DA2B" w14:textId="77777777" w:rsidR="00F106B1" w:rsidRPr="00F106B1" w:rsidRDefault="00F106B1" w:rsidP="008432E8">
      <w:pPr>
        <w:shd w:val="clear" w:color="auto" w:fill="FFFFFF"/>
        <w:spacing w:before="180" w:after="180" w:line="360" w:lineRule="auto"/>
        <w:contextualSpacing/>
        <w:jc w:val="both"/>
        <w:rPr>
          <w:color w:val="000000" w:themeColor="text1"/>
          <w:shd w:val="clear" w:color="auto" w:fill="FFFFFF"/>
        </w:rPr>
      </w:pPr>
    </w:p>
    <w:p w14:paraId="37D72E57" w14:textId="780DF2F7" w:rsidR="00F106B1" w:rsidRPr="00F106B1" w:rsidRDefault="00F106B1" w:rsidP="008432E8">
      <w:pPr>
        <w:shd w:val="clear" w:color="auto" w:fill="FFFFFF"/>
        <w:spacing w:before="180" w:after="180" w:line="360" w:lineRule="auto"/>
        <w:contextualSpacing/>
        <w:jc w:val="both"/>
        <w:rPr>
          <w:b/>
          <w:bCs/>
          <w:color w:val="000000" w:themeColor="text1"/>
          <w:shd w:val="clear" w:color="auto" w:fill="FFFFFF"/>
        </w:rPr>
      </w:pPr>
      <w:r>
        <w:rPr>
          <w:b/>
          <w:bCs/>
          <w:color w:val="000000" w:themeColor="text1"/>
          <w:shd w:val="clear" w:color="auto" w:fill="FFFFFF"/>
        </w:rPr>
        <w:t xml:space="preserve">CF in </w:t>
      </w:r>
      <w:r>
        <w:rPr>
          <w:b/>
          <w:bCs/>
          <w:color w:val="000000" w:themeColor="text1"/>
          <w:shd w:val="clear" w:color="auto" w:fill="FFFFFF"/>
        </w:rPr>
        <w:t>Investing</w:t>
      </w:r>
    </w:p>
    <w:p w14:paraId="6CDD03DC" w14:textId="77777777" w:rsidR="00C56D00" w:rsidRDefault="00C56D00"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The cash flows from </w:t>
      </w:r>
      <w:r>
        <w:rPr>
          <w:color w:val="000000" w:themeColor="text1"/>
          <w:shd w:val="clear" w:color="auto" w:fill="FFFFFF"/>
        </w:rPr>
        <w:t xml:space="preserve">investing </w:t>
      </w:r>
      <w:r>
        <w:rPr>
          <w:color w:val="000000" w:themeColor="text1"/>
          <w:shd w:val="clear" w:color="auto" w:fill="FFFFFF"/>
        </w:rPr>
        <w:t xml:space="preserve">activities </w:t>
      </w:r>
      <w:r>
        <w:rPr>
          <w:color w:val="000000" w:themeColor="text1"/>
          <w:shd w:val="clear" w:color="auto" w:fill="FFFFFF"/>
        </w:rPr>
        <w:t xml:space="preserve">also </w:t>
      </w:r>
      <w:r>
        <w:rPr>
          <w:color w:val="000000" w:themeColor="text1"/>
          <w:shd w:val="clear" w:color="auto" w:fill="FFFFFF"/>
        </w:rPr>
        <w:t>fluctuate depending on the forecast</w:t>
      </w:r>
      <w:r>
        <w:rPr>
          <w:color w:val="000000" w:themeColor="text1"/>
          <w:shd w:val="clear" w:color="auto" w:fill="FFFFFF"/>
        </w:rPr>
        <w:t>ed</w:t>
      </w:r>
      <w:r>
        <w:rPr>
          <w:color w:val="000000" w:themeColor="text1"/>
          <w:shd w:val="clear" w:color="auto" w:fill="FFFFFF"/>
        </w:rPr>
        <w:t xml:space="preserve"> period. </w:t>
      </w:r>
    </w:p>
    <w:p w14:paraId="5C8047B0" w14:textId="31404308" w:rsidR="00F106B1" w:rsidRPr="00F106B1" w:rsidRDefault="00EE2059"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Nonetheless,</w:t>
      </w:r>
      <w:r w:rsidR="00C56D00">
        <w:rPr>
          <w:color w:val="000000" w:themeColor="text1"/>
          <w:shd w:val="clear" w:color="auto" w:fill="FFFFFF"/>
        </w:rPr>
        <w:t xml:space="preserve"> the discrepancy is higher since </w:t>
      </w:r>
      <w:r>
        <w:rPr>
          <w:color w:val="000000" w:themeColor="text1"/>
          <w:shd w:val="clear" w:color="auto" w:fill="FFFFFF"/>
        </w:rPr>
        <w:t xml:space="preserve">in some quarters the cash flow is negative </w:t>
      </w:r>
      <w:r w:rsidR="00CA1F1A">
        <w:rPr>
          <w:color w:val="000000" w:themeColor="text1"/>
          <w:shd w:val="clear" w:color="auto" w:fill="FFFFFF"/>
        </w:rPr>
        <w:t xml:space="preserve">(outflow) </w:t>
      </w:r>
      <w:r>
        <w:rPr>
          <w:color w:val="000000" w:themeColor="text1"/>
          <w:shd w:val="clear" w:color="auto" w:fill="FFFFFF"/>
        </w:rPr>
        <w:t>while in one it’s positive</w:t>
      </w:r>
      <w:r w:rsidR="00CA1F1A">
        <w:rPr>
          <w:color w:val="000000" w:themeColor="text1"/>
          <w:shd w:val="clear" w:color="auto" w:fill="FFFFFF"/>
        </w:rPr>
        <w:t xml:space="preserve"> (inflow)</w:t>
      </w:r>
      <w:r>
        <w:rPr>
          <w:color w:val="000000" w:themeColor="text1"/>
          <w:shd w:val="clear" w:color="auto" w:fill="FFFFFF"/>
        </w:rPr>
        <w:t>.</w:t>
      </w:r>
      <w:r w:rsidR="00CA1F1A">
        <w:rPr>
          <w:color w:val="000000" w:themeColor="text1"/>
          <w:shd w:val="clear" w:color="auto" w:fill="FFFFFF"/>
        </w:rPr>
        <w:t xml:space="preserve"> The source of this </w:t>
      </w:r>
      <w:r w:rsidR="004F4B00">
        <w:rPr>
          <w:color w:val="000000" w:themeColor="text1"/>
          <w:shd w:val="clear" w:color="auto" w:fill="FFFFFF"/>
        </w:rPr>
        <w:t xml:space="preserve">is located in Change in other intangibles. That was forecasted using the trend which means some quarters the company decides </w:t>
      </w:r>
      <w:r w:rsidR="00A22765">
        <w:rPr>
          <w:color w:val="000000" w:themeColor="text1"/>
          <w:shd w:val="clear" w:color="auto" w:fill="FFFFFF"/>
        </w:rPr>
        <w:t>to cut</w:t>
      </w:r>
      <w:r w:rsidR="004F4B00">
        <w:rPr>
          <w:color w:val="000000" w:themeColor="text1"/>
          <w:shd w:val="clear" w:color="auto" w:fill="FFFFFF"/>
        </w:rPr>
        <w:t xml:space="preserve"> down investments.</w:t>
      </w:r>
    </w:p>
    <w:p w14:paraId="404AFFFB" w14:textId="77777777" w:rsidR="00F106B1" w:rsidRPr="00F106B1" w:rsidRDefault="00F106B1" w:rsidP="008432E8">
      <w:pPr>
        <w:shd w:val="clear" w:color="auto" w:fill="FFFFFF"/>
        <w:spacing w:before="180" w:after="180" w:line="360" w:lineRule="auto"/>
        <w:contextualSpacing/>
        <w:jc w:val="both"/>
        <w:rPr>
          <w:color w:val="000000" w:themeColor="text1"/>
          <w:shd w:val="clear" w:color="auto" w:fill="FFFFFF"/>
        </w:rPr>
      </w:pPr>
    </w:p>
    <w:p w14:paraId="55198716" w14:textId="14AA127C" w:rsidR="00F106B1" w:rsidRPr="00F106B1" w:rsidRDefault="00F106B1" w:rsidP="008432E8">
      <w:pPr>
        <w:shd w:val="clear" w:color="auto" w:fill="FFFFFF"/>
        <w:spacing w:before="180" w:after="180" w:line="360" w:lineRule="auto"/>
        <w:contextualSpacing/>
        <w:jc w:val="both"/>
        <w:rPr>
          <w:b/>
          <w:bCs/>
          <w:color w:val="000000" w:themeColor="text1"/>
          <w:shd w:val="clear" w:color="auto" w:fill="FFFFFF"/>
        </w:rPr>
      </w:pPr>
      <w:r>
        <w:rPr>
          <w:b/>
          <w:bCs/>
          <w:color w:val="000000" w:themeColor="text1"/>
          <w:shd w:val="clear" w:color="auto" w:fill="FFFFFF"/>
        </w:rPr>
        <w:t xml:space="preserve">CF in </w:t>
      </w:r>
      <w:r>
        <w:rPr>
          <w:b/>
          <w:bCs/>
          <w:color w:val="000000" w:themeColor="text1"/>
          <w:shd w:val="clear" w:color="auto" w:fill="FFFFFF"/>
        </w:rPr>
        <w:t>Financ</w:t>
      </w:r>
      <w:r>
        <w:rPr>
          <w:b/>
          <w:bCs/>
          <w:color w:val="000000" w:themeColor="text1"/>
          <w:shd w:val="clear" w:color="auto" w:fill="FFFFFF"/>
        </w:rPr>
        <w:t>ing</w:t>
      </w:r>
    </w:p>
    <w:p w14:paraId="3B9F5D00" w14:textId="5BC72F3B" w:rsidR="00294554" w:rsidRDefault="00294554"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The cash flows from </w:t>
      </w:r>
      <w:r>
        <w:rPr>
          <w:color w:val="000000" w:themeColor="text1"/>
          <w:shd w:val="clear" w:color="auto" w:fill="FFFFFF"/>
        </w:rPr>
        <w:t>financ</w:t>
      </w:r>
      <w:r>
        <w:rPr>
          <w:color w:val="000000" w:themeColor="text1"/>
          <w:shd w:val="clear" w:color="auto" w:fill="FFFFFF"/>
        </w:rPr>
        <w:t xml:space="preserve">ing activities also fluctuate depending on the forecasted period. </w:t>
      </w:r>
    </w:p>
    <w:p w14:paraId="3CF636A6" w14:textId="3737D609" w:rsidR="003D5CDC" w:rsidRDefault="00294554"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lastRenderedPageBreak/>
        <w:t xml:space="preserve">As the cash flow from </w:t>
      </w:r>
      <w:r w:rsidR="00D234DC">
        <w:rPr>
          <w:color w:val="000000" w:themeColor="text1"/>
          <w:shd w:val="clear" w:color="auto" w:fill="FFFFFF"/>
        </w:rPr>
        <w:t>inves</w:t>
      </w:r>
      <w:r>
        <w:rPr>
          <w:color w:val="000000" w:themeColor="text1"/>
          <w:shd w:val="clear" w:color="auto" w:fill="FFFFFF"/>
        </w:rPr>
        <w:t>ting, t</w:t>
      </w:r>
      <w:r>
        <w:rPr>
          <w:color w:val="000000" w:themeColor="text1"/>
          <w:shd w:val="clear" w:color="auto" w:fill="FFFFFF"/>
        </w:rPr>
        <w:t xml:space="preserve">he </w:t>
      </w:r>
      <w:r>
        <w:rPr>
          <w:color w:val="000000" w:themeColor="text1"/>
          <w:shd w:val="clear" w:color="auto" w:fill="FFFFFF"/>
        </w:rPr>
        <w:t>total</w:t>
      </w:r>
      <w:r>
        <w:rPr>
          <w:color w:val="000000" w:themeColor="text1"/>
          <w:shd w:val="clear" w:color="auto" w:fill="FFFFFF"/>
        </w:rPr>
        <w:t xml:space="preserve"> is </w:t>
      </w:r>
      <w:r w:rsidR="00A22765">
        <w:rPr>
          <w:color w:val="000000" w:themeColor="text1"/>
          <w:shd w:val="clear" w:color="auto" w:fill="FFFFFF"/>
        </w:rPr>
        <w:t xml:space="preserve">not </w:t>
      </w:r>
      <w:r>
        <w:rPr>
          <w:color w:val="000000" w:themeColor="text1"/>
          <w:shd w:val="clear" w:color="auto" w:fill="FFFFFF"/>
        </w:rPr>
        <w:t xml:space="preserve">the same, </w:t>
      </w:r>
      <w:r w:rsidR="00A22765">
        <w:rPr>
          <w:color w:val="000000" w:themeColor="text1"/>
          <w:shd w:val="clear" w:color="auto" w:fill="FFFFFF"/>
        </w:rPr>
        <w:t xml:space="preserve">being negative in most quarters, </w:t>
      </w:r>
      <w:r>
        <w:rPr>
          <w:color w:val="000000" w:themeColor="text1"/>
          <w:shd w:val="clear" w:color="auto" w:fill="FFFFFF"/>
        </w:rPr>
        <w:t xml:space="preserve">which indicates an </w:t>
      </w:r>
      <w:r>
        <w:rPr>
          <w:color w:val="000000" w:themeColor="text1"/>
          <w:shd w:val="clear" w:color="auto" w:fill="FFFFFF"/>
        </w:rPr>
        <w:t>out</w:t>
      </w:r>
      <w:r>
        <w:rPr>
          <w:color w:val="000000" w:themeColor="text1"/>
          <w:shd w:val="clear" w:color="auto" w:fill="FFFFFF"/>
        </w:rPr>
        <w:t xml:space="preserve">flow of cash from </w:t>
      </w:r>
      <w:r>
        <w:rPr>
          <w:color w:val="000000" w:themeColor="text1"/>
          <w:shd w:val="clear" w:color="auto" w:fill="FFFFFF"/>
        </w:rPr>
        <w:t>financing, which means they acquired less debt</w:t>
      </w:r>
      <w:r w:rsidR="00A22765">
        <w:rPr>
          <w:color w:val="000000" w:themeColor="text1"/>
          <w:shd w:val="clear" w:color="auto" w:fill="FFFFFF"/>
        </w:rPr>
        <w:t xml:space="preserve">; </w:t>
      </w:r>
      <w:proofErr w:type="gramStart"/>
      <w:r w:rsidR="00A22765">
        <w:rPr>
          <w:color w:val="000000" w:themeColor="text1"/>
          <w:shd w:val="clear" w:color="auto" w:fill="FFFFFF"/>
        </w:rPr>
        <w:t>however</w:t>
      </w:r>
      <w:proofErr w:type="gramEnd"/>
      <w:r w:rsidR="00A22765">
        <w:rPr>
          <w:color w:val="000000" w:themeColor="text1"/>
          <w:shd w:val="clear" w:color="auto" w:fill="FFFFFF"/>
        </w:rPr>
        <w:t xml:space="preserve"> the first forecasted quarter experiences a positive flow due to the huge increase in short-term debt</w:t>
      </w:r>
      <w:r>
        <w:rPr>
          <w:color w:val="000000" w:themeColor="text1"/>
          <w:shd w:val="clear" w:color="auto" w:fill="FFFFFF"/>
        </w:rPr>
        <w:t xml:space="preserve">. </w:t>
      </w:r>
    </w:p>
    <w:p w14:paraId="7C49CF5D" w14:textId="36A51B1F" w:rsidR="003D5CDC" w:rsidRDefault="003D5CDC" w:rsidP="008432E8">
      <w:pPr>
        <w:shd w:val="clear" w:color="auto" w:fill="FFFFFF"/>
        <w:spacing w:before="180" w:after="180" w:line="360" w:lineRule="auto"/>
        <w:contextualSpacing/>
        <w:jc w:val="both"/>
        <w:rPr>
          <w:color w:val="000000" w:themeColor="text1"/>
          <w:shd w:val="clear" w:color="auto" w:fill="FFFFFF"/>
        </w:rPr>
      </w:pPr>
    </w:p>
    <w:p w14:paraId="770E434F" w14:textId="49B49B5E" w:rsidR="003D5CDC" w:rsidRDefault="00294554" w:rsidP="008432E8">
      <w:pPr>
        <w:shd w:val="clear" w:color="auto" w:fill="FFFFFF"/>
        <w:spacing w:before="180" w:after="180" w:line="360" w:lineRule="auto"/>
        <w:contextualSpacing/>
        <w:jc w:val="both"/>
        <w:rPr>
          <w:color w:val="000000" w:themeColor="text1"/>
          <w:shd w:val="clear" w:color="auto" w:fill="FFFFFF"/>
        </w:rPr>
      </w:pPr>
      <w:r>
        <w:rPr>
          <w:b/>
          <w:bCs/>
          <w:color w:val="000000" w:themeColor="text1"/>
          <w:shd w:val="clear" w:color="auto" w:fill="FFFFFF"/>
        </w:rPr>
        <w:t xml:space="preserve">CF </w:t>
      </w:r>
      <w:r>
        <w:rPr>
          <w:b/>
          <w:bCs/>
          <w:color w:val="000000" w:themeColor="text1"/>
          <w:shd w:val="clear" w:color="auto" w:fill="FFFFFF"/>
        </w:rPr>
        <w:t>Balance</w:t>
      </w:r>
    </w:p>
    <w:p w14:paraId="6108D1A3" w14:textId="77777777" w:rsidR="00F5163C" w:rsidRDefault="00294554"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The </w:t>
      </w:r>
      <w:r w:rsidR="001E141D">
        <w:rPr>
          <w:color w:val="000000" w:themeColor="text1"/>
          <w:shd w:val="clear" w:color="auto" w:fill="FFFFFF"/>
        </w:rPr>
        <w:t xml:space="preserve">final balance of cash flows varies drastically from quarter to quarter. </w:t>
      </w:r>
    </w:p>
    <w:p w14:paraId="76C51670" w14:textId="70992DB9" w:rsidR="003D5CDC" w:rsidRDefault="001E141D"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In </w:t>
      </w:r>
      <w:r w:rsidR="00F5163C">
        <w:rPr>
          <w:color w:val="000000" w:themeColor="text1"/>
          <w:shd w:val="clear" w:color="auto" w:fill="FFFFFF"/>
        </w:rPr>
        <w:t>all</w:t>
      </w:r>
      <w:r>
        <w:rPr>
          <w:color w:val="000000" w:themeColor="text1"/>
          <w:shd w:val="clear" w:color="auto" w:fill="FFFFFF"/>
        </w:rPr>
        <w:t xml:space="preserve"> period</w:t>
      </w:r>
      <w:r w:rsidR="00F5163C">
        <w:rPr>
          <w:color w:val="000000" w:themeColor="text1"/>
          <w:shd w:val="clear" w:color="auto" w:fill="FFFFFF"/>
        </w:rPr>
        <w:t>s</w:t>
      </w:r>
      <w:r>
        <w:rPr>
          <w:color w:val="000000" w:themeColor="text1"/>
          <w:shd w:val="clear" w:color="auto" w:fill="FFFFFF"/>
        </w:rPr>
        <w:t xml:space="preserve">, there’s a cash inflow. The </w:t>
      </w:r>
      <w:r w:rsidR="00F5163C">
        <w:rPr>
          <w:color w:val="000000" w:themeColor="text1"/>
          <w:shd w:val="clear" w:color="auto" w:fill="FFFFFF"/>
        </w:rPr>
        <w:t>first</w:t>
      </w:r>
      <w:r>
        <w:rPr>
          <w:color w:val="000000" w:themeColor="text1"/>
          <w:shd w:val="clear" w:color="auto" w:fill="FFFFFF"/>
        </w:rPr>
        <w:t xml:space="preserve"> quarter has the highest value b due to the</w:t>
      </w:r>
      <w:r w:rsidR="00F5163C">
        <w:rPr>
          <w:color w:val="000000" w:themeColor="text1"/>
          <w:shd w:val="clear" w:color="auto" w:fill="FFFFFF"/>
        </w:rPr>
        <w:t xml:space="preserve"> restructure of debt, followed by the third one due to the</w:t>
      </w:r>
      <w:r>
        <w:rPr>
          <w:color w:val="000000" w:themeColor="text1"/>
          <w:shd w:val="clear" w:color="auto" w:fill="FFFFFF"/>
        </w:rPr>
        <w:t xml:space="preserve"> positive flow in investing activities. The second and last quarter have similar values.</w:t>
      </w:r>
    </w:p>
    <w:p w14:paraId="0C11B190" w14:textId="07718637" w:rsidR="003D5CDC" w:rsidRDefault="003D5CDC" w:rsidP="008432E8">
      <w:pPr>
        <w:shd w:val="clear" w:color="auto" w:fill="FFFFFF"/>
        <w:spacing w:before="180" w:after="180" w:line="360" w:lineRule="auto"/>
        <w:contextualSpacing/>
        <w:jc w:val="both"/>
        <w:rPr>
          <w:color w:val="000000" w:themeColor="text1"/>
          <w:shd w:val="clear" w:color="auto" w:fill="FFFFFF"/>
        </w:rPr>
      </w:pPr>
    </w:p>
    <w:p w14:paraId="2936ACF2" w14:textId="319585E6" w:rsidR="000E23FE" w:rsidRDefault="000E23FE" w:rsidP="008432E8">
      <w:pPr>
        <w:shd w:val="clear" w:color="auto" w:fill="FFFFFF"/>
        <w:spacing w:before="180" w:after="180" w:line="360" w:lineRule="auto"/>
        <w:contextualSpacing/>
        <w:jc w:val="both"/>
        <w:rPr>
          <w:color w:val="000000" w:themeColor="text1"/>
          <w:shd w:val="clear" w:color="auto" w:fill="FFFFFF"/>
        </w:rPr>
      </w:pPr>
    </w:p>
    <w:p w14:paraId="503E950E" w14:textId="0BE92563" w:rsidR="000E23FE" w:rsidRDefault="000E23FE" w:rsidP="008432E8">
      <w:pPr>
        <w:shd w:val="clear" w:color="auto" w:fill="FFFFFF"/>
        <w:spacing w:before="180" w:after="180" w:line="360" w:lineRule="auto"/>
        <w:contextualSpacing/>
        <w:jc w:val="both"/>
        <w:rPr>
          <w:color w:val="000000" w:themeColor="text1"/>
          <w:shd w:val="clear" w:color="auto" w:fill="FFFFFF"/>
        </w:rPr>
      </w:pPr>
    </w:p>
    <w:p w14:paraId="0A4BFEA4" w14:textId="20748B7C" w:rsidR="000E23FE" w:rsidRDefault="000E23FE" w:rsidP="008432E8">
      <w:pPr>
        <w:shd w:val="clear" w:color="auto" w:fill="FFFFFF"/>
        <w:spacing w:before="180" w:after="180" w:line="360" w:lineRule="auto"/>
        <w:contextualSpacing/>
        <w:jc w:val="both"/>
        <w:rPr>
          <w:color w:val="000000" w:themeColor="text1"/>
          <w:shd w:val="clear" w:color="auto" w:fill="FFFFFF"/>
        </w:rPr>
      </w:pPr>
    </w:p>
    <w:p w14:paraId="3217C67A" w14:textId="5525F329" w:rsidR="000E23FE" w:rsidRDefault="000E23FE" w:rsidP="008432E8">
      <w:pPr>
        <w:shd w:val="clear" w:color="auto" w:fill="FFFFFF"/>
        <w:spacing w:before="180" w:after="180" w:line="360" w:lineRule="auto"/>
        <w:contextualSpacing/>
        <w:jc w:val="both"/>
        <w:rPr>
          <w:color w:val="000000" w:themeColor="text1"/>
          <w:shd w:val="clear" w:color="auto" w:fill="FFFFFF"/>
        </w:rPr>
      </w:pPr>
    </w:p>
    <w:p w14:paraId="2BEE589E" w14:textId="71CA6E60" w:rsidR="000E23FE" w:rsidRDefault="000E23FE" w:rsidP="008432E8">
      <w:pPr>
        <w:shd w:val="clear" w:color="auto" w:fill="FFFFFF"/>
        <w:spacing w:before="180" w:after="180" w:line="360" w:lineRule="auto"/>
        <w:contextualSpacing/>
        <w:jc w:val="both"/>
        <w:rPr>
          <w:color w:val="000000" w:themeColor="text1"/>
          <w:shd w:val="clear" w:color="auto" w:fill="FFFFFF"/>
        </w:rPr>
      </w:pPr>
    </w:p>
    <w:p w14:paraId="7DF955ED" w14:textId="61626B71" w:rsidR="000E23FE" w:rsidRDefault="000E23FE" w:rsidP="008432E8">
      <w:pPr>
        <w:shd w:val="clear" w:color="auto" w:fill="FFFFFF"/>
        <w:spacing w:before="180" w:after="180" w:line="360" w:lineRule="auto"/>
        <w:contextualSpacing/>
        <w:jc w:val="both"/>
        <w:rPr>
          <w:color w:val="000000" w:themeColor="text1"/>
          <w:shd w:val="clear" w:color="auto" w:fill="FFFFFF"/>
        </w:rPr>
      </w:pPr>
    </w:p>
    <w:p w14:paraId="17C0C21E" w14:textId="58E3BA3C" w:rsidR="000E23FE" w:rsidRDefault="000E23FE" w:rsidP="008432E8">
      <w:pPr>
        <w:shd w:val="clear" w:color="auto" w:fill="FFFFFF"/>
        <w:spacing w:before="180" w:after="180" w:line="360" w:lineRule="auto"/>
        <w:contextualSpacing/>
        <w:jc w:val="both"/>
        <w:rPr>
          <w:color w:val="000000" w:themeColor="text1"/>
          <w:shd w:val="clear" w:color="auto" w:fill="FFFFFF"/>
        </w:rPr>
      </w:pPr>
    </w:p>
    <w:p w14:paraId="336C789F" w14:textId="635C4A05" w:rsidR="000E23FE" w:rsidRDefault="000E23FE" w:rsidP="008432E8">
      <w:pPr>
        <w:shd w:val="clear" w:color="auto" w:fill="FFFFFF"/>
        <w:spacing w:before="180" w:after="180" w:line="360" w:lineRule="auto"/>
        <w:contextualSpacing/>
        <w:jc w:val="both"/>
        <w:rPr>
          <w:color w:val="000000" w:themeColor="text1"/>
          <w:shd w:val="clear" w:color="auto" w:fill="FFFFFF"/>
        </w:rPr>
      </w:pPr>
    </w:p>
    <w:p w14:paraId="66908EFC" w14:textId="52CA4C56" w:rsidR="000E23FE" w:rsidRDefault="000E23FE" w:rsidP="008432E8">
      <w:pPr>
        <w:shd w:val="clear" w:color="auto" w:fill="FFFFFF"/>
        <w:spacing w:before="180" w:after="180" w:line="360" w:lineRule="auto"/>
        <w:contextualSpacing/>
        <w:jc w:val="both"/>
        <w:rPr>
          <w:color w:val="000000" w:themeColor="text1"/>
          <w:shd w:val="clear" w:color="auto" w:fill="FFFFFF"/>
        </w:rPr>
      </w:pPr>
    </w:p>
    <w:p w14:paraId="35DF6392" w14:textId="55FBBA32" w:rsidR="000E23FE" w:rsidRDefault="000E23FE" w:rsidP="008432E8">
      <w:pPr>
        <w:shd w:val="clear" w:color="auto" w:fill="FFFFFF"/>
        <w:spacing w:before="180" w:after="180" w:line="360" w:lineRule="auto"/>
        <w:contextualSpacing/>
        <w:jc w:val="both"/>
        <w:rPr>
          <w:color w:val="000000" w:themeColor="text1"/>
          <w:shd w:val="clear" w:color="auto" w:fill="FFFFFF"/>
        </w:rPr>
      </w:pPr>
    </w:p>
    <w:p w14:paraId="3522E80E" w14:textId="172D3D67" w:rsidR="000E23FE" w:rsidRDefault="000E23FE" w:rsidP="008432E8">
      <w:pPr>
        <w:shd w:val="clear" w:color="auto" w:fill="FFFFFF"/>
        <w:spacing w:before="180" w:after="180" w:line="360" w:lineRule="auto"/>
        <w:contextualSpacing/>
        <w:jc w:val="both"/>
        <w:rPr>
          <w:color w:val="000000" w:themeColor="text1"/>
          <w:shd w:val="clear" w:color="auto" w:fill="FFFFFF"/>
        </w:rPr>
      </w:pPr>
    </w:p>
    <w:p w14:paraId="3D994381" w14:textId="3BBF7059" w:rsidR="000E23FE" w:rsidRDefault="000E23FE" w:rsidP="008432E8">
      <w:pPr>
        <w:shd w:val="clear" w:color="auto" w:fill="FFFFFF"/>
        <w:spacing w:before="180" w:after="180" w:line="360" w:lineRule="auto"/>
        <w:contextualSpacing/>
        <w:jc w:val="both"/>
        <w:rPr>
          <w:color w:val="000000" w:themeColor="text1"/>
          <w:shd w:val="clear" w:color="auto" w:fill="FFFFFF"/>
        </w:rPr>
      </w:pPr>
    </w:p>
    <w:p w14:paraId="3A45E0EC" w14:textId="25D2885D" w:rsidR="000E23FE" w:rsidRDefault="000E23FE" w:rsidP="008432E8">
      <w:pPr>
        <w:shd w:val="clear" w:color="auto" w:fill="FFFFFF"/>
        <w:spacing w:before="180" w:after="180" w:line="360" w:lineRule="auto"/>
        <w:contextualSpacing/>
        <w:jc w:val="both"/>
        <w:rPr>
          <w:color w:val="000000" w:themeColor="text1"/>
          <w:shd w:val="clear" w:color="auto" w:fill="FFFFFF"/>
        </w:rPr>
      </w:pPr>
    </w:p>
    <w:p w14:paraId="18C62E54" w14:textId="05EC1E7E" w:rsidR="000E23FE" w:rsidRDefault="000E23FE" w:rsidP="008432E8">
      <w:pPr>
        <w:shd w:val="clear" w:color="auto" w:fill="FFFFFF"/>
        <w:spacing w:before="180" w:after="180" w:line="360" w:lineRule="auto"/>
        <w:contextualSpacing/>
        <w:jc w:val="both"/>
        <w:rPr>
          <w:color w:val="000000" w:themeColor="text1"/>
          <w:shd w:val="clear" w:color="auto" w:fill="FFFFFF"/>
        </w:rPr>
      </w:pPr>
    </w:p>
    <w:p w14:paraId="4E5A704F" w14:textId="7E936ACD" w:rsidR="000E23FE" w:rsidRDefault="000E23FE" w:rsidP="008432E8">
      <w:pPr>
        <w:shd w:val="clear" w:color="auto" w:fill="FFFFFF"/>
        <w:spacing w:before="180" w:after="180" w:line="360" w:lineRule="auto"/>
        <w:contextualSpacing/>
        <w:jc w:val="both"/>
        <w:rPr>
          <w:color w:val="000000" w:themeColor="text1"/>
          <w:shd w:val="clear" w:color="auto" w:fill="FFFFFF"/>
        </w:rPr>
      </w:pPr>
    </w:p>
    <w:p w14:paraId="78752E15" w14:textId="4275E652" w:rsidR="000E23FE" w:rsidRDefault="000E23FE" w:rsidP="008432E8">
      <w:pPr>
        <w:shd w:val="clear" w:color="auto" w:fill="FFFFFF"/>
        <w:spacing w:before="180" w:after="180" w:line="360" w:lineRule="auto"/>
        <w:contextualSpacing/>
        <w:jc w:val="both"/>
        <w:rPr>
          <w:color w:val="000000" w:themeColor="text1"/>
          <w:shd w:val="clear" w:color="auto" w:fill="FFFFFF"/>
        </w:rPr>
      </w:pPr>
    </w:p>
    <w:p w14:paraId="4011BA05" w14:textId="031A30AE" w:rsidR="000E23FE" w:rsidRDefault="000E23FE" w:rsidP="008432E8">
      <w:pPr>
        <w:shd w:val="clear" w:color="auto" w:fill="FFFFFF"/>
        <w:spacing w:before="180" w:after="180" w:line="360" w:lineRule="auto"/>
        <w:contextualSpacing/>
        <w:jc w:val="both"/>
        <w:rPr>
          <w:color w:val="000000" w:themeColor="text1"/>
          <w:shd w:val="clear" w:color="auto" w:fill="FFFFFF"/>
        </w:rPr>
      </w:pPr>
    </w:p>
    <w:p w14:paraId="1ECA350A" w14:textId="4E619275" w:rsidR="000E23FE" w:rsidRDefault="000E23FE" w:rsidP="008432E8">
      <w:pPr>
        <w:shd w:val="clear" w:color="auto" w:fill="FFFFFF"/>
        <w:spacing w:before="180" w:after="180" w:line="360" w:lineRule="auto"/>
        <w:contextualSpacing/>
        <w:jc w:val="both"/>
        <w:rPr>
          <w:color w:val="000000" w:themeColor="text1"/>
          <w:shd w:val="clear" w:color="auto" w:fill="FFFFFF"/>
        </w:rPr>
      </w:pPr>
    </w:p>
    <w:p w14:paraId="103C6A79" w14:textId="77777777" w:rsidR="000E23FE" w:rsidRDefault="000E23FE" w:rsidP="008432E8">
      <w:pPr>
        <w:shd w:val="clear" w:color="auto" w:fill="FFFFFF"/>
        <w:spacing w:before="180" w:after="180" w:line="360" w:lineRule="auto"/>
        <w:contextualSpacing/>
        <w:jc w:val="both"/>
        <w:rPr>
          <w:color w:val="000000" w:themeColor="text1"/>
          <w:shd w:val="clear" w:color="auto" w:fill="FFFFFF"/>
        </w:rPr>
      </w:pPr>
    </w:p>
    <w:p w14:paraId="15116E2A" w14:textId="77777777" w:rsidR="00B77A89" w:rsidRPr="00F106B1" w:rsidRDefault="00B77A89" w:rsidP="008432E8">
      <w:pPr>
        <w:shd w:val="clear" w:color="auto" w:fill="FFFFFF"/>
        <w:spacing w:before="180" w:after="180" w:line="360" w:lineRule="auto"/>
        <w:contextualSpacing/>
        <w:jc w:val="both"/>
        <w:rPr>
          <w:color w:val="000000" w:themeColor="text1"/>
          <w:shd w:val="clear" w:color="auto" w:fill="FFFFFF"/>
        </w:rPr>
      </w:pPr>
    </w:p>
    <w:p w14:paraId="7912C9E6" w14:textId="2C1D5E79" w:rsidR="00682FB5" w:rsidRDefault="00682FB5" w:rsidP="008432E8">
      <w:pPr>
        <w:pStyle w:val="Heading1"/>
        <w:numPr>
          <w:ilvl w:val="0"/>
          <w:numId w:val="3"/>
        </w:numPr>
        <w:spacing w:line="360" w:lineRule="auto"/>
        <w:jc w:val="both"/>
        <w:rPr>
          <w:sz w:val="32"/>
          <w:szCs w:val="32"/>
          <w:shd w:val="clear" w:color="auto" w:fill="FFFFFF"/>
        </w:rPr>
      </w:pPr>
      <w:r>
        <w:rPr>
          <w:sz w:val="32"/>
          <w:szCs w:val="32"/>
          <w:shd w:val="clear" w:color="auto" w:fill="FFFFFF"/>
        </w:rPr>
        <w:lastRenderedPageBreak/>
        <w:t>Comparative Analysis</w:t>
      </w:r>
    </w:p>
    <w:p w14:paraId="7DBE17E7" w14:textId="161261A4" w:rsidR="001F06EC" w:rsidRDefault="001F06EC" w:rsidP="008432E8">
      <w:pPr>
        <w:shd w:val="clear" w:color="auto" w:fill="FFFFFF"/>
        <w:spacing w:before="180" w:after="180" w:line="360" w:lineRule="auto"/>
        <w:contextualSpacing/>
        <w:jc w:val="both"/>
        <w:rPr>
          <w:color w:val="000000" w:themeColor="text1"/>
          <w:shd w:val="clear" w:color="auto" w:fill="FFFFFF"/>
        </w:rPr>
      </w:pPr>
      <w:r w:rsidRPr="001F06EC">
        <w:rPr>
          <w:color w:val="000000" w:themeColor="text1"/>
          <w:shd w:val="clear" w:color="auto" w:fill="FFFFFF"/>
        </w:rPr>
        <w:t>Financial ratios</w:t>
      </w:r>
      <w:r>
        <w:rPr>
          <w:color w:val="000000" w:themeColor="text1"/>
          <w:shd w:val="clear" w:color="auto" w:fill="FFFFFF"/>
        </w:rPr>
        <w:t xml:space="preserve"> </w:t>
      </w:r>
      <w:r w:rsidR="00304BD6">
        <w:rPr>
          <w:color w:val="000000" w:themeColor="text1"/>
          <w:shd w:val="clear" w:color="auto" w:fill="FFFFFF"/>
        </w:rPr>
        <w:t xml:space="preserve">are a measure for evaluation of different aspects of a company’s performance. </w:t>
      </w:r>
    </w:p>
    <w:p w14:paraId="5A387BBC" w14:textId="3A9EDA41" w:rsidR="00304BD6" w:rsidRDefault="00304BD6"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They are generally divided into four main groups: </w:t>
      </w:r>
      <w:r w:rsidR="00A43B34">
        <w:rPr>
          <w:color w:val="000000" w:themeColor="text1"/>
          <w:shd w:val="clear" w:color="auto" w:fill="FFFFFF"/>
        </w:rPr>
        <w:t xml:space="preserve">Liquidity ratios </w:t>
      </w:r>
      <w:r w:rsidR="00070650">
        <w:rPr>
          <w:color w:val="000000" w:themeColor="text1"/>
          <w:shd w:val="clear" w:color="auto" w:fill="FFFFFF"/>
        </w:rPr>
        <w:t xml:space="preserve">(also known as safety ratios) </w:t>
      </w:r>
      <w:r w:rsidR="00A43B34">
        <w:rPr>
          <w:color w:val="000000" w:themeColor="text1"/>
          <w:shd w:val="clear" w:color="auto" w:fill="FFFFFF"/>
        </w:rPr>
        <w:t xml:space="preserve">assess the company’s ability to meet its short-term obligations. </w:t>
      </w:r>
      <w:r w:rsidR="00070650">
        <w:rPr>
          <w:color w:val="000000" w:themeColor="text1"/>
          <w:shd w:val="clear" w:color="auto" w:fill="FFFFFF"/>
        </w:rPr>
        <w:t xml:space="preserve">Solvency ratios </w:t>
      </w:r>
      <w:r w:rsidR="00070650">
        <w:rPr>
          <w:color w:val="000000" w:themeColor="text1"/>
          <w:shd w:val="clear" w:color="auto" w:fill="FFFFFF"/>
        </w:rPr>
        <w:t>(also called insolvency or financial leverage ratios)</w:t>
      </w:r>
      <w:r w:rsidR="00070650">
        <w:rPr>
          <w:color w:val="000000" w:themeColor="text1"/>
          <w:shd w:val="clear" w:color="auto" w:fill="FFFFFF"/>
        </w:rPr>
        <w:t xml:space="preserve"> determine the same but with tong-term and other obligations. Profitability ratios </w:t>
      </w:r>
      <w:r w:rsidR="00070650">
        <w:rPr>
          <w:color w:val="000000" w:themeColor="text1"/>
          <w:shd w:val="clear" w:color="auto" w:fill="FFFFFF"/>
        </w:rPr>
        <w:t>(</w:t>
      </w:r>
      <w:r w:rsidR="00070650">
        <w:rPr>
          <w:color w:val="000000" w:themeColor="text1"/>
          <w:shd w:val="clear" w:color="auto" w:fill="FFFFFF"/>
        </w:rPr>
        <w:t xml:space="preserve">or performance </w:t>
      </w:r>
      <w:r w:rsidR="00070650">
        <w:rPr>
          <w:color w:val="000000" w:themeColor="text1"/>
          <w:shd w:val="clear" w:color="auto" w:fill="FFFFFF"/>
        </w:rPr>
        <w:t xml:space="preserve">ratios) </w:t>
      </w:r>
      <w:r w:rsidR="00070650">
        <w:rPr>
          <w:color w:val="000000" w:themeColor="text1"/>
          <w:shd w:val="clear" w:color="auto" w:fill="FFFFFF"/>
        </w:rPr>
        <w:t>analyze the ability of a company to generate future earnings. Lastly, efficiency ratios (also called productivity ratios) measure the capacity of generating income through its assets.</w:t>
      </w:r>
    </w:p>
    <w:p w14:paraId="7B27BFB5" w14:textId="77777777" w:rsidR="008619CE" w:rsidRPr="001F06EC" w:rsidRDefault="008619CE" w:rsidP="008432E8">
      <w:pPr>
        <w:shd w:val="clear" w:color="auto" w:fill="FFFFFF"/>
        <w:spacing w:before="180" w:after="180" w:line="360" w:lineRule="auto"/>
        <w:contextualSpacing/>
        <w:jc w:val="both"/>
        <w:rPr>
          <w:color w:val="000000" w:themeColor="text1"/>
          <w:shd w:val="clear" w:color="auto" w:fill="FFFFFF"/>
        </w:rPr>
      </w:pPr>
    </w:p>
    <w:p w14:paraId="53B4F12F" w14:textId="056F718D" w:rsidR="00F106B1" w:rsidRDefault="00DF57DA" w:rsidP="008432E8">
      <w:pPr>
        <w:pStyle w:val="Heading1"/>
        <w:numPr>
          <w:ilvl w:val="1"/>
          <w:numId w:val="9"/>
        </w:numPr>
        <w:spacing w:line="360" w:lineRule="auto"/>
        <w:jc w:val="both"/>
        <w:rPr>
          <w:sz w:val="32"/>
          <w:szCs w:val="32"/>
          <w:shd w:val="clear" w:color="auto" w:fill="FFFFFF"/>
        </w:rPr>
      </w:pPr>
      <w:r>
        <w:rPr>
          <w:sz w:val="32"/>
          <w:szCs w:val="32"/>
          <w:shd w:val="clear" w:color="auto" w:fill="FFFFFF"/>
        </w:rPr>
        <w:t>Liquidity</w:t>
      </w:r>
    </w:p>
    <w:p w14:paraId="3F3B2B20" w14:textId="7E1BB0CF" w:rsidR="00272DBE" w:rsidRPr="00272DBE" w:rsidRDefault="00272DBE" w:rsidP="008432E8">
      <w:pPr>
        <w:shd w:val="clear" w:color="auto" w:fill="FFFFFF"/>
        <w:spacing w:before="180" w:after="180" w:line="360" w:lineRule="auto"/>
        <w:jc w:val="both"/>
        <w:rPr>
          <w:color w:val="000000" w:themeColor="text1"/>
          <w:u w:val="single"/>
          <w:shd w:val="clear" w:color="auto" w:fill="FFFFFF"/>
        </w:rPr>
      </w:pPr>
      <w:r w:rsidRPr="00272DBE">
        <w:rPr>
          <w:color w:val="000000" w:themeColor="text1"/>
          <w:u w:val="single"/>
          <w:shd w:val="clear" w:color="auto" w:fill="FFFFFF"/>
        </w:rPr>
        <w:t>Current ratio</w:t>
      </w:r>
    </w:p>
    <w:p w14:paraId="5BF23746" w14:textId="69A2FE2E" w:rsidR="00272DBE" w:rsidRDefault="00B77A89"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The current ratio measures the company’s ability to meet its </w:t>
      </w:r>
      <w:proofErr w:type="gramStart"/>
      <w:r>
        <w:rPr>
          <w:color w:val="000000" w:themeColor="text1"/>
          <w:shd w:val="clear" w:color="auto" w:fill="FFFFFF"/>
        </w:rPr>
        <w:t>short term</w:t>
      </w:r>
      <w:proofErr w:type="gramEnd"/>
      <w:r>
        <w:rPr>
          <w:color w:val="000000" w:themeColor="text1"/>
          <w:shd w:val="clear" w:color="auto" w:fill="FFFFFF"/>
        </w:rPr>
        <w:t xml:space="preserve"> obligations with its short term assets. </w:t>
      </w:r>
    </w:p>
    <w:p w14:paraId="41CA7261" w14:textId="49BD58ED" w:rsidR="00B77A89" w:rsidRDefault="00B77A89"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The forecast of that ratio has a positive trend with the ratio being almost double in the last forecasted period. Since we know that current liabilities increased due to the boom in short-term debt from the maturity of long-term debt, that means current assets have increased in a higher proportion. Ideally, the ratio should be around 1.2, or at least bigger than 1 to ensure the company is liquid enough to pay the liabilities if needed. In our case the ratio is of 1.46 and the forecast in the last period of 2.76 which means in one year the company will be able to pay its current liabilities 2.76 times with their current assets.</w:t>
      </w:r>
    </w:p>
    <w:p w14:paraId="79A7FF08" w14:textId="77777777" w:rsidR="00B77A89" w:rsidRPr="00272DBE" w:rsidRDefault="00B77A89" w:rsidP="008432E8">
      <w:pPr>
        <w:shd w:val="clear" w:color="auto" w:fill="FFFFFF"/>
        <w:spacing w:before="180" w:after="180" w:line="360" w:lineRule="auto"/>
        <w:contextualSpacing/>
        <w:jc w:val="both"/>
        <w:rPr>
          <w:color w:val="000000" w:themeColor="text1"/>
          <w:shd w:val="clear" w:color="auto" w:fill="FFFFFF"/>
        </w:rPr>
      </w:pPr>
    </w:p>
    <w:p w14:paraId="763F71A9" w14:textId="77777777" w:rsidR="00272DBE" w:rsidRPr="00272DBE" w:rsidRDefault="00272DBE" w:rsidP="008432E8">
      <w:pPr>
        <w:shd w:val="clear" w:color="auto" w:fill="FFFFFF"/>
        <w:spacing w:before="180" w:after="180" w:line="360" w:lineRule="auto"/>
        <w:contextualSpacing/>
        <w:jc w:val="both"/>
        <w:rPr>
          <w:color w:val="000000" w:themeColor="text1"/>
          <w:u w:val="single"/>
          <w:shd w:val="clear" w:color="auto" w:fill="FFFFFF"/>
        </w:rPr>
      </w:pPr>
      <w:r w:rsidRPr="00272DBE">
        <w:rPr>
          <w:color w:val="000000" w:themeColor="text1"/>
          <w:u w:val="single"/>
          <w:shd w:val="clear" w:color="auto" w:fill="FFFFFF"/>
        </w:rPr>
        <w:t>Quick ratio</w:t>
      </w:r>
    </w:p>
    <w:p w14:paraId="00162CEE" w14:textId="493B8863" w:rsidR="00B77A89" w:rsidRDefault="00B77A89"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The </w:t>
      </w:r>
      <w:r>
        <w:rPr>
          <w:color w:val="000000" w:themeColor="text1"/>
          <w:shd w:val="clear" w:color="auto" w:fill="FFFFFF"/>
        </w:rPr>
        <w:t>quick</w:t>
      </w:r>
      <w:r>
        <w:rPr>
          <w:color w:val="000000" w:themeColor="text1"/>
          <w:shd w:val="clear" w:color="auto" w:fill="FFFFFF"/>
        </w:rPr>
        <w:t xml:space="preserve"> ratio measures the company’s ability to meet its </w:t>
      </w:r>
      <w:proofErr w:type="gramStart"/>
      <w:r>
        <w:rPr>
          <w:color w:val="000000" w:themeColor="text1"/>
          <w:shd w:val="clear" w:color="auto" w:fill="FFFFFF"/>
        </w:rPr>
        <w:t>short term</w:t>
      </w:r>
      <w:proofErr w:type="gramEnd"/>
      <w:r>
        <w:rPr>
          <w:color w:val="000000" w:themeColor="text1"/>
          <w:shd w:val="clear" w:color="auto" w:fill="FFFFFF"/>
        </w:rPr>
        <w:t xml:space="preserve"> obligations with its short term assets</w:t>
      </w:r>
      <w:r>
        <w:rPr>
          <w:color w:val="000000" w:themeColor="text1"/>
          <w:shd w:val="clear" w:color="auto" w:fill="FFFFFF"/>
        </w:rPr>
        <w:t xml:space="preserve"> excluding inventory since it’s harder to convert to cash</w:t>
      </w:r>
      <w:r>
        <w:rPr>
          <w:color w:val="000000" w:themeColor="text1"/>
          <w:shd w:val="clear" w:color="auto" w:fill="FFFFFF"/>
        </w:rPr>
        <w:t xml:space="preserve">. </w:t>
      </w:r>
    </w:p>
    <w:p w14:paraId="7AF85C8C" w14:textId="402C6D25" w:rsidR="00272DBE" w:rsidRPr="00272DBE" w:rsidRDefault="00B77A89"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The quick ratio has also increased similarly to the current ratio. That means that the boost in current assets is not mainly due to an increase in inventory.</w:t>
      </w:r>
    </w:p>
    <w:p w14:paraId="25036650" w14:textId="77777777" w:rsidR="00272DBE" w:rsidRPr="00272DBE" w:rsidRDefault="00272DBE" w:rsidP="008432E8">
      <w:pPr>
        <w:shd w:val="clear" w:color="auto" w:fill="FFFFFF"/>
        <w:spacing w:before="180" w:after="180" w:line="360" w:lineRule="auto"/>
        <w:contextualSpacing/>
        <w:jc w:val="both"/>
        <w:rPr>
          <w:color w:val="000000" w:themeColor="text1"/>
          <w:shd w:val="clear" w:color="auto" w:fill="FFFFFF"/>
        </w:rPr>
      </w:pPr>
    </w:p>
    <w:p w14:paraId="0E78E3DB" w14:textId="77777777" w:rsidR="00272DBE" w:rsidRPr="00272DBE" w:rsidRDefault="00272DBE" w:rsidP="008432E8">
      <w:pPr>
        <w:shd w:val="clear" w:color="auto" w:fill="FFFFFF"/>
        <w:spacing w:before="180" w:after="180" w:line="360" w:lineRule="auto"/>
        <w:contextualSpacing/>
        <w:jc w:val="both"/>
        <w:rPr>
          <w:color w:val="000000" w:themeColor="text1"/>
          <w:u w:val="single"/>
          <w:shd w:val="clear" w:color="auto" w:fill="FFFFFF"/>
        </w:rPr>
      </w:pPr>
      <w:r w:rsidRPr="00272DBE">
        <w:rPr>
          <w:color w:val="000000" w:themeColor="text1"/>
          <w:u w:val="single"/>
          <w:shd w:val="clear" w:color="auto" w:fill="FFFFFF"/>
        </w:rPr>
        <w:t>Accounts Receivable Turnover</w:t>
      </w:r>
    </w:p>
    <w:p w14:paraId="55F83622" w14:textId="77777777" w:rsidR="00F44452" w:rsidRDefault="00F44452"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lastRenderedPageBreak/>
        <w:t xml:space="preserve">The </w:t>
      </w:r>
      <w:r w:rsidRPr="00F44452">
        <w:rPr>
          <w:color w:val="000000" w:themeColor="text1"/>
          <w:shd w:val="clear" w:color="auto" w:fill="FFFFFF"/>
        </w:rPr>
        <w:t>Accounts Receivable Turnover</w:t>
      </w:r>
      <w:r>
        <w:rPr>
          <w:color w:val="000000" w:themeColor="text1"/>
          <w:shd w:val="clear" w:color="auto" w:fill="FFFFFF"/>
        </w:rPr>
        <w:t xml:space="preserve"> ratio shows how efficient a company is in collecting receivables form its clients. </w:t>
      </w:r>
    </w:p>
    <w:p w14:paraId="4ECA0566" w14:textId="3CD269CD" w:rsidR="00272DBE" w:rsidRPr="00272DBE" w:rsidRDefault="00F44452"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The ratio remained the same during the forecasted period. This is due to the fact that the ratio is calculated as total sales divided by accounts receivable and that last item was forecasted in respect to sales.</w:t>
      </w:r>
    </w:p>
    <w:p w14:paraId="373E06C7" w14:textId="77777777" w:rsidR="00272DBE" w:rsidRPr="00272DBE" w:rsidRDefault="00272DBE" w:rsidP="008432E8">
      <w:pPr>
        <w:shd w:val="clear" w:color="auto" w:fill="FFFFFF"/>
        <w:spacing w:before="180" w:after="180" w:line="360" w:lineRule="auto"/>
        <w:contextualSpacing/>
        <w:jc w:val="both"/>
        <w:rPr>
          <w:color w:val="000000" w:themeColor="text1"/>
          <w:shd w:val="clear" w:color="auto" w:fill="FFFFFF"/>
        </w:rPr>
      </w:pPr>
    </w:p>
    <w:p w14:paraId="6196C945" w14:textId="77777777" w:rsidR="00272DBE" w:rsidRPr="00272DBE" w:rsidRDefault="00272DBE" w:rsidP="008432E8">
      <w:pPr>
        <w:shd w:val="clear" w:color="auto" w:fill="FFFFFF"/>
        <w:spacing w:before="180" w:after="180" w:line="360" w:lineRule="auto"/>
        <w:contextualSpacing/>
        <w:jc w:val="both"/>
        <w:rPr>
          <w:color w:val="000000" w:themeColor="text1"/>
          <w:u w:val="single"/>
          <w:shd w:val="clear" w:color="auto" w:fill="FFFFFF"/>
        </w:rPr>
      </w:pPr>
      <w:r w:rsidRPr="00272DBE">
        <w:rPr>
          <w:color w:val="000000" w:themeColor="text1"/>
          <w:u w:val="single"/>
          <w:shd w:val="clear" w:color="auto" w:fill="FFFFFF"/>
        </w:rPr>
        <w:t>Days in Receivable</w:t>
      </w:r>
    </w:p>
    <w:p w14:paraId="3AAC2435" w14:textId="6718A4AD" w:rsidR="007369CE" w:rsidRDefault="00A80957"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This ratio tells you the number of days the company needed to collect its accounts receivable. </w:t>
      </w:r>
    </w:p>
    <w:p w14:paraId="030C4BEB" w14:textId="699B38B1" w:rsidR="009521C1" w:rsidRDefault="00A80957"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The number of days </w:t>
      </w:r>
      <w:r w:rsidR="001C73DB">
        <w:rPr>
          <w:color w:val="000000" w:themeColor="text1"/>
          <w:shd w:val="clear" w:color="auto" w:fill="FFFFFF"/>
        </w:rPr>
        <w:t xml:space="preserve">was the same during the forecasted period for the reason explained in the previous ratio. The value for that ratio is of 57.84 days which is higher than an ideal value, however </w:t>
      </w:r>
      <w:proofErr w:type="spellStart"/>
      <w:r w:rsidR="001C73DB">
        <w:rPr>
          <w:color w:val="000000" w:themeColor="text1"/>
          <w:shd w:val="clear" w:color="auto" w:fill="FFFFFF"/>
        </w:rPr>
        <w:t>its</w:t>
      </w:r>
      <w:proofErr w:type="spellEnd"/>
      <w:r w:rsidR="001C73DB">
        <w:rPr>
          <w:color w:val="000000" w:themeColor="text1"/>
          <w:shd w:val="clear" w:color="auto" w:fill="FFFFFF"/>
        </w:rPr>
        <w:t xml:space="preserve"> still higher than the pharmaceutical industry ratio average.</w:t>
      </w:r>
    </w:p>
    <w:p w14:paraId="50D5A823" w14:textId="77777777" w:rsidR="00955C8E" w:rsidRPr="001D55DD" w:rsidRDefault="00955C8E" w:rsidP="008432E8">
      <w:pPr>
        <w:shd w:val="clear" w:color="auto" w:fill="FFFFFF"/>
        <w:spacing w:before="180" w:after="180" w:line="360" w:lineRule="auto"/>
        <w:contextualSpacing/>
        <w:jc w:val="both"/>
        <w:rPr>
          <w:color w:val="000000" w:themeColor="text1"/>
          <w:shd w:val="clear" w:color="auto" w:fill="FFFFFF"/>
        </w:rPr>
      </w:pPr>
    </w:p>
    <w:p w14:paraId="72F8E754" w14:textId="3E2B6B0C" w:rsidR="00DF57DA" w:rsidRPr="00955C8E" w:rsidRDefault="00070650" w:rsidP="008432E8">
      <w:pPr>
        <w:pStyle w:val="Heading1"/>
        <w:numPr>
          <w:ilvl w:val="1"/>
          <w:numId w:val="9"/>
        </w:numPr>
        <w:spacing w:line="360" w:lineRule="auto"/>
        <w:jc w:val="both"/>
        <w:rPr>
          <w:sz w:val="32"/>
          <w:szCs w:val="32"/>
          <w:shd w:val="clear" w:color="auto" w:fill="FFFFFF"/>
        </w:rPr>
      </w:pPr>
      <w:r>
        <w:rPr>
          <w:sz w:val="32"/>
          <w:szCs w:val="32"/>
          <w:shd w:val="clear" w:color="auto" w:fill="FFFFFF"/>
        </w:rPr>
        <w:t>Efficiency</w:t>
      </w:r>
    </w:p>
    <w:p w14:paraId="4E6BC8E8" w14:textId="77777777" w:rsidR="00955C8E" w:rsidRDefault="00955C8E" w:rsidP="008432E8">
      <w:pPr>
        <w:shd w:val="clear" w:color="auto" w:fill="FFFFFF"/>
        <w:spacing w:before="180" w:after="180" w:line="360" w:lineRule="auto"/>
        <w:contextualSpacing/>
        <w:jc w:val="both"/>
        <w:rPr>
          <w:color w:val="000000" w:themeColor="text1"/>
          <w:u w:val="single"/>
          <w:shd w:val="clear" w:color="auto" w:fill="FFFFFF"/>
        </w:rPr>
      </w:pPr>
      <w:r>
        <w:rPr>
          <w:color w:val="000000" w:themeColor="text1"/>
          <w:u w:val="single"/>
          <w:shd w:val="clear" w:color="auto" w:fill="FFFFFF"/>
        </w:rPr>
        <w:t>Inventory Turnover</w:t>
      </w:r>
    </w:p>
    <w:p w14:paraId="180757A8" w14:textId="608833FA" w:rsidR="00955C8E" w:rsidRDefault="001C73DB"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Inventory turnover measures how efficiently a company treats inventory.</w:t>
      </w:r>
    </w:p>
    <w:p w14:paraId="643EF46E" w14:textId="1C91B29A" w:rsidR="001C73DB" w:rsidRDefault="001C73DB"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The ratio increased slightly during the forecast</w:t>
      </w:r>
      <w:r w:rsidR="008C5C1D">
        <w:rPr>
          <w:color w:val="000000" w:themeColor="text1"/>
          <w:shd w:val="clear" w:color="auto" w:fill="FFFFFF"/>
        </w:rPr>
        <w:t xml:space="preserve"> going form 0.7 in the current quarter to 0.8 in the last one.</w:t>
      </w:r>
    </w:p>
    <w:p w14:paraId="7EBD2014" w14:textId="77777777" w:rsidR="00955C8E" w:rsidRPr="00272DBE" w:rsidRDefault="00955C8E" w:rsidP="008432E8">
      <w:pPr>
        <w:shd w:val="clear" w:color="auto" w:fill="FFFFFF"/>
        <w:spacing w:before="180" w:after="180" w:line="360" w:lineRule="auto"/>
        <w:contextualSpacing/>
        <w:jc w:val="both"/>
        <w:rPr>
          <w:color w:val="000000" w:themeColor="text1"/>
          <w:shd w:val="clear" w:color="auto" w:fill="FFFFFF"/>
        </w:rPr>
      </w:pPr>
    </w:p>
    <w:p w14:paraId="6CBA86AB" w14:textId="77777777" w:rsidR="00955C8E" w:rsidRDefault="00955C8E" w:rsidP="008432E8">
      <w:pPr>
        <w:shd w:val="clear" w:color="auto" w:fill="FFFFFF"/>
        <w:spacing w:before="180" w:after="180" w:line="360" w:lineRule="auto"/>
        <w:contextualSpacing/>
        <w:jc w:val="both"/>
        <w:rPr>
          <w:color w:val="000000" w:themeColor="text1"/>
          <w:u w:val="single"/>
          <w:shd w:val="clear" w:color="auto" w:fill="FFFFFF"/>
        </w:rPr>
      </w:pPr>
      <w:r w:rsidRPr="00272DBE">
        <w:rPr>
          <w:color w:val="000000" w:themeColor="text1"/>
          <w:u w:val="single"/>
          <w:shd w:val="clear" w:color="auto" w:fill="FFFFFF"/>
        </w:rPr>
        <w:t xml:space="preserve">Days in </w:t>
      </w:r>
      <w:r>
        <w:rPr>
          <w:color w:val="000000" w:themeColor="text1"/>
          <w:u w:val="single"/>
          <w:shd w:val="clear" w:color="auto" w:fill="FFFFFF"/>
        </w:rPr>
        <w:t>Inventory</w:t>
      </w:r>
    </w:p>
    <w:p w14:paraId="5EF73BF3" w14:textId="77777777" w:rsidR="001C73DB" w:rsidRDefault="001C73DB"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Days in inventory show the </w:t>
      </w:r>
      <w:r>
        <w:rPr>
          <w:color w:val="000000" w:themeColor="text1"/>
          <w:shd w:val="clear" w:color="auto" w:fill="FFFFFF"/>
        </w:rPr>
        <w:t xml:space="preserve">the number of days the company needed to collect its accounts receivable. </w:t>
      </w:r>
    </w:p>
    <w:p w14:paraId="4ACD48A1" w14:textId="675943CF" w:rsidR="00955C8E" w:rsidRDefault="00631127"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It decreased by almost 20 days of the 130 they currently have during the forecasted year which means the company is going to manage the inventory more efficiently.</w:t>
      </w:r>
    </w:p>
    <w:p w14:paraId="0859DC33" w14:textId="77777777" w:rsidR="00955C8E" w:rsidRPr="00272DBE" w:rsidRDefault="00955C8E" w:rsidP="008432E8">
      <w:pPr>
        <w:shd w:val="clear" w:color="auto" w:fill="FFFFFF"/>
        <w:spacing w:before="180" w:after="180" w:line="360" w:lineRule="auto"/>
        <w:contextualSpacing/>
        <w:jc w:val="both"/>
        <w:rPr>
          <w:color w:val="000000" w:themeColor="text1"/>
          <w:shd w:val="clear" w:color="auto" w:fill="FFFFFF"/>
        </w:rPr>
      </w:pPr>
    </w:p>
    <w:p w14:paraId="406821BA" w14:textId="77777777" w:rsidR="00955C8E" w:rsidRDefault="00955C8E" w:rsidP="008432E8">
      <w:pPr>
        <w:shd w:val="clear" w:color="auto" w:fill="FFFFFF"/>
        <w:spacing w:before="180" w:after="180" w:line="360" w:lineRule="auto"/>
        <w:contextualSpacing/>
        <w:jc w:val="both"/>
        <w:rPr>
          <w:color w:val="000000" w:themeColor="text1"/>
          <w:u w:val="single"/>
          <w:shd w:val="clear" w:color="auto" w:fill="FFFFFF"/>
        </w:rPr>
      </w:pPr>
      <w:r>
        <w:rPr>
          <w:color w:val="000000" w:themeColor="text1"/>
          <w:u w:val="single"/>
          <w:shd w:val="clear" w:color="auto" w:fill="FFFFFF"/>
        </w:rPr>
        <w:t>Total Asset Turnover</w:t>
      </w:r>
    </w:p>
    <w:p w14:paraId="7E4101C9" w14:textId="77777777" w:rsidR="004B55D3" w:rsidRDefault="004B55D3"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Asset turnover measures how effectively a company uses its assets. </w:t>
      </w:r>
    </w:p>
    <w:p w14:paraId="75E2C338" w14:textId="77D07C7D" w:rsidR="00955C8E" w:rsidRDefault="004B55D3"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Surprisingly this ratio is predicted to decrease</w:t>
      </w:r>
      <w:r w:rsidR="004C4F16">
        <w:rPr>
          <w:color w:val="000000" w:themeColor="text1"/>
          <w:shd w:val="clear" w:color="auto" w:fill="FFFFFF"/>
        </w:rPr>
        <w:t>. This means the company is going to generate less revenue from its assets thus operating less efficiently.</w:t>
      </w:r>
      <w:r>
        <w:rPr>
          <w:color w:val="000000" w:themeColor="text1"/>
          <w:shd w:val="clear" w:color="auto" w:fill="FFFFFF"/>
        </w:rPr>
        <w:t xml:space="preserve"> </w:t>
      </w:r>
    </w:p>
    <w:p w14:paraId="6F4C24D2" w14:textId="77777777" w:rsidR="00955C8E" w:rsidRPr="00272DBE" w:rsidRDefault="00955C8E" w:rsidP="008432E8">
      <w:pPr>
        <w:shd w:val="clear" w:color="auto" w:fill="FFFFFF"/>
        <w:spacing w:before="180" w:after="180" w:line="360" w:lineRule="auto"/>
        <w:contextualSpacing/>
        <w:jc w:val="both"/>
        <w:rPr>
          <w:color w:val="000000" w:themeColor="text1"/>
          <w:shd w:val="clear" w:color="auto" w:fill="FFFFFF"/>
        </w:rPr>
      </w:pPr>
    </w:p>
    <w:p w14:paraId="176835B4" w14:textId="77777777" w:rsidR="00955C8E" w:rsidRDefault="00955C8E" w:rsidP="008432E8">
      <w:pPr>
        <w:shd w:val="clear" w:color="auto" w:fill="FFFFFF"/>
        <w:spacing w:before="180" w:after="180" w:line="360" w:lineRule="auto"/>
        <w:contextualSpacing/>
        <w:jc w:val="both"/>
        <w:rPr>
          <w:color w:val="000000" w:themeColor="text1"/>
          <w:u w:val="single"/>
          <w:shd w:val="clear" w:color="auto" w:fill="FFFFFF"/>
        </w:rPr>
      </w:pPr>
      <w:r>
        <w:rPr>
          <w:color w:val="000000" w:themeColor="text1"/>
          <w:u w:val="single"/>
          <w:shd w:val="clear" w:color="auto" w:fill="FFFFFF"/>
        </w:rPr>
        <w:lastRenderedPageBreak/>
        <w:t>Total Fixed Asset Turnover</w:t>
      </w:r>
    </w:p>
    <w:p w14:paraId="29C250CA" w14:textId="209F3D8A" w:rsidR="004C4F16" w:rsidRPr="004C4F16" w:rsidRDefault="004C4F16" w:rsidP="008432E8">
      <w:pPr>
        <w:shd w:val="clear" w:color="auto" w:fill="FFFFFF"/>
        <w:spacing w:before="180" w:after="180" w:line="360" w:lineRule="auto"/>
        <w:contextualSpacing/>
        <w:jc w:val="both"/>
        <w:rPr>
          <w:color w:val="000000" w:themeColor="text1"/>
          <w:shd w:val="clear" w:color="auto" w:fill="FFFFFF"/>
        </w:rPr>
      </w:pPr>
      <w:r w:rsidRPr="004C4F16">
        <w:rPr>
          <w:color w:val="000000" w:themeColor="text1"/>
          <w:shd w:val="clear" w:color="auto" w:fill="FFFFFF"/>
        </w:rPr>
        <w:t>Total Fixed Asset Turnover</w:t>
      </w:r>
      <w:r>
        <w:rPr>
          <w:color w:val="000000" w:themeColor="text1"/>
          <w:shd w:val="clear" w:color="auto" w:fill="FFFFFF"/>
        </w:rPr>
        <w:t xml:space="preserve"> is the same ratio as Total Asset Turnover (the previous ratio explained), but only taking into account fixed assets instead of total assets.</w:t>
      </w:r>
    </w:p>
    <w:p w14:paraId="3B066ADE" w14:textId="77BD7E8B" w:rsidR="00955C8E" w:rsidRDefault="004C4F16"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However, this ratio behaves very differently from the previous one. The first quarter decreases, then increases and the same happens in the last two quarters. This can be explained since fixed assets </w:t>
      </w:r>
      <w:r w:rsidR="00592B9D">
        <w:rPr>
          <w:color w:val="000000" w:themeColor="text1"/>
          <w:shd w:val="clear" w:color="auto" w:fill="FFFFFF"/>
        </w:rPr>
        <w:t xml:space="preserve">and sales </w:t>
      </w:r>
      <w:r>
        <w:rPr>
          <w:color w:val="000000" w:themeColor="text1"/>
          <w:shd w:val="clear" w:color="auto" w:fill="FFFFFF"/>
        </w:rPr>
        <w:t>predicted follow the same fluctuation.</w:t>
      </w:r>
    </w:p>
    <w:p w14:paraId="60276697" w14:textId="77777777" w:rsidR="00955C8E" w:rsidRPr="00272DBE" w:rsidRDefault="00955C8E" w:rsidP="008432E8">
      <w:pPr>
        <w:shd w:val="clear" w:color="auto" w:fill="FFFFFF"/>
        <w:spacing w:before="180" w:after="180" w:line="360" w:lineRule="auto"/>
        <w:contextualSpacing/>
        <w:jc w:val="both"/>
        <w:rPr>
          <w:color w:val="000000" w:themeColor="text1"/>
          <w:shd w:val="clear" w:color="auto" w:fill="FFFFFF"/>
        </w:rPr>
      </w:pPr>
    </w:p>
    <w:p w14:paraId="50C6A445" w14:textId="7E646AFC" w:rsidR="007369CE" w:rsidRPr="00955C8E" w:rsidRDefault="00DF57DA" w:rsidP="008432E8">
      <w:pPr>
        <w:pStyle w:val="Heading1"/>
        <w:numPr>
          <w:ilvl w:val="1"/>
          <w:numId w:val="9"/>
        </w:numPr>
        <w:spacing w:line="360" w:lineRule="auto"/>
        <w:jc w:val="both"/>
        <w:rPr>
          <w:sz w:val="32"/>
          <w:szCs w:val="32"/>
          <w:shd w:val="clear" w:color="auto" w:fill="FFFFFF"/>
        </w:rPr>
      </w:pPr>
      <w:r>
        <w:rPr>
          <w:sz w:val="32"/>
          <w:szCs w:val="32"/>
          <w:shd w:val="clear" w:color="auto" w:fill="FFFFFF"/>
        </w:rPr>
        <w:t>Profitability</w:t>
      </w:r>
    </w:p>
    <w:p w14:paraId="6DC06046" w14:textId="3579C5EB" w:rsidR="00955C8E" w:rsidRDefault="00955C8E" w:rsidP="008432E8">
      <w:pPr>
        <w:shd w:val="clear" w:color="auto" w:fill="FFFFFF"/>
        <w:spacing w:before="180" w:after="180" w:line="360" w:lineRule="auto"/>
        <w:contextualSpacing/>
        <w:jc w:val="both"/>
        <w:rPr>
          <w:color w:val="000000" w:themeColor="text1"/>
          <w:u w:val="single"/>
          <w:shd w:val="clear" w:color="auto" w:fill="FFFFFF"/>
        </w:rPr>
      </w:pPr>
      <w:r>
        <w:rPr>
          <w:color w:val="000000" w:themeColor="text1"/>
          <w:u w:val="single"/>
          <w:shd w:val="clear" w:color="auto" w:fill="FFFFFF"/>
        </w:rPr>
        <w:t xml:space="preserve">Operating </w:t>
      </w:r>
      <w:r>
        <w:rPr>
          <w:color w:val="000000" w:themeColor="text1"/>
          <w:u w:val="single"/>
          <w:shd w:val="clear" w:color="auto" w:fill="FFFFFF"/>
        </w:rPr>
        <w:t>Profit Margin</w:t>
      </w:r>
    </w:p>
    <w:p w14:paraId="1BAA9267" w14:textId="15872897" w:rsidR="00955C8E" w:rsidRDefault="003A6F7C"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This ratio reflects how much profit a company makes from a dollar in sales (after tax, after interest).</w:t>
      </w:r>
    </w:p>
    <w:p w14:paraId="05AABCEC" w14:textId="267C657E" w:rsidR="00955C8E" w:rsidRDefault="00372F90"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The ratio follows the same trend as before, it decreases or increases depending on the period, but always staying at a higher value than the present ratio.</w:t>
      </w:r>
    </w:p>
    <w:p w14:paraId="1CC6D098" w14:textId="77777777" w:rsidR="00372F90" w:rsidRPr="00955C8E" w:rsidRDefault="00372F90" w:rsidP="008432E8">
      <w:pPr>
        <w:shd w:val="clear" w:color="auto" w:fill="FFFFFF"/>
        <w:spacing w:before="180" w:after="180" w:line="360" w:lineRule="auto"/>
        <w:contextualSpacing/>
        <w:jc w:val="both"/>
        <w:rPr>
          <w:color w:val="000000" w:themeColor="text1"/>
          <w:shd w:val="clear" w:color="auto" w:fill="FFFFFF"/>
        </w:rPr>
      </w:pPr>
    </w:p>
    <w:p w14:paraId="083A5C84" w14:textId="795BBCD9" w:rsidR="00955C8E" w:rsidRDefault="00955C8E" w:rsidP="008432E8">
      <w:pPr>
        <w:shd w:val="clear" w:color="auto" w:fill="FFFFFF"/>
        <w:spacing w:before="180" w:after="180" w:line="360" w:lineRule="auto"/>
        <w:contextualSpacing/>
        <w:jc w:val="both"/>
        <w:rPr>
          <w:color w:val="000000" w:themeColor="text1"/>
          <w:u w:val="single"/>
          <w:shd w:val="clear" w:color="auto" w:fill="FFFFFF"/>
        </w:rPr>
      </w:pPr>
      <w:r>
        <w:rPr>
          <w:color w:val="000000" w:themeColor="text1"/>
          <w:u w:val="single"/>
          <w:shd w:val="clear" w:color="auto" w:fill="FFFFFF"/>
        </w:rPr>
        <w:t>Return on Asset (ROA)</w:t>
      </w:r>
    </w:p>
    <w:p w14:paraId="41FBDA8B" w14:textId="052A6D70" w:rsidR="00955C8E" w:rsidRDefault="004408D4"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ROA, also known as operating margin, measures the percentage a company makes in profit from operations. </w:t>
      </w:r>
    </w:p>
    <w:p w14:paraId="47B506A1" w14:textId="562011E0" w:rsidR="004408D4" w:rsidRDefault="004408D4"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As before, the slope of the trend depends on the quarter, however, unlike before, the future values are predicted below the current one. </w:t>
      </w:r>
    </w:p>
    <w:p w14:paraId="275AADF2" w14:textId="13CA54D3" w:rsidR="004408D4" w:rsidRDefault="004408D4" w:rsidP="008432E8">
      <w:pPr>
        <w:shd w:val="clear" w:color="auto" w:fill="FFFFFF"/>
        <w:spacing w:before="180" w:after="180" w:line="360" w:lineRule="auto"/>
        <w:contextualSpacing/>
        <w:jc w:val="both"/>
        <w:rPr>
          <w:color w:val="000000" w:themeColor="text1"/>
          <w:shd w:val="clear" w:color="auto" w:fill="FFFFFF"/>
        </w:rPr>
      </w:pPr>
      <w:proofErr w:type="gramStart"/>
      <w:r>
        <w:rPr>
          <w:color w:val="000000" w:themeColor="text1"/>
          <w:shd w:val="clear" w:color="auto" w:fill="FFFFFF"/>
        </w:rPr>
        <w:t>Nevertheless</w:t>
      </w:r>
      <w:proofErr w:type="gramEnd"/>
      <w:r>
        <w:rPr>
          <w:color w:val="000000" w:themeColor="text1"/>
          <w:shd w:val="clear" w:color="auto" w:fill="FFFFFF"/>
        </w:rPr>
        <w:t xml:space="preserve"> the ratio is still maintaining above desired values, but gets away from the industry average which is of 12%.</w:t>
      </w:r>
    </w:p>
    <w:p w14:paraId="4DDDBE46" w14:textId="77777777" w:rsidR="00955C8E" w:rsidRPr="00272DBE" w:rsidRDefault="00955C8E" w:rsidP="008432E8">
      <w:pPr>
        <w:shd w:val="clear" w:color="auto" w:fill="FFFFFF"/>
        <w:spacing w:before="180" w:after="180" w:line="360" w:lineRule="auto"/>
        <w:contextualSpacing/>
        <w:jc w:val="both"/>
        <w:rPr>
          <w:color w:val="000000" w:themeColor="text1"/>
          <w:shd w:val="clear" w:color="auto" w:fill="FFFFFF"/>
        </w:rPr>
      </w:pPr>
    </w:p>
    <w:p w14:paraId="75FBCEE0" w14:textId="334D97DD" w:rsidR="00955C8E" w:rsidRDefault="00955C8E" w:rsidP="008432E8">
      <w:pPr>
        <w:shd w:val="clear" w:color="auto" w:fill="FFFFFF"/>
        <w:spacing w:before="180" w:after="180" w:line="360" w:lineRule="auto"/>
        <w:contextualSpacing/>
        <w:jc w:val="both"/>
        <w:rPr>
          <w:color w:val="000000" w:themeColor="text1"/>
          <w:u w:val="single"/>
          <w:shd w:val="clear" w:color="auto" w:fill="FFFFFF"/>
        </w:rPr>
      </w:pPr>
      <w:r>
        <w:rPr>
          <w:color w:val="000000" w:themeColor="text1"/>
          <w:u w:val="single"/>
          <w:shd w:val="clear" w:color="auto" w:fill="FFFFFF"/>
        </w:rPr>
        <w:t>Return on Sales (Net Profit Margin)</w:t>
      </w:r>
    </w:p>
    <w:p w14:paraId="61BC210D" w14:textId="77777777" w:rsidR="00592B9D" w:rsidRDefault="00592B9D"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Net profit margin shows the percentage of profit gained from its revenue.</w:t>
      </w:r>
    </w:p>
    <w:p w14:paraId="583C530C" w14:textId="53063D6D" w:rsidR="00955C8E" w:rsidRDefault="00592B9D"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Return on sales follows the same distribution as ROA. </w:t>
      </w:r>
    </w:p>
    <w:p w14:paraId="7BF70E39" w14:textId="77777777" w:rsidR="00955C8E" w:rsidRPr="00272DBE" w:rsidRDefault="00955C8E" w:rsidP="008432E8">
      <w:pPr>
        <w:shd w:val="clear" w:color="auto" w:fill="FFFFFF"/>
        <w:spacing w:before="180" w:after="180" w:line="360" w:lineRule="auto"/>
        <w:contextualSpacing/>
        <w:jc w:val="both"/>
        <w:rPr>
          <w:color w:val="000000" w:themeColor="text1"/>
          <w:shd w:val="clear" w:color="auto" w:fill="FFFFFF"/>
        </w:rPr>
      </w:pPr>
    </w:p>
    <w:p w14:paraId="31D87C06" w14:textId="784354C1" w:rsidR="00955C8E" w:rsidRDefault="00955C8E" w:rsidP="008432E8">
      <w:pPr>
        <w:shd w:val="clear" w:color="auto" w:fill="FFFFFF"/>
        <w:spacing w:before="180" w:after="180" w:line="360" w:lineRule="auto"/>
        <w:contextualSpacing/>
        <w:jc w:val="both"/>
        <w:rPr>
          <w:color w:val="000000" w:themeColor="text1"/>
          <w:u w:val="single"/>
          <w:shd w:val="clear" w:color="auto" w:fill="FFFFFF"/>
        </w:rPr>
      </w:pPr>
      <w:r>
        <w:rPr>
          <w:color w:val="000000" w:themeColor="text1"/>
          <w:u w:val="single"/>
          <w:shd w:val="clear" w:color="auto" w:fill="FFFFFF"/>
        </w:rPr>
        <w:t>Return on</w:t>
      </w:r>
      <w:r>
        <w:rPr>
          <w:color w:val="000000" w:themeColor="text1"/>
          <w:u w:val="single"/>
          <w:shd w:val="clear" w:color="auto" w:fill="FFFFFF"/>
        </w:rPr>
        <w:t xml:space="preserve"> Equity</w:t>
      </w:r>
      <w:r>
        <w:rPr>
          <w:color w:val="000000" w:themeColor="text1"/>
          <w:u w:val="single"/>
          <w:shd w:val="clear" w:color="auto" w:fill="FFFFFF"/>
        </w:rPr>
        <w:t xml:space="preserve"> (RO</w:t>
      </w:r>
      <w:r>
        <w:rPr>
          <w:color w:val="000000" w:themeColor="text1"/>
          <w:u w:val="single"/>
          <w:shd w:val="clear" w:color="auto" w:fill="FFFFFF"/>
        </w:rPr>
        <w:t>E</w:t>
      </w:r>
      <w:r>
        <w:rPr>
          <w:color w:val="000000" w:themeColor="text1"/>
          <w:u w:val="single"/>
          <w:shd w:val="clear" w:color="auto" w:fill="FFFFFF"/>
        </w:rPr>
        <w:t>)</w:t>
      </w:r>
    </w:p>
    <w:p w14:paraId="59514B49" w14:textId="472DAB76" w:rsidR="00955C8E" w:rsidRDefault="00592B9D"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Return on Equity is one of the most important ratios for investors since it shows the profitability of the investment by stockholders.</w:t>
      </w:r>
    </w:p>
    <w:p w14:paraId="3E17AD8D" w14:textId="642A4CCE" w:rsidR="00592B9D" w:rsidRDefault="00592B9D" w:rsidP="008432E8">
      <w:pPr>
        <w:shd w:val="clear" w:color="auto" w:fill="FFFFFF"/>
        <w:spacing w:before="180" w:after="180" w:line="360" w:lineRule="auto"/>
        <w:contextualSpacing/>
        <w:jc w:val="both"/>
        <w:rPr>
          <w:color w:val="000000" w:themeColor="text1"/>
          <w:shd w:val="clear" w:color="auto" w:fill="FFFFFF"/>
        </w:rPr>
      </w:pPr>
      <w:proofErr w:type="gramStart"/>
      <w:r>
        <w:rPr>
          <w:color w:val="000000" w:themeColor="text1"/>
          <w:shd w:val="clear" w:color="auto" w:fill="FFFFFF"/>
        </w:rPr>
        <w:lastRenderedPageBreak/>
        <w:t>This ratios</w:t>
      </w:r>
      <w:proofErr w:type="gramEnd"/>
      <w:r>
        <w:rPr>
          <w:color w:val="000000" w:themeColor="text1"/>
          <w:shd w:val="clear" w:color="auto" w:fill="FFFFFF"/>
        </w:rPr>
        <w:t xml:space="preserve"> decreases substantially during the forecasted quarters which is a bad indicator for the company. We will further analyze what causes this decrease in the ROE break-down analysis (</w:t>
      </w:r>
      <w:r w:rsidRPr="00592B9D">
        <w:rPr>
          <w:i/>
          <w:iCs/>
          <w:color w:val="000000" w:themeColor="text1"/>
          <w:shd w:val="clear" w:color="auto" w:fill="FFFFFF"/>
        </w:rPr>
        <w:t>point 3.5</w:t>
      </w:r>
      <w:r>
        <w:rPr>
          <w:color w:val="000000" w:themeColor="text1"/>
          <w:shd w:val="clear" w:color="auto" w:fill="FFFFFF"/>
        </w:rPr>
        <w:t>).</w:t>
      </w:r>
    </w:p>
    <w:p w14:paraId="3D15FB1F" w14:textId="2EB339C2" w:rsidR="00955C8E" w:rsidRDefault="00955C8E" w:rsidP="008432E8">
      <w:pPr>
        <w:shd w:val="clear" w:color="auto" w:fill="FFFFFF"/>
        <w:spacing w:before="180" w:after="180" w:line="360" w:lineRule="auto"/>
        <w:contextualSpacing/>
        <w:jc w:val="both"/>
        <w:rPr>
          <w:color w:val="000000" w:themeColor="text1"/>
          <w:shd w:val="clear" w:color="auto" w:fill="FFFFFF"/>
        </w:rPr>
      </w:pPr>
    </w:p>
    <w:p w14:paraId="2CBBA2BE" w14:textId="77777777" w:rsidR="000E23FE" w:rsidRPr="00DF57DA" w:rsidRDefault="000E23FE" w:rsidP="008432E8">
      <w:pPr>
        <w:shd w:val="clear" w:color="auto" w:fill="FFFFFF"/>
        <w:spacing w:before="180" w:after="180" w:line="360" w:lineRule="auto"/>
        <w:contextualSpacing/>
        <w:jc w:val="both"/>
        <w:rPr>
          <w:color w:val="000000" w:themeColor="text1"/>
          <w:shd w:val="clear" w:color="auto" w:fill="FFFFFF"/>
        </w:rPr>
      </w:pPr>
    </w:p>
    <w:p w14:paraId="6B2A7405" w14:textId="256F0CA1" w:rsidR="00DF57DA" w:rsidRDefault="00070650" w:rsidP="008432E8">
      <w:pPr>
        <w:pStyle w:val="Heading1"/>
        <w:numPr>
          <w:ilvl w:val="1"/>
          <w:numId w:val="9"/>
        </w:numPr>
        <w:spacing w:line="360" w:lineRule="auto"/>
        <w:jc w:val="both"/>
        <w:rPr>
          <w:sz w:val="32"/>
          <w:szCs w:val="32"/>
          <w:shd w:val="clear" w:color="auto" w:fill="FFFFFF"/>
        </w:rPr>
      </w:pPr>
      <w:r>
        <w:rPr>
          <w:sz w:val="32"/>
          <w:szCs w:val="32"/>
          <w:shd w:val="clear" w:color="auto" w:fill="FFFFFF"/>
        </w:rPr>
        <w:t>S</w:t>
      </w:r>
      <w:r w:rsidR="00DF57DA">
        <w:rPr>
          <w:sz w:val="32"/>
          <w:szCs w:val="32"/>
          <w:shd w:val="clear" w:color="auto" w:fill="FFFFFF"/>
        </w:rPr>
        <w:t>olvency</w:t>
      </w:r>
    </w:p>
    <w:p w14:paraId="73CE21F7" w14:textId="38096904" w:rsidR="00272DBE" w:rsidRDefault="00955C8E" w:rsidP="008432E8">
      <w:pPr>
        <w:shd w:val="clear" w:color="auto" w:fill="FFFFFF"/>
        <w:spacing w:before="180" w:after="180" w:line="360" w:lineRule="auto"/>
        <w:contextualSpacing/>
        <w:jc w:val="both"/>
        <w:rPr>
          <w:color w:val="000000" w:themeColor="text1"/>
          <w:u w:val="single"/>
          <w:shd w:val="clear" w:color="auto" w:fill="FFFFFF"/>
        </w:rPr>
      </w:pPr>
      <w:r>
        <w:rPr>
          <w:color w:val="000000" w:themeColor="text1"/>
          <w:u w:val="single"/>
          <w:shd w:val="clear" w:color="auto" w:fill="FFFFFF"/>
        </w:rPr>
        <w:t>Debt ratio</w:t>
      </w:r>
    </w:p>
    <w:p w14:paraId="1465E399" w14:textId="77777777" w:rsidR="00592B9D" w:rsidRDefault="00592B9D"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Debt ratio is calculated by dividing total debt by total assets. If the ratio is greater than 1, it means a company has more debt than assets. </w:t>
      </w:r>
    </w:p>
    <w:p w14:paraId="3FCE4088" w14:textId="516483FE" w:rsidR="00955C8E" w:rsidRDefault="00592B9D"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The debt ratio decreases during the forecasted period. This is a good thing since it’s moving towards the ideal value for the ratio</w:t>
      </w:r>
      <w:r w:rsidR="00A77CA7">
        <w:rPr>
          <w:color w:val="000000" w:themeColor="text1"/>
          <w:shd w:val="clear" w:color="auto" w:fill="FFFFFF"/>
        </w:rPr>
        <w:t>, and since it’s lesser than 1, it means the company can fulfill all its obligations with its assets.</w:t>
      </w:r>
    </w:p>
    <w:p w14:paraId="2BAE6021" w14:textId="77777777" w:rsidR="00955C8E" w:rsidRPr="00955C8E" w:rsidRDefault="00955C8E" w:rsidP="008432E8">
      <w:pPr>
        <w:shd w:val="clear" w:color="auto" w:fill="FFFFFF"/>
        <w:spacing w:before="180" w:after="180" w:line="360" w:lineRule="auto"/>
        <w:contextualSpacing/>
        <w:jc w:val="both"/>
        <w:rPr>
          <w:color w:val="000000" w:themeColor="text1"/>
          <w:shd w:val="clear" w:color="auto" w:fill="FFFFFF"/>
        </w:rPr>
      </w:pPr>
    </w:p>
    <w:p w14:paraId="45F9E85B" w14:textId="2AAE62D7" w:rsidR="00272DBE" w:rsidRDefault="00955C8E" w:rsidP="008432E8">
      <w:pPr>
        <w:shd w:val="clear" w:color="auto" w:fill="FFFFFF"/>
        <w:spacing w:before="180" w:after="180" w:line="360" w:lineRule="auto"/>
        <w:contextualSpacing/>
        <w:jc w:val="both"/>
        <w:rPr>
          <w:color w:val="000000" w:themeColor="text1"/>
          <w:u w:val="single"/>
          <w:shd w:val="clear" w:color="auto" w:fill="FFFFFF"/>
        </w:rPr>
      </w:pPr>
      <w:r>
        <w:rPr>
          <w:color w:val="000000" w:themeColor="text1"/>
          <w:u w:val="single"/>
          <w:shd w:val="clear" w:color="auto" w:fill="FFFFFF"/>
        </w:rPr>
        <w:t>Asset to Equity (Equity Multiplier)</w:t>
      </w:r>
    </w:p>
    <w:p w14:paraId="224036EA" w14:textId="0A04EF16" w:rsidR="00955C8E" w:rsidRDefault="00592B9D"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Also known as the Financial Leverage ratio, </w:t>
      </w:r>
      <w:r w:rsidR="00F83477">
        <w:rPr>
          <w:color w:val="000000" w:themeColor="text1"/>
          <w:shd w:val="clear" w:color="auto" w:fill="FFFFFF"/>
        </w:rPr>
        <w:t>it reveals the proportion of assets funded by shareholders. A high equity multiplier indicates a higher level of debt.</w:t>
      </w:r>
      <w:r w:rsidR="00F83477" w:rsidRPr="00F83477">
        <w:rPr>
          <w:color w:val="000000" w:themeColor="text1"/>
          <w:shd w:val="clear" w:color="auto" w:fill="FFFFFF"/>
        </w:rPr>
        <w:t xml:space="preserve"> </w:t>
      </w:r>
      <w:r w:rsidR="00F83477">
        <w:rPr>
          <w:color w:val="000000" w:themeColor="text1"/>
          <w:shd w:val="clear" w:color="auto" w:fill="FFFFFF"/>
        </w:rPr>
        <w:t>T</w:t>
      </w:r>
      <w:r w:rsidR="00F83477">
        <w:rPr>
          <w:color w:val="000000" w:themeColor="text1"/>
          <w:shd w:val="clear" w:color="auto" w:fill="FFFFFF"/>
        </w:rPr>
        <w:t>he company starts</w:t>
      </w:r>
      <w:r w:rsidR="00F83477">
        <w:rPr>
          <w:color w:val="000000" w:themeColor="text1"/>
          <w:shd w:val="clear" w:color="auto" w:fill="FFFFFF"/>
        </w:rPr>
        <w:t xml:space="preserve"> with a value of 2.41 and finishes with 1.63 which means over time, the assets are less funded with debt and more with equity.</w:t>
      </w:r>
    </w:p>
    <w:p w14:paraId="332420AC" w14:textId="0CACF513" w:rsidR="00F83477" w:rsidRDefault="00F83477"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The average Equity Multiplier for the Pharmaceutical industry is 2, which means at first Merck is overindebted, at the end of the periods it’s healthier than the competition. </w:t>
      </w:r>
    </w:p>
    <w:p w14:paraId="49868290" w14:textId="6E8A20F8" w:rsidR="00F83477" w:rsidRDefault="00F83477"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Nevertheless, if the trend continued to decrease, the company would </w:t>
      </w:r>
      <w:proofErr w:type="spellStart"/>
      <w:r>
        <w:rPr>
          <w:color w:val="000000" w:themeColor="text1"/>
          <w:shd w:val="clear" w:color="auto" w:fill="FFFFFF"/>
        </w:rPr>
        <w:t>loose</w:t>
      </w:r>
      <w:proofErr w:type="spellEnd"/>
      <w:r>
        <w:rPr>
          <w:color w:val="000000" w:themeColor="text1"/>
          <w:shd w:val="clear" w:color="auto" w:fill="FFFFFF"/>
        </w:rPr>
        <w:t xml:space="preserve"> </w:t>
      </w:r>
      <w:proofErr w:type="gramStart"/>
      <w:r>
        <w:rPr>
          <w:color w:val="000000" w:themeColor="text1"/>
          <w:shd w:val="clear" w:color="auto" w:fill="FFFFFF"/>
        </w:rPr>
        <w:t>financial</w:t>
      </w:r>
      <w:proofErr w:type="gramEnd"/>
      <w:r>
        <w:rPr>
          <w:color w:val="000000" w:themeColor="text1"/>
          <w:shd w:val="clear" w:color="auto" w:fill="FFFFFF"/>
        </w:rPr>
        <w:t xml:space="preserve"> leverage to grow with debt.</w:t>
      </w:r>
    </w:p>
    <w:p w14:paraId="538C53AA" w14:textId="77777777" w:rsidR="00F83477" w:rsidRPr="00955C8E" w:rsidRDefault="00F83477" w:rsidP="008432E8">
      <w:pPr>
        <w:shd w:val="clear" w:color="auto" w:fill="FFFFFF"/>
        <w:spacing w:before="180" w:after="180" w:line="360" w:lineRule="auto"/>
        <w:contextualSpacing/>
        <w:jc w:val="both"/>
        <w:rPr>
          <w:color w:val="000000" w:themeColor="text1"/>
          <w:shd w:val="clear" w:color="auto" w:fill="FFFFFF"/>
        </w:rPr>
      </w:pPr>
    </w:p>
    <w:p w14:paraId="1F53CCFE" w14:textId="7D6AA286" w:rsidR="00272DBE" w:rsidRDefault="00955C8E" w:rsidP="008432E8">
      <w:pPr>
        <w:shd w:val="clear" w:color="auto" w:fill="FFFFFF"/>
        <w:spacing w:before="180" w:after="180" w:line="360" w:lineRule="auto"/>
        <w:contextualSpacing/>
        <w:jc w:val="both"/>
        <w:rPr>
          <w:color w:val="000000" w:themeColor="text1"/>
          <w:u w:val="single"/>
          <w:shd w:val="clear" w:color="auto" w:fill="FFFFFF"/>
        </w:rPr>
      </w:pPr>
      <w:r>
        <w:rPr>
          <w:color w:val="000000" w:themeColor="text1"/>
          <w:u w:val="single"/>
          <w:shd w:val="clear" w:color="auto" w:fill="FFFFFF"/>
        </w:rPr>
        <w:t>Current Liabilities to Total Debt Ratio</w:t>
      </w:r>
    </w:p>
    <w:p w14:paraId="6B4DEC66" w14:textId="06D3BF4F" w:rsidR="00955C8E" w:rsidRDefault="001926ED"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Proportion of current debt related to total one. </w:t>
      </w:r>
    </w:p>
    <w:p w14:paraId="045EE397" w14:textId="37B21E27" w:rsidR="00E85051" w:rsidRDefault="00E85051"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The ratio changes from the current period to the first forecasted one and then it practically stays constant. This is due to the big increase in short term debt from long-term debt explained in the analysis.</w:t>
      </w:r>
    </w:p>
    <w:p w14:paraId="69D3913A" w14:textId="77777777" w:rsidR="00955C8E" w:rsidRPr="00955C8E" w:rsidRDefault="00955C8E" w:rsidP="008432E8">
      <w:pPr>
        <w:shd w:val="clear" w:color="auto" w:fill="FFFFFF"/>
        <w:spacing w:before="180" w:after="180" w:line="360" w:lineRule="auto"/>
        <w:contextualSpacing/>
        <w:jc w:val="both"/>
        <w:rPr>
          <w:color w:val="000000" w:themeColor="text1"/>
          <w:shd w:val="clear" w:color="auto" w:fill="FFFFFF"/>
        </w:rPr>
      </w:pPr>
    </w:p>
    <w:p w14:paraId="6CEBEF42" w14:textId="150C27B0" w:rsidR="00272DBE" w:rsidRPr="00272DBE" w:rsidRDefault="00955C8E" w:rsidP="008432E8">
      <w:pPr>
        <w:shd w:val="clear" w:color="auto" w:fill="FFFFFF"/>
        <w:spacing w:before="180" w:after="180" w:line="360" w:lineRule="auto"/>
        <w:contextualSpacing/>
        <w:jc w:val="both"/>
        <w:rPr>
          <w:color w:val="000000" w:themeColor="text1"/>
          <w:u w:val="single"/>
          <w:shd w:val="clear" w:color="auto" w:fill="FFFFFF"/>
        </w:rPr>
      </w:pPr>
      <w:r>
        <w:rPr>
          <w:color w:val="000000" w:themeColor="text1"/>
          <w:u w:val="single"/>
          <w:shd w:val="clear" w:color="auto" w:fill="FFFFFF"/>
        </w:rPr>
        <w:lastRenderedPageBreak/>
        <w:t>Interest Coverage</w:t>
      </w:r>
    </w:p>
    <w:p w14:paraId="6ED99240" w14:textId="43645FF0" w:rsidR="007369CE" w:rsidRDefault="00E85051"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Interest Coverage is used to find out how easily a company can pay interest on its outstanding debt.</w:t>
      </w:r>
    </w:p>
    <w:p w14:paraId="103C4FAD" w14:textId="3F207970" w:rsidR="00955C8E" w:rsidRDefault="00E85051"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Since the current interest expense is null, the ratio changes during the forecasted period. After that initial increase, the ratio decreases following the trend of the interest expense.</w:t>
      </w:r>
    </w:p>
    <w:p w14:paraId="5E49DAC8" w14:textId="77777777" w:rsidR="00E85051" w:rsidRPr="00DF57DA" w:rsidRDefault="00E85051" w:rsidP="008432E8">
      <w:pPr>
        <w:shd w:val="clear" w:color="auto" w:fill="FFFFFF"/>
        <w:spacing w:before="180" w:after="180" w:line="360" w:lineRule="auto"/>
        <w:contextualSpacing/>
        <w:jc w:val="both"/>
        <w:rPr>
          <w:color w:val="000000" w:themeColor="text1"/>
          <w:shd w:val="clear" w:color="auto" w:fill="FFFFFF"/>
        </w:rPr>
      </w:pPr>
    </w:p>
    <w:p w14:paraId="51CF7308" w14:textId="12FB2BB0" w:rsidR="00DF57DA" w:rsidRDefault="00DF57DA" w:rsidP="008432E8">
      <w:pPr>
        <w:pStyle w:val="Heading1"/>
        <w:numPr>
          <w:ilvl w:val="1"/>
          <w:numId w:val="9"/>
        </w:numPr>
        <w:spacing w:line="360" w:lineRule="auto"/>
        <w:jc w:val="both"/>
        <w:rPr>
          <w:sz w:val="32"/>
          <w:szCs w:val="32"/>
          <w:shd w:val="clear" w:color="auto" w:fill="FFFFFF"/>
        </w:rPr>
      </w:pPr>
      <w:r>
        <w:rPr>
          <w:sz w:val="32"/>
          <w:szCs w:val="32"/>
          <w:shd w:val="clear" w:color="auto" w:fill="FFFFFF"/>
        </w:rPr>
        <w:t>Dupont analysis</w:t>
      </w:r>
    </w:p>
    <w:p w14:paraId="5F7B2903" w14:textId="3CDE6579" w:rsidR="007369CE" w:rsidRPr="00DF57DA" w:rsidRDefault="00705C9A"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Dupont analysis break</w:t>
      </w:r>
      <w:r w:rsidR="00FE7820">
        <w:rPr>
          <w:color w:val="000000" w:themeColor="text1"/>
          <w:shd w:val="clear" w:color="auto" w:fill="FFFFFF"/>
        </w:rPr>
        <w:t xml:space="preserve">s-down </w:t>
      </w:r>
      <w:r>
        <w:rPr>
          <w:color w:val="000000" w:themeColor="text1"/>
          <w:shd w:val="clear" w:color="auto" w:fill="FFFFFF"/>
        </w:rPr>
        <w:t xml:space="preserve">the different drivers of ROE (Return on equity). </w:t>
      </w:r>
    </w:p>
    <w:p w14:paraId="3B6B2FA0" w14:textId="77777777" w:rsidR="00FE7820" w:rsidRDefault="00FE7820" w:rsidP="008432E8">
      <w:pPr>
        <w:shd w:val="clear" w:color="auto" w:fill="FFFFFF"/>
        <w:spacing w:before="180" w:after="180" w:line="360" w:lineRule="auto"/>
        <w:contextualSpacing/>
        <w:jc w:val="both"/>
        <w:rPr>
          <w:color w:val="000000" w:themeColor="text1"/>
          <w:shd w:val="clear" w:color="auto" w:fill="FFFFFF"/>
        </w:rPr>
      </w:pPr>
    </w:p>
    <w:p w14:paraId="68D174C1" w14:textId="10067FAF" w:rsidR="007369CE" w:rsidRDefault="00FE7820"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ROE is equal to Net income divided by the average shareholder’s equity. If we add average total assets, we can rewrite</w:t>
      </w:r>
      <w:r w:rsidR="003A37F6">
        <w:rPr>
          <w:color w:val="000000" w:themeColor="text1"/>
          <w:shd w:val="clear" w:color="auto" w:fill="FFFFFF"/>
        </w:rPr>
        <w:t xml:space="preserve"> ROE as  </w:t>
      </w:r>
      <m:oMath>
        <m:f>
          <m:fPr>
            <m:ctrlPr>
              <w:rPr>
                <w:rFonts w:ascii="Cambria Math" w:hAnsi="Cambria Math"/>
                <w:i/>
                <w:color w:val="000000" w:themeColor="text1"/>
                <w:shd w:val="clear" w:color="auto" w:fill="FFFFFF"/>
                <w:lang w:eastAsia="ko-KR"/>
              </w:rPr>
            </m:ctrlPr>
          </m:fPr>
          <m:num>
            <m:r>
              <w:rPr>
                <w:rFonts w:ascii="Cambria Math" w:hAnsi="Cambria Math"/>
                <w:color w:val="000000" w:themeColor="text1"/>
                <w:shd w:val="clear" w:color="auto" w:fill="FFFFFF"/>
              </w:rPr>
              <m:t>Net Income</m:t>
            </m:r>
          </m:num>
          <m:den>
            <m:r>
              <w:rPr>
                <w:rFonts w:ascii="Cambria Math" w:hAnsi="Cambria Math"/>
                <w:color w:val="000000" w:themeColor="text1"/>
                <w:shd w:val="clear" w:color="auto" w:fill="FFFFFF"/>
              </w:rPr>
              <m:t>Average total asets</m:t>
            </m:r>
          </m:den>
        </m:f>
        <m:r>
          <w:rPr>
            <w:rFonts w:ascii="Cambria Math" w:hAnsi="Cambria Math"/>
            <w:color w:val="000000" w:themeColor="text1"/>
            <w:shd w:val="clear" w:color="auto" w:fill="FFFFFF"/>
          </w:rPr>
          <m:t>×</m:t>
        </m:r>
        <m:f>
          <m:fPr>
            <m:ctrlPr>
              <w:rPr>
                <w:rFonts w:ascii="Cambria Math" w:hAnsi="Cambria Math"/>
                <w:i/>
                <w:color w:val="000000" w:themeColor="text1"/>
                <w:shd w:val="clear" w:color="auto" w:fill="FFFFFF"/>
                <w:lang w:eastAsia="ko-KR"/>
              </w:rPr>
            </m:ctrlPr>
          </m:fPr>
          <m:num>
            <m:r>
              <w:rPr>
                <w:rFonts w:ascii="Cambria Math" w:hAnsi="Cambria Math"/>
                <w:color w:val="000000" w:themeColor="text1"/>
                <w:shd w:val="clear" w:color="auto" w:fill="FFFFFF"/>
              </w:rPr>
              <m:t>Average total assets</m:t>
            </m:r>
          </m:num>
          <m:den>
            <m:r>
              <w:rPr>
                <w:rFonts w:ascii="Cambria Math" w:hAnsi="Cambria Math"/>
                <w:color w:val="000000" w:themeColor="text1"/>
                <w:shd w:val="clear" w:color="auto" w:fill="FFFFFF"/>
              </w:rPr>
              <m:t>Average shareholde</m:t>
            </m:r>
            <m:sSup>
              <m:sSupPr>
                <m:ctrlPr>
                  <w:rPr>
                    <w:rFonts w:ascii="Cambria Math" w:hAnsi="Cambria Math"/>
                    <w:i/>
                    <w:color w:val="000000" w:themeColor="text1"/>
                    <w:shd w:val="clear" w:color="auto" w:fill="FFFFFF"/>
                  </w:rPr>
                </m:ctrlPr>
              </m:sSupPr>
              <m:e>
                <m:r>
                  <w:rPr>
                    <w:rFonts w:ascii="Cambria Math" w:hAnsi="Cambria Math"/>
                    <w:color w:val="000000" w:themeColor="text1"/>
                    <w:shd w:val="clear" w:color="auto" w:fill="FFFFFF"/>
                  </w:rPr>
                  <m:t>r</m:t>
                </m:r>
              </m:e>
              <m:sup>
                <m:r>
                  <w:rPr>
                    <w:rFonts w:ascii="Cambria Math" w:hAnsi="Cambria Math"/>
                    <w:color w:val="000000" w:themeColor="text1"/>
                    <w:shd w:val="clear" w:color="auto" w:fill="FFFFFF"/>
                  </w:rPr>
                  <m:t>'</m:t>
                </m:r>
              </m:sup>
            </m:sSup>
            <m:r>
              <w:rPr>
                <w:rFonts w:ascii="Cambria Math" w:hAnsi="Cambria Math"/>
                <w:color w:val="000000" w:themeColor="text1"/>
                <w:shd w:val="clear" w:color="auto" w:fill="FFFFFF"/>
              </w:rPr>
              <m:t>s equity</m:t>
            </m:r>
          </m:den>
        </m:f>
        <m:r>
          <w:rPr>
            <w:rFonts w:ascii="Cambria Math" w:hAnsi="Cambria Math"/>
            <w:color w:val="000000" w:themeColor="text1"/>
            <w:shd w:val="clear" w:color="auto" w:fill="FFFFFF"/>
          </w:rPr>
          <m:t xml:space="preserve"> </m:t>
        </m:r>
      </m:oMath>
      <w:r w:rsidR="003A37F6">
        <w:rPr>
          <w:color w:val="000000" w:themeColor="text1"/>
          <w:shd w:val="clear" w:color="auto" w:fill="FFFFFF"/>
        </w:rPr>
        <w:t>. The first part of the equation is also the formula for ROA, while the second part is the financial leverage. Additionally, ROA can also be</w:t>
      </w:r>
      <w:r w:rsidR="0018118C">
        <w:rPr>
          <w:color w:val="000000" w:themeColor="text1"/>
          <w:shd w:val="clear" w:color="auto" w:fill="FFFFFF"/>
        </w:rPr>
        <w:t xml:space="preserve"> written as </w:t>
      </w:r>
      <m:oMath>
        <m:f>
          <m:fPr>
            <m:ctrlPr>
              <w:rPr>
                <w:rFonts w:ascii="Cambria Math" w:hAnsi="Cambria Math"/>
                <w:i/>
                <w:color w:val="000000" w:themeColor="text1"/>
                <w:shd w:val="clear" w:color="auto" w:fill="FFFFFF"/>
                <w:lang w:eastAsia="ko-KR"/>
              </w:rPr>
            </m:ctrlPr>
          </m:fPr>
          <m:num>
            <m:r>
              <w:rPr>
                <w:rFonts w:ascii="Cambria Math" w:hAnsi="Cambria Math"/>
                <w:color w:val="000000" w:themeColor="text1"/>
                <w:shd w:val="clear" w:color="auto" w:fill="FFFFFF"/>
              </w:rPr>
              <m:t>Net Income</m:t>
            </m:r>
          </m:num>
          <m:den>
            <m:r>
              <w:rPr>
                <w:rFonts w:ascii="Cambria Math" w:hAnsi="Cambria Math"/>
                <w:color w:val="000000" w:themeColor="text1"/>
                <w:shd w:val="clear" w:color="auto" w:fill="FFFFFF"/>
              </w:rPr>
              <m:t>Revenue</m:t>
            </m:r>
          </m:den>
        </m:f>
        <m:r>
          <w:rPr>
            <w:rFonts w:ascii="Cambria Math" w:hAnsi="Cambria Math"/>
            <w:color w:val="000000" w:themeColor="text1"/>
            <w:shd w:val="clear" w:color="auto" w:fill="FFFFFF"/>
          </w:rPr>
          <m:t>×</m:t>
        </m:r>
        <m:f>
          <m:fPr>
            <m:ctrlPr>
              <w:rPr>
                <w:rFonts w:ascii="Cambria Math" w:hAnsi="Cambria Math"/>
                <w:i/>
                <w:color w:val="000000" w:themeColor="text1"/>
                <w:shd w:val="clear" w:color="auto" w:fill="FFFFFF"/>
                <w:lang w:eastAsia="ko-KR"/>
              </w:rPr>
            </m:ctrlPr>
          </m:fPr>
          <m:num>
            <m:r>
              <w:rPr>
                <w:rFonts w:ascii="Cambria Math" w:hAnsi="Cambria Math"/>
                <w:color w:val="000000" w:themeColor="text1"/>
                <w:shd w:val="clear" w:color="auto" w:fill="FFFFFF"/>
              </w:rPr>
              <m:t>Revenue</m:t>
            </m:r>
          </m:num>
          <m:den>
            <m:r>
              <w:rPr>
                <w:rFonts w:ascii="Cambria Math" w:hAnsi="Cambria Math"/>
                <w:color w:val="000000" w:themeColor="text1"/>
                <w:shd w:val="clear" w:color="auto" w:fill="FFFFFF"/>
              </w:rPr>
              <m:t>Average total assets</m:t>
            </m:r>
          </m:den>
        </m:f>
      </m:oMath>
      <w:r w:rsidR="0018118C">
        <w:rPr>
          <w:color w:val="000000" w:themeColor="text1"/>
          <w:shd w:val="clear" w:color="auto" w:fill="FFFFFF"/>
        </w:rPr>
        <w:t xml:space="preserve"> . Hence, total ROE can </w:t>
      </w:r>
      <w:r w:rsidR="004668C7">
        <w:rPr>
          <w:color w:val="000000" w:themeColor="text1"/>
          <w:shd w:val="clear" w:color="auto" w:fill="FFFFFF"/>
        </w:rPr>
        <w:t>further</w:t>
      </w:r>
      <w:r w:rsidR="0018118C">
        <w:rPr>
          <w:color w:val="000000" w:themeColor="text1"/>
          <w:shd w:val="clear" w:color="auto" w:fill="FFFFFF"/>
        </w:rPr>
        <w:t xml:space="preserve"> be broken-down as Net Profit Margin </w:t>
      </w:r>
      <m:oMath>
        <m:r>
          <w:rPr>
            <w:rFonts w:ascii="Cambria Math" w:hAnsi="Cambria Math"/>
            <w:color w:val="000000" w:themeColor="text1"/>
            <w:shd w:val="clear" w:color="auto" w:fill="FFFFFF"/>
          </w:rPr>
          <m:t>×</m:t>
        </m:r>
      </m:oMath>
      <w:r w:rsidR="0018118C">
        <w:rPr>
          <w:color w:val="000000" w:themeColor="text1"/>
          <w:shd w:val="clear" w:color="auto" w:fill="FFFFFF"/>
        </w:rPr>
        <w:t xml:space="preserve"> Total Asset Turnover </w:t>
      </w:r>
      <m:oMath>
        <m:r>
          <w:rPr>
            <w:rFonts w:ascii="Cambria Math" w:hAnsi="Cambria Math"/>
            <w:color w:val="000000" w:themeColor="text1"/>
            <w:shd w:val="clear" w:color="auto" w:fill="FFFFFF"/>
          </w:rPr>
          <m:t>×</m:t>
        </m:r>
      </m:oMath>
      <w:r w:rsidR="0018118C">
        <w:rPr>
          <w:color w:val="000000" w:themeColor="text1"/>
          <w:shd w:val="clear" w:color="auto" w:fill="FFFFFF"/>
        </w:rPr>
        <w:t xml:space="preserve"> Leverage.</w:t>
      </w:r>
    </w:p>
    <w:p w14:paraId="6CB19B28" w14:textId="257BE3B8" w:rsidR="00FE7820" w:rsidRDefault="00FE7820" w:rsidP="008432E8">
      <w:pPr>
        <w:shd w:val="clear" w:color="auto" w:fill="FFFFFF"/>
        <w:spacing w:before="180" w:after="180" w:line="360" w:lineRule="auto"/>
        <w:contextualSpacing/>
        <w:jc w:val="both"/>
        <w:rPr>
          <w:color w:val="000000" w:themeColor="text1"/>
          <w:shd w:val="clear" w:color="auto" w:fill="FFFFFF"/>
        </w:rPr>
      </w:pPr>
    </w:p>
    <w:p w14:paraId="1CDBC08B" w14:textId="70468829" w:rsidR="00A60691" w:rsidRDefault="00A60691"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As said before, the ROE decreases substantially during the predicted periods. By using the Dupont analysis, we can get a higher insight on where the problem relies. After separating it in NPM, TAT and leverage, we see that all ratios decrease, hence, the final reduction on ROE is due to all three parts.</w:t>
      </w:r>
    </w:p>
    <w:p w14:paraId="3256DDFD" w14:textId="355F26A5" w:rsidR="00955C8E" w:rsidRDefault="00955C8E" w:rsidP="008432E8">
      <w:pPr>
        <w:shd w:val="clear" w:color="auto" w:fill="FFFFFF"/>
        <w:spacing w:before="180" w:after="180" w:line="360" w:lineRule="auto"/>
        <w:contextualSpacing/>
        <w:jc w:val="both"/>
        <w:rPr>
          <w:color w:val="000000" w:themeColor="text1"/>
          <w:shd w:val="clear" w:color="auto" w:fill="FFFFFF"/>
        </w:rPr>
      </w:pPr>
    </w:p>
    <w:p w14:paraId="1E5A56B2" w14:textId="77777777" w:rsidR="000E23FE" w:rsidRPr="00DF57DA" w:rsidRDefault="000E23FE" w:rsidP="008432E8">
      <w:pPr>
        <w:shd w:val="clear" w:color="auto" w:fill="FFFFFF"/>
        <w:spacing w:before="180" w:after="180" w:line="360" w:lineRule="auto"/>
        <w:contextualSpacing/>
        <w:jc w:val="both"/>
        <w:rPr>
          <w:color w:val="000000" w:themeColor="text1"/>
          <w:shd w:val="clear" w:color="auto" w:fill="FFFFFF"/>
        </w:rPr>
      </w:pPr>
    </w:p>
    <w:p w14:paraId="1E7CDAF1" w14:textId="1B8CD147" w:rsidR="00DF57DA" w:rsidRDefault="00DF57DA" w:rsidP="008432E8">
      <w:pPr>
        <w:pStyle w:val="Heading1"/>
        <w:numPr>
          <w:ilvl w:val="1"/>
          <w:numId w:val="9"/>
        </w:numPr>
        <w:spacing w:line="360" w:lineRule="auto"/>
        <w:jc w:val="both"/>
        <w:rPr>
          <w:sz w:val="32"/>
          <w:szCs w:val="32"/>
          <w:shd w:val="clear" w:color="auto" w:fill="FFFFFF"/>
        </w:rPr>
      </w:pPr>
      <w:r>
        <w:rPr>
          <w:sz w:val="32"/>
          <w:szCs w:val="32"/>
          <w:shd w:val="clear" w:color="auto" w:fill="FFFFFF"/>
        </w:rPr>
        <w:t>Other ratios</w:t>
      </w:r>
    </w:p>
    <w:p w14:paraId="602C7F03" w14:textId="653D4907" w:rsidR="00955C8E" w:rsidRDefault="00955C8E" w:rsidP="008432E8">
      <w:pPr>
        <w:shd w:val="clear" w:color="auto" w:fill="FFFFFF"/>
        <w:spacing w:before="180" w:after="180" w:line="360" w:lineRule="auto"/>
        <w:contextualSpacing/>
        <w:jc w:val="both"/>
        <w:rPr>
          <w:color w:val="000000" w:themeColor="text1"/>
          <w:u w:val="single"/>
          <w:shd w:val="clear" w:color="auto" w:fill="FFFFFF"/>
        </w:rPr>
      </w:pPr>
      <w:r>
        <w:rPr>
          <w:color w:val="000000" w:themeColor="text1"/>
          <w:u w:val="single"/>
          <w:shd w:val="clear" w:color="auto" w:fill="FFFFFF"/>
        </w:rPr>
        <w:t xml:space="preserve">Debt </w:t>
      </w:r>
      <w:r>
        <w:rPr>
          <w:color w:val="000000" w:themeColor="text1"/>
          <w:u w:val="single"/>
          <w:shd w:val="clear" w:color="auto" w:fill="FFFFFF"/>
        </w:rPr>
        <w:t>to Equity</w:t>
      </w:r>
    </w:p>
    <w:p w14:paraId="261184D6" w14:textId="62E4F96B" w:rsidR="00955C8E" w:rsidRDefault="00722B6F"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This ratio is mainly used to know for every dollar invested in the company, which percentage comes from debt and which from equity. </w:t>
      </w:r>
    </w:p>
    <w:p w14:paraId="05415B50" w14:textId="04057AC4" w:rsidR="009622E5" w:rsidRDefault="009622E5"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The ratio falls during the projected span which indicates that the company finances itself with less debt and more equity every quarter.</w:t>
      </w:r>
    </w:p>
    <w:p w14:paraId="65104211" w14:textId="77777777" w:rsidR="00955C8E" w:rsidRPr="00955C8E" w:rsidRDefault="00955C8E" w:rsidP="008432E8">
      <w:pPr>
        <w:shd w:val="clear" w:color="auto" w:fill="FFFFFF"/>
        <w:spacing w:before="180" w:after="180" w:line="360" w:lineRule="auto"/>
        <w:contextualSpacing/>
        <w:jc w:val="both"/>
        <w:rPr>
          <w:color w:val="000000" w:themeColor="text1"/>
          <w:shd w:val="clear" w:color="auto" w:fill="FFFFFF"/>
        </w:rPr>
      </w:pPr>
    </w:p>
    <w:p w14:paraId="35E736E4" w14:textId="0B4955BE" w:rsidR="00955C8E" w:rsidRDefault="00955C8E" w:rsidP="008432E8">
      <w:pPr>
        <w:shd w:val="clear" w:color="auto" w:fill="FFFFFF"/>
        <w:spacing w:before="180" w:after="180" w:line="360" w:lineRule="auto"/>
        <w:contextualSpacing/>
        <w:jc w:val="both"/>
        <w:rPr>
          <w:color w:val="000000" w:themeColor="text1"/>
          <w:u w:val="single"/>
          <w:shd w:val="clear" w:color="auto" w:fill="FFFFFF"/>
        </w:rPr>
      </w:pPr>
      <w:r>
        <w:rPr>
          <w:color w:val="000000" w:themeColor="text1"/>
          <w:u w:val="single"/>
          <w:shd w:val="clear" w:color="auto" w:fill="FFFFFF"/>
        </w:rPr>
        <w:lastRenderedPageBreak/>
        <w:t>Long-term D</w:t>
      </w:r>
      <w:r>
        <w:rPr>
          <w:color w:val="000000" w:themeColor="text1"/>
          <w:u w:val="single"/>
          <w:shd w:val="clear" w:color="auto" w:fill="FFFFFF"/>
        </w:rPr>
        <w:t>ebt to Equity</w:t>
      </w:r>
    </w:p>
    <w:p w14:paraId="70778C3C" w14:textId="6139CA17" w:rsidR="00955C8E" w:rsidRDefault="009622E5"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Long-term debt to equity measures the same as the debt-to-equity ratio without including short term debt.</w:t>
      </w:r>
    </w:p>
    <w:p w14:paraId="770AD11E" w14:textId="219FDA27" w:rsidR="009622E5" w:rsidRDefault="009622E5"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The ratio moves as the previous one but decreases in a slower pace.</w:t>
      </w:r>
    </w:p>
    <w:p w14:paraId="5263DE52" w14:textId="77777777" w:rsidR="00955C8E" w:rsidRPr="00955C8E" w:rsidRDefault="00955C8E" w:rsidP="008432E8">
      <w:pPr>
        <w:shd w:val="clear" w:color="auto" w:fill="FFFFFF"/>
        <w:spacing w:before="180" w:after="180" w:line="360" w:lineRule="auto"/>
        <w:contextualSpacing/>
        <w:jc w:val="both"/>
        <w:rPr>
          <w:color w:val="000000" w:themeColor="text1"/>
          <w:shd w:val="clear" w:color="auto" w:fill="FFFFFF"/>
        </w:rPr>
      </w:pPr>
    </w:p>
    <w:p w14:paraId="354BC3D2" w14:textId="0AE481AB" w:rsidR="00955C8E" w:rsidRDefault="00955C8E" w:rsidP="008432E8">
      <w:pPr>
        <w:shd w:val="clear" w:color="auto" w:fill="FFFFFF"/>
        <w:spacing w:before="180" w:after="180" w:line="360" w:lineRule="auto"/>
        <w:contextualSpacing/>
        <w:jc w:val="both"/>
        <w:rPr>
          <w:color w:val="000000" w:themeColor="text1"/>
          <w:u w:val="single"/>
          <w:shd w:val="clear" w:color="auto" w:fill="FFFFFF"/>
        </w:rPr>
      </w:pPr>
      <w:r>
        <w:rPr>
          <w:color w:val="000000" w:themeColor="text1"/>
          <w:u w:val="single"/>
          <w:shd w:val="clear" w:color="auto" w:fill="FFFFFF"/>
        </w:rPr>
        <w:t>Gross Profit Margin</w:t>
      </w:r>
    </w:p>
    <w:p w14:paraId="36A42A07" w14:textId="575D5CB0" w:rsidR="00955C8E" w:rsidRDefault="00B77467"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GPM shows the company’s net sales that exceeds the cost of goods sold.</w:t>
      </w:r>
    </w:p>
    <w:p w14:paraId="33B9AD7F" w14:textId="73A9B494" w:rsidR="00B77467" w:rsidRDefault="00B77467"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The gross profit margin shows little variation during the forecasted periods. This is due to the fact that we predicted COGS relative to sales.</w:t>
      </w:r>
    </w:p>
    <w:p w14:paraId="3DD03FC1" w14:textId="77777777" w:rsidR="00955C8E" w:rsidRPr="00955C8E" w:rsidRDefault="00955C8E" w:rsidP="008432E8">
      <w:pPr>
        <w:shd w:val="clear" w:color="auto" w:fill="FFFFFF"/>
        <w:spacing w:before="180" w:after="180" w:line="360" w:lineRule="auto"/>
        <w:contextualSpacing/>
        <w:jc w:val="both"/>
        <w:rPr>
          <w:color w:val="000000" w:themeColor="text1"/>
          <w:shd w:val="clear" w:color="auto" w:fill="FFFFFF"/>
        </w:rPr>
      </w:pPr>
    </w:p>
    <w:p w14:paraId="52ED271B" w14:textId="302CD3C7" w:rsidR="00955C8E" w:rsidRPr="00272DBE" w:rsidRDefault="00955C8E" w:rsidP="008432E8">
      <w:pPr>
        <w:shd w:val="clear" w:color="auto" w:fill="FFFFFF"/>
        <w:spacing w:before="180" w:after="180" w:line="360" w:lineRule="auto"/>
        <w:contextualSpacing/>
        <w:jc w:val="both"/>
        <w:rPr>
          <w:color w:val="000000" w:themeColor="text1"/>
          <w:u w:val="single"/>
          <w:shd w:val="clear" w:color="auto" w:fill="FFFFFF"/>
        </w:rPr>
      </w:pPr>
      <w:r>
        <w:rPr>
          <w:color w:val="000000" w:themeColor="text1"/>
          <w:u w:val="single"/>
          <w:shd w:val="clear" w:color="auto" w:fill="FFFFFF"/>
        </w:rPr>
        <w:t>Payables Turnover</w:t>
      </w:r>
    </w:p>
    <w:p w14:paraId="6F022B78" w14:textId="07EA02F2" w:rsidR="00955C8E" w:rsidRDefault="00B77467"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Accounts payable turnover ratio presents how fast a company makes payments to creditors. </w:t>
      </w:r>
    </w:p>
    <w:p w14:paraId="377FA746" w14:textId="064D6966" w:rsidR="00B77467" w:rsidRDefault="00B77467"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The ratio follows the same uneven distribution as other prior ratios since both COGS and Accounts payable were calculated related to </w:t>
      </w:r>
      <w:proofErr w:type="gramStart"/>
      <w:r>
        <w:rPr>
          <w:color w:val="000000" w:themeColor="text1"/>
          <w:shd w:val="clear" w:color="auto" w:fill="FFFFFF"/>
        </w:rPr>
        <w:t>sales, and</w:t>
      </w:r>
      <w:proofErr w:type="gramEnd"/>
      <w:r>
        <w:rPr>
          <w:color w:val="000000" w:themeColor="text1"/>
          <w:shd w:val="clear" w:color="auto" w:fill="FFFFFF"/>
        </w:rPr>
        <w:t xml:space="preserve"> maintains a higher level than the current value.</w:t>
      </w:r>
    </w:p>
    <w:p w14:paraId="2B90BBE6" w14:textId="453A34A9" w:rsidR="00B77467" w:rsidRDefault="00B77467"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This ratio is calculated to later obtain the Net operating cycle.</w:t>
      </w:r>
    </w:p>
    <w:p w14:paraId="6D1E3A19" w14:textId="77777777" w:rsidR="00955C8E" w:rsidRPr="00DF57DA" w:rsidRDefault="00955C8E" w:rsidP="008432E8">
      <w:pPr>
        <w:shd w:val="clear" w:color="auto" w:fill="FFFFFF"/>
        <w:spacing w:before="180" w:after="180" w:line="360" w:lineRule="auto"/>
        <w:contextualSpacing/>
        <w:jc w:val="both"/>
        <w:rPr>
          <w:color w:val="000000" w:themeColor="text1"/>
          <w:shd w:val="clear" w:color="auto" w:fill="FFFFFF"/>
        </w:rPr>
      </w:pPr>
    </w:p>
    <w:p w14:paraId="258F027C" w14:textId="384199E0" w:rsidR="00955C8E" w:rsidRPr="00272DBE" w:rsidRDefault="00955C8E" w:rsidP="008432E8">
      <w:pPr>
        <w:shd w:val="clear" w:color="auto" w:fill="FFFFFF"/>
        <w:spacing w:before="180" w:after="180" w:line="360" w:lineRule="auto"/>
        <w:contextualSpacing/>
        <w:jc w:val="both"/>
        <w:rPr>
          <w:color w:val="000000" w:themeColor="text1"/>
          <w:u w:val="single"/>
          <w:shd w:val="clear" w:color="auto" w:fill="FFFFFF"/>
        </w:rPr>
      </w:pPr>
      <w:r>
        <w:rPr>
          <w:color w:val="000000" w:themeColor="text1"/>
          <w:u w:val="single"/>
          <w:shd w:val="clear" w:color="auto" w:fill="FFFFFF"/>
        </w:rPr>
        <w:t xml:space="preserve">Days of </w:t>
      </w:r>
      <w:r>
        <w:rPr>
          <w:color w:val="000000" w:themeColor="text1"/>
          <w:u w:val="single"/>
          <w:shd w:val="clear" w:color="auto" w:fill="FFFFFF"/>
        </w:rPr>
        <w:t>Payables</w:t>
      </w:r>
    </w:p>
    <w:p w14:paraId="54CA6336" w14:textId="49F7E6F2" w:rsidR="00B77467" w:rsidRDefault="00B77467"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DPO shows the number of days the company takes to pay the creditors. It moves in line with the Payables turnover ratio.</w:t>
      </w:r>
    </w:p>
    <w:p w14:paraId="42B03159" w14:textId="0445A223" w:rsidR="00B77467" w:rsidRDefault="00B77467"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This ratio is calculated to later obtain the </w:t>
      </w:r>
      <w:r>
        <w:rPr>
          <w:color w:val="000000" w:themeColor="text1"/>
          <w:shd w:val="clear" w:color="auto" w:fill="FFFFFF"/>
        </w:rPr>
        <w:t>Cash</w:t>
      </w:r>
      <w:r>
        <w:rPr>
          <w:color w:val="000000" w:themeColor="text1"/>
          <w:shd w:val="clear" w:color="auto" w:fill="FFFFFF"/>
        </w:rPr>
        <w:t xml:space="preserve"> operating cycle.</w:t>
      </w:r>
    </w:p>
    <w:p w14:paraId="2BDEBFB1" w14:textId="77777777" w:rsidR="00955C8E" w:rsidRPr="00DF57DA" w:rsidRDefault="00955C8E" w:rsidP="008432E8">
      <w:pPr>
        <w:shd w:val="clear" w:color="auto" w:fill="FFFFFF"/>
        <w:spacing w:before="180" w:after="180" w:line="360" w:lineRule="auto"/>
        <w:contextualSpacing/>
        <w:jc w:val="both"/>
        <w:rPr>
          <w:color w:val="000000" w:themeColor="text1"/>
          <w:shd w:val="clear" w:color="auto" w:fill="FFFFFF"/>
        </w:rPr>
      </w:pPr>
    </w:p>
    <w:p w14:paraId="47B900BD" w14:textId="0DA74F6C" w:rsidR="00955C8E" w:rsidRPr="00272DBE" w:rsidRDefault="00955C8E" w:rsidP="008432E8">
      <w:pPr>
        <w:shd w:val="clear" w:color="auto" w:fill="FFFFFF"/>
        <w:spacing w:before="180" w:after="180" w:line="360" w:lineRule="auto"/>
        <w:contextualSpacing/>
        <w:jc w:val="both"/>
        <w:rPr>
          <w:color w:val="000000" w:themeColor="text1"/>
          <w:u w:val="single"/>
          <w:shd w:val="clear" w:color="auto" w:fill="FFFFFF"/>
        </w:rPr>
      </w:pPr>
      <w:r>
        <w:rPr>
          <w:color w:val="000000" w:themeColor="text1"/>
          <w:u w:val="single"/>
          <w:shd w:val="clear" w:color="auto" w:fill="FFFFFF"/>
        </w:rPr>
        <w:t>Cash Conversion Cycle (Net Operating Cycle)</w:t>
      </w:r>
    </w:p>
    <w:p w14:paraId="200DCF74" w14:textId="5E1503AA" w:rsidR="007369CE" w:rsidRPr="00197F22" w:rsidRDefault="00B77467"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Finally, we use</w:t>
      </w:r>
      <w:r w:rsidR="00197F22">
        <w:rPr>
          <w:color w:val="000000" w:themeColor="text1"/>
          <w:shd w:val="clear" w:color="auto" w:fill="FFFFFF"/>
        </w:rPr>
        <w:t xml:space="preserve"> DSO, DPO</w:t>
      </w:r>
      <w:r>
        <w:rPr>
          <w:color w:val="000000" w:themeColor="text1"/>
          <w:shd w:val="clear" w:color="auto" w:fill="FFFFFF"/>
        </w:rPr>
        <w:t xml:space="preserve"> and D</w:t>
      </w:r>
      <w:r w:rsidR="00197F22">
        <w:rPr>
          <w:color w:val="000000" w:themeColor="text1"/>
          <w:shd w:val="clear" w:color="auto" w:fill="FFFFFF"/>
        </w:rPr>
        <w:t>I</w:t>
      </w:r>
      <w:r>
        <w:rPr>
          <w:color w:val="000000" w:themeColor="text1"/>
          <w:shd w:val="clear" w:color="auto" w:fill="FFFFFF"/>
        </w:rPr>
        <w:t xml:space="preserve">O to calculate </w:t>
      </w:r>
      <w:r w:rsidRPr="00197F22">
        <w:rPr>
          <w:color w:val="000000" w:themeColor="text1"/>
          <w:shd w:val="clear" w:color="auto" w:fill="FFFFFF"/>
        </w:rPr>
        <w:t xml:space="preserve">our </w:t>
      </w:r>
      <w:r w:rsidR="00197F22" w:rsidRPr="00197F22">
        <w:rPr>
          <w:color w:val="000000" w:themeColor="text1"/>
          <w:shd w:val="clear" w:color="auto" w:fill="FFFFFF"/>
        </w:rPr>
        <w:t>Net Operating Cycle</w:t>
      </w:r>
      <w:r w:rsidR="00197F22">
        <w:rPr>
          <w:color w:val="000000" w:themeColor="text1"/>
          <w:shd w:val="clear" w:color="auto" w:fill="FFFFFF"/>
        </w:rPr>
        <w:t>, which is the generally used metric to express the days it takes the company to convert its investments into cash flows from sales. Although technically is not a ratio, it helps measure the efficiency of the company in operation activities and managements.</w:t>
      </w:r>
    </w:p>
    <w:p w14:paraId="399E49C9" w14:textId="41EEB17C" w:rsidR="007369CE" w:rsidRDefault="00A46139"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Ideally, we want the CCC to have a negative trend, which is exactly what happens in our forecast.</w:t>
      </w:r>
    </w:p>
    <w:p w14:paraId="7D1BACAC" w14:textId="50A8703A" w:rsidR="00A46139" w:rsidRPr="00197F22" w:rsidRDefault="00A46139"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That means the company will operate more efficiently and </w:t>
      </w:r>
      <w:r w:rsidR="00BD1061">
        <w:rPr>
          <w:color w:val="000000" w:themeColor="text1"/>
          <w:shd w:val="clear" w:color="auto" w:fill="FFFFFF"/>
        </w:rPr>
        <w:t xml:space="preserve">will </w:t>
      </w:r>
      <w:r>
        <w:rPr>
          <w:color w:val="000000" w:themeColor="text1"/>
          <w:shd w:val="clear" w:color="auto" w:fill="FFFFFF"/>
        </w:rPr>
        <w:t>show stronger management.</w:t>
      </w:r>
    </w:p>
    <w:p w14:paraId="6C2D826D" w14:textId="28F17EF1" w:rsidR="007369CE" w:rsidRPr="00DF57DA" w:rsidRDefault="007369CE" w:rsidP="008432E8">
      <w:pPr>
        <w:shd w:val="clear" w:color="auto" w:fill="FFFFFF"/>
        <w:spacing w:before="180" w:after="180" w:line="360" w:lineRule="auto"/>
        <w:contextualSpacing/>
        <w:jc w:val="both"/>
        <w:rPr>
          <w:color w:val="000000" w:themeColor="text1"/>
          <w:shd w:val="clear" w:color="auto" w:fill="FFFFFF"/>
        </w:rPr>
      </w:pPr>
    </w:p>
    <w:p w14:paraId="539FBA64" w14:textId="31BE7C2D" w:rsidR="007369CE" w:rsidRPr="00DF57DA" w:rsidRDefault="007369CE" w:rsidP="008432E8">
      <w:pPr>
        <w:shd w:val="clear" w:color="auto" w:fill="FFFFFF"/>
        <w:spacing w:before="180" w:after="180" w:line="360" w:lineRule="auto"/>
        <w:contextualSpacing/>
        <w:jc w:val="both"/>
        <w:rPr>
          <w:color w:val="000000" w:themeColor="text1"/>
          <w:shd w:val="clear" w:color="auto" w:fill="FFFFFF"/>
        </w:rPr>
      </w:pPr>
    </w:p>
    <w:p w14:paraId="476923FE" w14:textId="2796A190" w:rsidR="00682FB5" w:rsidRPr="00DF57DA" w:rsidRDefault="00682FB5" w:rsidP="008432E8">
      <w:pPr>
        <w:shd w:val="clear" w:color="auto" w:fill="FFFFFF"/>
        <w:spacing w:before="180" w:after="180" w:line="360" w:lineRule="auto"/>
        <w:contextualSpacing/>
        <w:jc w:val="both"/>
        <w:rPr>
          <w:color w:val="000000" w:themeColor="text1"/>
          <w:shd w:val="clear" w:color="auto" w:fill="FFFFFF"/>
        </w:rPr>
      </w:pPr>
    </w:p>
    <w:p w14:paraId="318BD8D6" w14:textId="77777777" w:rsidR="00682FB5" w:rsidRPr="00682FB5" w:rsidRDefault="00682FB5" w:rsidP="008432E8">
      <w:pPr>
        <w:pStyle w:val="Heading1"/>
        <w:numPr>
          <w:ilvl w:val="0"/>
          <w:numId w:val="3"/>
        </w:numPr>
        <w:spacing w:line="360" w:lineRule="auto"/>
        <w:jc w:val="both"/>
        <w:rPr>
          <w:sz w:val="32"/>
          <w:szCs w:val="32"/>
          <w:shd w:val="clear" w:color="auto" w:fill="FFFFFF"/>
        </w:rPr>
      </w:pPr>
      <w:r w:rsidRPr="00682FB5">
        <w:rPr>
          <w:sz w:val="32"/>
          <w:szCs w:val="32"/>
          <w:shd w:val="clear" w:color="auto" w:fill="FFFFFF"/>
        </w:rPr>
        <w:lastRenderedPageBreak/>
        <w:t>Ethics Sustainability &amp; Responsibility (ESR) and Diversity, Equity, Inclusion &amp; Belonging (DEIB)</w:t>
      </w:r>
    </w:p>
    <w:p w14:paraId="58C0E66E" w14:textId="6BF66860" w:rsidR="00682FB5" w:rsidRPr="007369CE" w:rsidRDefault="007369CE" w:rsidP="008432E8">
      <w:pPr>
        <w:shd w:val="clear" w:color="auto" w:fill="FFFFFF"/>
        <w:spacing w:before="180" w:after="180" w:line="360" w:lineRule="auto"/>
        <w:contextualSpacing/>
        <w:jc w:val="both"/>
        <w:rPr>
          <w:color w:val="000000" w:themeColor="text1"/>
          <w:sz w:val="21"/>
          <w:szCs w:val="21"/>
          <w:u w:val="single"/>
          <w:shd w:val="clear" w:color="auto" w:fill="FFFFFF"/>
        </w:rPr>
      </w:pPr>
      <w:r w:rsidRPr="007369CE">
        <w:rPr>
          <w:u w:val="single"/>
          <w:shd w:val="clear" w:color="auto" w:fill="FFFFFF"/>
        </w:rPr>
        <w:t>Ethics Sustainability &amp; Responsibility (ESR)</w:t>
      </w:r>
    </w:p>
    <w:p w14:paraId="3341BA09" w14:textId="79581890" w:rsidR="00682FB5" w:rsidRDefault="0099156E"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Merck’s main goal is to be the premier research-intensive biopharmaceutical company</w:t>
      </w:r>
      <w:r w:rsidR="00A265A0">
        <w:rPr>
          <w:color w:val="000000" w:themeColor="text1"/>
          <w:shd w:val="clear" w:color="auto" w:fill="FFFFFF"/>
        </w:rPr>
        <w:t xml:space="preserve">, they want to achieve it by using leading-edge science to improve and help people’s lives around the world. </w:t>
      </w:r>
    </w:p>
    <w:p w14:paraId="4921086B" w14:textId="0744134D" w:rsidR="00A265A0" w:rsidRDefault="00A265A0"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Hence patients’ well-being is a priority for the company, followed by respect for people, ethics and integrity and excellency in scientific innovation. </w:t>
      </w:r>
    </w:p>
    <w:p w14:paraId="59A518D5" w14:textId="77777777" w:rsidR="001B4B6C" w:rsidRDefault="001B4B6C" w:rsidP="008432E8">
      <w:pPr>
        <w:shd w:val="clear" w:color="auto" w:fill="FFFFFF"/>
        <w:spacing w:before="180" w:after="180" w:line="360" w:lineRule="auto"/>
        <w:contextualSpacing/>
        <w:jc w:val="both"/>
        <w:rPr>
          <w:color w:val="000000" w:themeColor="text1"/>
          <w:shd w:val="clear" w:color="auto" w:fill="FFFFFF"/>
        </w:rPr>
      </w:pPr>
    </w:p>
    <w:p w14:paraId="5E813462" w14:textId="2E193D3A" w:rsidR="007369CE" w:rsidRDefault="00A265A0"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One of the main statements in their ESG report</w:t>
      </w:r>
      <w:r w:rsidR="00881510">
        <w:rPr>
          <w:color w:val="000000" w:themeColor="text1"/>
          <w:shd w:val="clear" w:color="auto" w:fill="FFFFFF"/>
        </w:rPr>
        <w:t xml:space="preserve"> (</w:t>
      </w:r>
      <w:hyperlink w:anchor="_References" w:history="1">
        <w:r w:rsidR="00881510" w:rsidRPr="00881510">
          <w:rPr>
            <w:rStyle w:val="Hyperlink"/>
          </w:rPr>
          <w:t>Environmental, Social &amp; Governance (ESG). (n.d.)</w:t>
        </w:r>
        <w:r w:rsidR="00881510" w:rsidRPr="00881510">
          <w:rPr>
            <w:rStyle w:val="Hyperlink"/>
          </w:rPr>
          <w:t>)</w:t>
        </w:r>
      </w:hyperlink>
      <w:r>
        <w:rPr>
          <w:color w:val="000000" w:themeColor="text1"/>
          <w:shd w:val="clear" w:color="auto" w:fill="FFFFFF"/>
        </w:rPr>
        <w:t xml:space="preserve"> is to operate responsibly to enable a safe, sustainable, and healthy future for their clients. Thus, understanding ESG issues is key in order to properly comply with the company’s standards. To fulfill this commitment, their strategic framework is set to grow taking into account the needs of a health care </w:t>
      </w:r>
      <w:proofErr w:type="gramStart"/>
      <w:r>
        <w:rPr>
          <w:color w:val="000000" w:themeColor="text1"/>
          <w:shd w:val="clear" w:color="auto" w:fill="FFFFFF"/>
        </w:rPr>
        <w:t>ecosystem, and</w:t>
      </w:r>
      <w:proofErr w:type="gramEnd"/>
      <w:r>
        <w:rPr>
          <w:color w:val="000000" w:themeColor="text1"/>
          <w:shd w:val="clear" w:color="auto" w:fill="FFFFFF"/>
        </w:rPr>
        <w:t xml:space="preserve"> allocates direct resources to</w:t>
      </w:r>
      <w:r w:rsidR="00C636AE">
        <w:rPr>
          <w:color w:val="000000" w:themeColor="text1"/>
          <w:shd w:val="clear" w:color="auto" w:fill="FFFFFF"/>
        </w:rPr>
        <w:t xml:space="preserve"> mainly four</w:t>
      </w:r>
      <w:r>
        <w:rPr>
          <w:color w:val="000000" w:themeColor="text1"/>
          <w:shd w:val="clear" w:color="auto" w:fill="FFFFFF"/>
        </w:rPr>
        <w:t xml:space="preserve"> </w:t>
      </w:r>
      <w:r w:rsidR="00C636AE">
        <w:rPr>
          <w:color w:val="000000" w:themeColor="text1"/>
          <w:shd w:val="clear" w:color="auto" w:fill="FFFFFF"/>
        </w:rPr>
        <w:t>areas in ESG: environmental sustainability, access to health, employees and ethics.</w:t>
      </w:r>
    </w:p>
    <w:p w14:paraId="6D9DB5F8" w14:textId="2D3F9CE0" w:rsidR="007369CE" w:rsidRDefault="007369CE" w:rsidP="008432E8">
      <w:pPr>
        <w:shd w:val="clear" w:color="auto" w:fill="FFFFFF"/>
        <w:spacing w:before="180" w:after="180" w:line="360" w:lineRule="auto"/>
        <w:contextualSpacing/>
        <w:jc w:val="both"/>
        <w:rPr>
          <w:color w:val="000000" w:themeColor="text1"/>
          <w:shd w:val="clear" w:color="auto" w:fill="FFFFFF"/>
        </w:rPr>
      </w:pPr>
    </w:p>
    <w:p w14:paraId="4EF31E96" w14:textId="2A48FC7A" w:rsidR="00C636AE" w:rsidRDefault="00C636AE"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The environmental sustainability area is to consider the impact of their operations and adapt it to support the preservation of our planet.</w:t>
      </w:r>
      <w:r w:rsidR="00553A4C">
        <w:rPr>
          <w:color w:val="000000" w:themeColor="text1"/>
          <w:shd w:val="clear" w:color="auto" w:fill="FFFFFF"/>
        </w:rPr>
        <w:t xml:space="preserve"> This are</w:t>
      </w:r>
      <w:r w:rsidR="00133B2D">
        <w:rPr>
          <w:color w:val="000000" w:themeColor="text1"/>
          <w:shd w:val="clear" w:color="auto" w:fill="FFFFFF"/>
        </w:rPr>
        <w:t>a</w:t>
      </w:r>
      <w:r w:rsidR="00553A4C">
        <w:rPr>
          <w:color w:val="000000" w:themeColor="text1"/>
          <w:shd w:val="clear" w:color="auto" w:fill="FFFFFF"/>
        </w:rPr>
        <w:t xml:space="preserve"> has four </w:t>
      </w:r>
      <w:r w:rsidR="00133B2D">
        <w:rPr>
          <w:color w:val="000000" w:themeColor="text1"/>
          <w:shd w:val="clear" w:color="auto" w:fill="FFFFFF"/>
        </w:rPr>
        <w:t xml:space="preserve">main goals, firstly to reduce the greenhouse emissions to 46% in less than 8 years. In one </w:t>
      </w:r>
      <w:proofErr w:type="gramStart"/>
      <w:r w:rsidR="00133B2D">
        <w:rPr>
          <w:color w:val="000000" w:themeColor="text1"/>
          <w:shd w:val="clear" w:color="auto" w:fill="FFFFFF"/>
        </w:rPr>
        <w:t>year</w:t>
      </w:r>
      <w:proofErr w:type="gramEnd"/>
      <w:r w:rsidR="00133B2D">
        <w:rPr>
          <w:color w:val="000000" w:themeColor="text1"/>
          <w:shd w:val="clear" w:color="auto" w:fill="FFFFFF"/>
        </w:rPr>
        <w:t xml:space="preserve"> they’ve manage to reduce 9% of their last year emissions. The second goal is to get to carbon neutrality, however they still haven’t </w:t>
      </w:r>
      <w:proofErr w:type="gramStart"/>
      <w:r w:rsidR="00133B2D">
        <w:rPr>
          <w:color w:val="000000" w:themeColor="text1"/>
          <w:shd w:val="clear" w:color="auto" w:fill="FFFFFF"/>
        </w:rPr>
        <w:t>achieve</w:t>
      </w:r>
      <w:proofErr w:type="gramEnd"/>
      <w:r w:rsidR="00133B2D">
        <w:rPr>
          <w:color w:val="000000" w:themeColor="text1"/>
          <w:shd w:val="clear" w:color="auto" w:fill="FFFFFF"/>
        </w:rPr>
        <w:t xml:space="preserve"> any remarkable progress towards that goal. Another objective is to outsource the totality of their electricity purchase and so </w:t>
      </w:r>
      <w:proofErr w:type="gramStart"/>
      <w:r w:rsidR="00133B2D">
        <w:rPr>
          <w:color w:val="000000" w:themeColor="text1"/>
          <w:shd w:val="clear" w:color="auto" w:fill="FFFFFF"/>
        </w:rPr>
        <w:t>far</w:t>
      </w:r>
      <w:proofErr w:type="gramEnd"/>
      <w:r w:rsidR="00133B2D">
        <w:rPr>
          <w:color w:val="000000" w:themeColor="text1"/>
          <w:shd w:val="clear" w:color="auto" w:fill="FFFFFF"/>
        </w:rPr>
        <w:t xml:space="preserve"> they have sourced 41% from renewables. </w:t>
      </w:r>
      <w:proofErr w:type="gramStart"/>
      <w:r w:rsidR="00133B2D">
        <w:rPr>
          <w:color w:val="000000" w:themeColor="text1"/>
          <w:shd w:val="clear" w:color="auto" w:fill="FFFFFF"/>
        </w:rPr>
        <w:t>Lastly</w:t>
      </w:r>
      <w:proofErr w:type="gramEnd"/>
      <w:r w:rsidR="00133B2D">
        <w:rPr>
          <w:color w:val="000000" w:themeColor="text1"/>
          <w:shd w:val="clear" w:color="auto" w:fill="FFFFFF"/>
        </w:rPr>
        <w:t xml:space="preserve"> they plan to reduce their value chain emissions by 30% before the end of this decade, nevertheless, not only have they not reduced them, but they had a 9% increase this last year. Even if they had a setback in their last goal, the covid-19 pandemic could have caused a rapid change in </w:t>
      </w:r>
      <w:proofErr w:type="gramStart"/>
      <w:r w:rsidR="00133B2D">
        <w:rPr>
          <w:color w:val="000000" w:themeColor="text1"/>
          <w:shd w:val="clear" w:color="auto" w:fill="FFFFFF"/>
        </w:rPr>
        <w:t>plans, and</w:t>
      </w:r>
      <w:proofErr w:type="gramEnd"/>
      <w:r w:rsidR="00133B2D">
        <w:rPr>
          <w:color w:val="000000" w:themeColor="text1"/>
          <w:shd w:val="clear" w:color="auto" w:fill="FFFFFF"/>
        </w:rPr>
        <w:t xml:space="preserve"> looking at the progress the company has had in this area, we can conclude they are accomplishing some improvement towards sustainability.</w:t>
      </w:r>
    </w:p>
    <w:p w14:paraId="4D0AADA2" w14:textId="2DB6957F" w:rsidR="001B4B6C" w:rsidRDefault="001B4B6C" w:rsidP="008432E8">
      <w:pPr>
        <w:shd w:val="clear" w:color="auto" w:fill="FFFFFF"/>
        <w:spacing w:before="180" w:after="180" w:line="360" w:lineRule="auto"/>
        <w:contextualSpacing/>
        <w:jc w:val="both"/>
        <w:rPr>
          <w:color w:val="000000" w:themeColor="text1"/>
          <w:shd w:val="clear" w:color="auto" w:fill="FFFFFF"/>
        </w:rPr>
      </w:pPr>
    </w:p>
    <w:p w14:paraId="4E4EEF64" w14:textId="38A3A2A3" w:rsidR="001B4B6C" w:rsidRDefault="001B4B6C"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Thanks to the help of some of the main stakeholders, Merck is currently on track to ensure their products are accessible and affordable for those in need. Specifically, they hope to reach around 30 million low-income people around the world and help underprivileged people in the US by </w:t>
      </w:r>
      <w:r>
        <w:rPr>
          <w:color w:val="000000" w:themeColor="text1"/>
          <w:shd w:val="clear" w:color="auto" w:fill="FFFFFF"/>
        </w:rPr>
        <w:lastRenderedPageBreak/>
        <w:t xml:space="preserve">2025. So far, they’ve managed to get to half this milestone. When they defined the goals for the ESG report, they wanted to offer their products to at least 75% of the countries, and by 2022 they already surpassed 80%. </w:t>
      </w:r>
      <w:r w:rsidR="00D94464">
        <w:rPr>
          <w:color w:val="000000" w:themeColor="text1"/>
          <w:shd w:val="clear" w:color="auto" w:fill="FFFFFF"/>
        </w:rPr>
        <w:t xml:space="preserve">Not only do they hope to empower their reach geographically, but also </w:t>
      </w:r>
      <w:r w:rsidR="00D94464">
        <w:rPr>
          <w:color w:val="000000" w:themeColor="text1"/>
          <w:shd w:val="clear" w:color="auto" w:fill="FFFFFF"/>
        </w:rPr>
        <w:t>demographically</w:t>
      </w:r>
      <w:r w:rsidR="00D94464">
        <w:rPr>
          <w:color w:val="000000" w:themeColor="text1"/>
          <w:shd w:val="clear" w:color="auto" w:fill="FFFFFF"/>
        </w:rPr>
        <w:t>, by giving access to around 100 million access to Merck’s portfolio and partnerships all around the world. So far, they have managed to enable access for 66.7 million people.</w:t>
      </w:r>
    </w:p>
    <w:p w14:paraId="304FFC7D" w14:textId="78A32672" w:rsidR="00EA1418" w:rsidRDefault="00EA1418" w:rsidP="008432E8">
      <w:pPr>
        <w:shd w:val="clear" w:color="auto" w:fill="FFFFFF"/>
        <w:spacing w:before="180" w:after="180" w:line="360" w:lineRule="auto"/>
        <w:contextualSpacing/>
        <w:jc w:val="both"/>
        <w:rPr>
          <w:color w:val="000000" w:themeColor="text1"/>
          <w:shd w:val="clear" w:color="auto" w:fill="FFFFFF"/>
        </w:rPr>
      </w:pPr>
    </w:p>
    <w:p w14:paraId="2606DE73" w14:textId="17AE5ACE" w:rsidR="00D94464" w:rsidRPr="00D94464" w:rsidRDefault="00D94464"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Another area they focus in their ESR report is Employees, I which they recognize the importance of integrity and importance of diversity and well-being amongst their employees </w:t>
      </w:r>
      <w:r w:rsidRPr="00D94464">
        <w:rPr>
          <w:i/>
          <w:iCs/>
          <w:color w:val="000000" w:themeColor="text1"/>
          <w:shd w:val="clear" w:color="auto" w:fill="FFFFFF"/>
        </w:rPr>
        <w:t xml:space="preserve">(This will be further discussed in the following section: </w:t>
      </w:r>
      <w:r w:rsidRPr="00D94464">
        <w:rPr>
          <w:i/>
          <w:iCs/>
          <w:color w:val="000000" w:themeColor="text1"/>
          <w:shd w:val="clear" w:color="auto" w:fill="FFFFFF"/>
        </w:rPr>
        <w:t>Diversity, Equity, Inclusion &amp; Belonging</w:t>
      </w:r>
      <w:r w:rsidRPr="00D94464">
        <w:rPr>
          <w:i/>
          <w:iCs/>
          <w:color w:val="000000" w:themeColor="text1"/>
          <w:shd w:val="clear" w:color="auto" w:fill="FFFFFF"/>
        </w:rPr>
        <w:t>).</w:t>
      </w:r>
    </w:p>
    <w:p w14:paraId="77361F36" w14:textId="77777777" w:rsidR="00D94464" w:rsidRDefault="00D94464" w:rsidP="008432E8">
      <w:pPr>
        <w:shd w:val="clear" w:color="auto" w:fill="FFFFFF"/>
        <w:spacing w:before="180" w:after="180" w:line="360" w:lineRule="auto"/>
        <w:contextualSpacing/>
        <w:jc w:val="both"/>
        <w:rPr>
          <w:color w:val="000000" w:themeColor="text1"/>
          <w:shd w:val="clear" w:color="auto" w:fill="FFFFFF"/>
        </w:rPr>
      </w:pPr>
    </w:p>
    <w:p w14:paraId="2486916F" w14:textId="58E8C196" w:rsidR="00EA1418" w:rsidRDefault="00881510"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Merck also has an area to maintain ethical values. Their main goals are to preserve compliance of regulatory requirements of data protection and drug development. They boast of transparency in both animal research and human treatments as well as respect of human rights. However, this company is notorious for numerous scandals and lawsuits. </w:t>
      </w:r>
    </w:p>
    <w:p w14:paraId="28BFAF89" w14:textId="27DD6947" w:rsidR="001B4B6C" w:rsidRDefault="00881510"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The most infamous lawsuit was the Vioxx scandal.</w:t>
      </w:r>
      <w:r w:rsidR="003C7231">
        <w:rPr>
          <w:color w:val="000000" w:themeColor="text1"/>
          <w:shd w:val="clear" w:color="auto" w:fill="FFFFFF"/>
        </w:rPr>
        <w:t xml:space="preserve"> </w:t>
      </w:r>
      <w:r w:rsidR="00B77886">
        <w:rPr>
          <w:color w:val="000000" w:themeColor="text1"/>
          <w:shd w:val="clear" w:color="auto" w:fill="FFFFFF"/>
        </w:rPr>
        <w:t xml:space="preserve">Vioxx was one of Merck’s most successful </w:t>
      </w:r>
      <w:proofErr w:type="gramStart"/>
      <w:r w:rsidR="00B77886">
        <w:rPr>
          <w:color w:val="000000" w:themeColor="text1"/>
          <w:shd w:val="clear" w:color="auto" w:fill="FFFFFF"/>
        </w:rPr>
        <w:t>drug</w:t>
      </w:r>
      <w:proofErr w:type="gramEnd"/>
      <w:r w:rsidR="00B77886">
        <w:rPr>
          <w:color w:val="000000" w:themeColor="text1"/>
          <w:shd w:val="clear" w:color="auto" w:fill="FFFFFF"/>
        </w:rPr>
        <w:t xml:space="preserve"> at the time, and it was used as pain treatment for some diseases like osteoarthritis. However, it was later related to heart attacks and death, and it was discovered that Merck was knowingly covering up its risks. In only the last decade, the company has settled almost $5 billion in lawsuits for the Vioxx scandal, and some are still battling in open court.</w:t>
      </w:r>
    </w:p>
    <w:p w14:paraId="7CE97A95" w14:textId="2410B41F" w:rsidR="001B4B6C" w:rsidRDefault="001B4B6C" w:rsidP="008432E8">
      <w:pPr>
        <w:shd w:val="clear" w:color="auto" w:fill="FFFFFF"/>
        <w:spacing w:before="180" w:after="180" w:line="360" w:lineRule="auto"/>
        <w:contextualSpacing/>
        <w:jc w:val="both"/>
        <w:rPr>
          <w:color w:val="000000" w:themeColor="text1"/>
          <w:shd w:val="clear" w:color="auto" w:fill="FFFFFF"/>
        </w:rPr>
      </w:pPr>
    </w:p>
    <w:p w14:paraId="2FDAC4D5" w14:textId="4392801A" w:rsidR="001B4B6C" w:rsidRDefault="00D14AB8"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In order to maintain an ethical appearance, in 2022 Merck initiated an organization called Alliance for Equity in Cancer Care to help patients living in prejudiced communities get access to high-quality extensive care. In addition to that, Merck was recognized for its work to make the HPV vaccines available in underdeveloped countries thanks to their investment in numerous partnerships and manufacturing deals. With this changes, Merck’s appearance drastically changed from the people’s point of view. </w:t>
      </w:r>
      <w:proofErr w:type="gramStart"/>
      <w:r>
        <w:rPr>
          <w:color w:val="000000" w:themeColor="text1"/>
          <w:shd w:val="clear" w:color="auto" w:fill="FFFFFF"/>
        </w:rPr>
        <w:t>However</w:t>
      </w:r>
      <w:proofErr w:type="gramEnd"/>
      <w:r>
        <w:rPr>
          <w:color w:val="000000" w:themeColor="text1"/>
          <w:shd w:val="clear" w:color="auto" w:fill="FFFFFF"/>
        </w:rPr>
        <w:t xml:space="preserve"> the prolongation of the various lawsuits, and the continuous discoveries of cover ups made from the company, brings us doubt on whether Merck’s pursuit of ethics is really a change the company’s values or if it’s all scheme to improve the company’s public outward presentation.</w:t>
      </w:r>
    </w:p>
    <w:p w14:paraId="5777CFF0" w14:textId="2A70FDBC" w:rsidR="007369CE" w:rsidRDefault="007369CE" w:rsidP="008432E8">
      <w:pPr>
        <w:shd w:val="clear" w:color="auto" w:fill="FFFFFF"/>
        <w:spacing w:before="180" w:after="180" w:line="360" w:lineRule="auto"/>
        <w:contextualSpacing/>
        <w:jc w:val="both"/>
        <w:rPr>
          <w:color w:val="000000" w:themeColor="text1"/>
          <w:shd w:val="clear" w:color="auto" w:fill="FFFFFF"/>
        </w:rPr>
      </w:pPr>
    </w:p>
    <w:p w14:paraId="01F08CA1" w14:textId="77777777" w:rsidR="007369CE" w:rsidRPr="00471A08" w:rsidRDefault="007369CE" w:rsidP="008432E8">
      <w:pPr>
        <w:shd w:val="clear" w:color="auto" w:fill="FFFFFF"/>
        <w:spacing w:before="180" w:after="180" w:line="360" w:lineRule="auto"/>
        <w:contextualSpacing/>
        <w:jc w:val="both"/>
        <w:rPr>
          <w:b/>
          <w:bCs/>
          <w:u w:val="single"/>
          <w:shd w:val="clear" w:color="auto" w:fill="FFFFFF"/>
        </w:rPr>
      </w:pPr>
      <w:r w:rsidRPr="00471A08">
        <w:rPr>
          <w:b/>
          <w:bCs/>
          <w:u w:val="single"/>
          <w:shd w:val="clear" w:color="auto" w:fill="FFFFFF"/>
        </w:rPr>
        <w:lastRenderedPageBreak/>
        <w:t>Diversity, Equity, Inclusion &amp; Belonging (DEIB)</w:t>
      </w:r>
    </w:p>
    <w:p w14:paraId="48CF9CC4" w14:textId="77777777" w:rsidR="002E038C" w:rsidRDefault="002E038C" w:rsidP="008432E8">
      <w:pPr>
        <w:shd w:val="clear" w:color="auto" w:fill="FFFFFF"/>
        <w:spacing w:before="180" w:after="180" w:line="360" w:lineRule="auto"/>
        <w:contextualSpacing/>
        <w:jc w:val="both"/>
        <w:rPr>
          <w:color w:val="000000" w:themeColor="text1"/>
          <w:shd w:val="clear" w:color="auto" w:fill="FFFFFF"/>
        </w:rPr>
      </w:pPr>
    </w:p>
    <w:p w14:paraId="117A05BB" w14:textId="6BC53115" w:rsidR="00682FB5" w:rsidRPr="00682FB5" w:rsidRDefault="002E038C"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Merck is known to be a one of the more diverse companies in the US, currently being on the top 15% and winning a diversity award in 2018.</w:t>
      </w:r>
    </w:p>
    <w:p w14:paraId="11468881" w14:textId="59EF7D13" w:rsidR="00682FB5" w:rsidRPr="00682FB5" w:rsidRDefault="00682FB5" w:rsidP="008432E8">
      <w:pPr>
        <w:shd w:val="clear" w:color="auto" w:fill="FFFFFF"/>
        <w:spacing w:before="180" w:after="180" w:line="360" w:lineRule="auto"/>
        <w:contextualSpacing/>
        <w:jc w:val="both"/>
        <w:rPr>
          <w:color w:val="000000" w:themeColor="text1"/>
          <w:shd w:val="clear" w:color="auto" w:fill="FFFFFF"/>
        </w:rPr>
      </w:pPr>
    </w:p>
    <w:p w14:paraId="4CFD2939" w14:textId="0F2DAC9C" w:rsidR="00A8430E" w:rsidRPr="00682FB5" w:rsidRDefault="00793744"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Taking a quick look at the demographics of the company, we can see that 54% of their employees are women and 44% are of an ethnicity </w:t>
      </w:r>
      <w:r w:rsidR="009B25B6">
        <w:rPr>
          <w:color w:val="000000" w:themeColor="text1"/>
          <w:shd w:val="clear" w:color="auto" w:fill="FFFFFF"/>
        </w:rPr>
        <w:t>different than White,</w:t>
      </w:r>
      <w:r>
        <w:rPr>
          <w:color w:val="000000" w:themeColor="text1"/>
          <w:shd w:val="clear" w:color="auto" w:fill="FFFFFF"/>
        </w:rPr>
        <w:t xml:space="preserve"> from where 16% are Hispanic</w:t>
      </w:r>
      <w:r w:rsidR="00A42EBC">
        <w:rPr>
          <w:color w:val="000000" w:themeColor="text1"/>
          <w:shd w:val="clear" w:color="auto" w:fill="FFFFFF"/>
        </w:rPr>
        <w:t>,</w:t>
      </w:r>
      <w:r>
        <w:rPr>
          <w:color w:val="000000" w:themeColor="text1"/>
          <w:shd w:val="clear" w:color="auto" w:fill="FFFFFF"/>
        </w:rPr>
        <w:t xml:space="preserve"> 14% Asian</w:t>
      </w:r>
      <w:r w:rsidR="00A42EBC">
        <w:rPr>
          <w:color w:val="000000" w:themeColor="text1"/>
          <w:shd w:val="clear" w:color="auto" w:fill="FFFFFF"/>
        </w:rPr>
        <w:t xml:space="preserve"> and 10.5% Black, being one of the highest in the industry in that ethnicity</w:t>
      </w:r>
      <w:r>
        <w:rPr>
          <w:color w:val="000000" w:themeColor="text1"/>
          <w:shd w:val="clear" w:color="auto" w:fill="FFFFFF"/>
        </w:rPr>
        <w:t xml:space="preserve">. In contrast to the </w:t>
      </w:r>
      <w:r w:rsidR="009B25B6">
        <w:rPr>
          <w:color w:val="000000" w:themeColor="text1"/>
          <w:shd w:val="clear" w:color="auto" w:fill="FFFFFF"/>
        </w:rPr>
        <w:t>pharmaceutical</w:t>
      </w:r>
      <w:r>
        <w:rPr>
          <w:color w:val="000000" w:themeColor="text1"/>
          <w:shd w:val="clear" w:color="auto" w:fill="FFFFFF"/>
        </w:rPr>
        <w:t xml:space="preserve"> industry, they are higher than the average which is of 37% women and 42% non-white. However, it does have a lower percentage of Asian workers. This could be due to the rise of the industry in Asia and China and Japan becoming the second and third largest pharmaceutical markets globally. </w:t>
      </w:r>
      <w:r w:rsidR="00A42EBC">
        <w:rPr>
          <w:color w:val="000000" w:themeColor="text1"/>
          <w:shd w:val="clear" w:color="auto" w:fill="FFFFFF"/>
        </w:rPr>
        <w:t>Nevertheless, it is not only important to have diversity in the workforce, but also in leadership. Merck has an objective for gender parity in the top positions</w:t>
      </w:r>
      <w:r w:rsidR="009746BA">
        <w:rPr>
          <w:color w:val="000000" w:themeColor="text1"/>
          <w:shd w:val="clear" w:color="auto" w:fill="FFFFFF"/>
        </w:rPr>
        <w:t xml:space="preserve"> which they hope to achieve by 2023</w:t>
      </w:r>
      <w:r w:rsidR="00A42EBC">
        <w:rPr>
          <w:color w:val="000000" w:themeColor="text1"/>
          <w:shd w:val="clear" w:color="auto" w:fill="FFFFFF"/>
        </w:rPr>
        <w:t xml:space="preserve">, currently composed of 36% females (increased of 1% from 2020). Not only they have a plan to increase diversity in gender, but </w:t>
      </w:r>
      <w:r w:rsidR="00C0738E">
        <w:rPr>
          <w:color w:val="000000" w:themeColor="text1"/>
          <w:shd w:val="clear" w:color="auto" w:fill="FFFFFF"/>
        </w:rPr>
        <w:t>also,</w:t>
      </w:r>
      <w:r w:rsidR="00A42EBC">
        <w:rPr>
          <w:color w:val="000000" w:themeColor="text1"/>
          <w:shd w:val="clear" w:color="auto" w:fill="FFFFFF"/>
        </w:rPr>
        <w:t xml:space="preserve"> they plan to empower</w:t>
      </w:r>
      <w:r w:rsidR="00063AD6">
        <w:rPr>
          <w:color w:val="000000" w:themeColor="text1"/>
          <w:shd w:val="clear" w:color="auto" w:fill="FFFFFF"/>
        </w:rPr>
        <w:t xml:space="preserve"> racial diversity up to 30% from 21% in leadership positions.</w:t>
      </w:r>
      <w:r w:rsidR="00B320D4">
        <w:rPr>
          <w:color w:val="000000" w:themeColor="text1"/>
          <w:shd w:val="clear" w:color="auto" w:fill="FFFFFF"/>
        </w:rPr>
        <w:t xml:space="preserve"> </w:t>
      </w:r>
      <w:r w:rsidR="00A8430E">
        <w:rPr>
          <w:color w:val="000000" w:themeColor="text1"/>
          <w:shd w:val="clear" w:color="auto" w:fill="FFFFFF"/>
        </w:rPr>
        <w:t>Even though there’s not a big pay gap between sexes, Merck likes to disclose a pay equity inquiry to ensure transparency and to maintain equal salaries.</w:t>
      </w:r>
      <w:r w:rsidR="009746BA">
        <w:rPr>
          <w:color w:val="000000" w:themeColor="text1"/>
          <w:shd w:val="clear" w:color="auto" w:fill="FFFFFF"/>
        </w:rPr>
        <w:t xml:space="preserve"> </w:t>
      </w:r>
    </w:p>
    <w:p w14:paraId="17C0B2F4" w14:textId="11194EA2" w:rsidR="00682FB5" w:rsidRDefault="00682FB5" w:rsidP="008432E8">
      <w:pPr>
        <w:shd w:val="clear" w:color="auto" w:fill="FFFFFF"/>
        <w:spacing w:before="180" w:after="180" w:line="360" w:lineRule="auto"/>
        <w:contextualSpacing/>
        <w:jc w:val="both"/>
        <w:rPr>
          <w:color w:val="000000" w:themeColor="text1"/>
          <w:shd w:val="clear" w:color="auto" w:fill="FFFFFF"/>
        </w:rPr>
      </w:pPr>
    </w:p>
    <w:p w14:paraId="41E7A5E3" w14:textId="587F0444" w:rsidR="00AE2B94" w:rsidRDefault="00AE2B94"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Not only does Merck take into account </w:t>
      </w:r>
      <w:r w:rsidR="00B13DF3">
        <w:rPr>
          <w:color w:val="000000" w:themeColor="text1"/>
          <w:shd w:val="clear" w:color="auto" w:fill="FFFFFF"/>
        </w:rPr>
        <w:t>gender</w:t>
      </w:r>
      <w:r>
        <w:rPr>
          <w:color w:val="000000" w:themeColor="text1"/>
          <w:shd w:val="clear" w:color="auto" w:fill="FFFFFF"/>
        </w:rPr>
        <w:t xml:space="preserve"> and </w:t>
      </w:r>
      <w:r w:rsidR="00B13DF3">
        <w:rPr>
          <w:color w:val="000000" w:themeColor="text1"/>
          <w:shd w:val="clear" w:color="auto" w:fill="FFFFFF"/>
        </w:rPr>
        <w:t>r</w:t>
      </w:r>
      <w:r>
        <w:rPr>
          <w:color w:val="000000" w:themeColor="text1"/>
          <w:shd w:val="clear" w:color="auto" w:fill="FFFFFF"/>
        </w:rPr>
        <w:t xml:space="preserve">ace diversity, but </w:t>
      </w:r>
      <w:proofErr w:type="gramStart"/>
      <w:r>
        <w:rPr>
          <w:color w:val="000000" w:themeColor="text1"/>
          <w:shd w:val="clear" w:color="auto" w:fill="FFFFFF"/>
        </w:rPr>
        <w:t>also</w:t>
      </w:r>
      <w:proofErr w:type="gramEnd"/>
      <w:r>
        <w:rPr>
          <w:color w:val="000000" w:themeColor="text1"/>
          <w:shd w:val="clear" w:color="auto" w:fill="FFFFFF"/>
        </w:rPr>
        <w:t xml:space="preserve"> they continuously make progress with the LGBTQI+ group. They obtained the maximum score in the “Corporate Equality Index” that values the equality and inclusion of LGBTQI+ in the workplace. </w:t>
      </w:r>
      <w:r w:rsidR="00F40500">
        <w:rPr>
          <w:color w:val="000000" w:themeColor="text1"/>
          <w:shd w:val="clear" w:color="auto" w:fill="FFFFFF"/>
        </w:rPr>
        <w:t xml:space="preserve">Moreover, they have recently launched a program to incorporate people with disabilities and prepare management and recruitment to foster an inclusive </w:t>
      </w:r>
      <w:proofErr w:type="gramStart"/>
      <w:r w:rsidR="00F40500">
        <w:rPr>
          <w:color w:val="000000" w:themeColor="text1"/>
          <w:shd w:val="clear" w:color="auto" w:fill="FFFFFF"/>
        </w:rPr>
        <w:t>an</w:t>
      </w:r>
      <w:proofErr w:type="gramEnd"/>
      <w:r w:rsidR="00F40500">
        <w:rPr>
          <w:color w:val="000000" w:themeColor="text1"/>
          <w:shd w:val="clear" w:color="auto" w:fill="FFFFFF"/>
        </w:rPr>
        <w:t xml:space="preserve"> supportive environment.</w:t>
      </w:r>
    </w:p>
    <w:p w14:paraId="12EA4F0F" w14:textId="77777777" w:rsidR="00AE2B94" w:rsidRPr="00682FB5" w:rsidRDefault="00AE2B94" w:rsidP="008432E8">
      <w:pPr>
        <w:shd w:val="clear" w:color="auto" w:fill="FFFFFF"/>
        <w:spacing w:before="180" w:after="180" w:line="360" w:lineRule="auto"/>
        <w:contextualSpacing/>
        <w:jc w:val="both"/>
        <w:rPr>
          <w:color w:val="000000" w:themeColor="text1"/>
          <w:shd w:val="clear" w:color="auto" w:fill="FFFFFF"/>
        </w:rPr>
      </w:pPr>
    </w:p>
    <w:p w14:paraId="70F01DD6" w14:textId="0823BA37" w:rsidR="00AE2B94" w:rsidRDefault="00C0738E"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Merck defines inclusion as “creating a culture and environment where everyone can reach their full potential and is able to add value”. In 2021 they created a program to help leaders achieve this goal, and it’s currently still functioning with almost 40% participation. They also have a survey of engagement in inclusion and</w:t>
      </w:r>
      <w:r w:rsidR="00104B42">
        <w:rPr>
          <w:color w:val="000000" w:themeColor="text1"/>
          <w:shd w:val="clear" w:color="auto" w:fill="FFFFFF"/>
        </w:rPr>
        <w:t xml:space="preserve"> numerous partnerships around the world</w:t>
      </w:r>
      <w:r w:rsidR="009746BA">
        <w:rPr>
          <w:color w:val="000000" w:themeColor="text1"/>
          <w:shd w:val="clear" w:color="auto" w:fill="FFFFFF"/>
        </w:rPr>
        <w:t xml:space="preserve"> with over 40 employee resource groups.</w:t>
      </w:r>
      <w:r w:rsidR="00AE2B94">
        <w:rPr>
          <w:color w:val="000000" w:themeColor="text1"/>
          <w:shd w:val="clear" w:color="auto" w:fill="FFFFFF"/>
        </w:rPr>
        <w:t xml:space="preserve"> </w:t>
      </w:r>
    </w:p>
    <w:p w14:paraId="5DAB8674" w14:textId="19D7B05E" w:rsidR="00AE2B94" w:rsidRDefault="00AE2B94"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In order to boost racial diversity, the company offers intercultural training and digital tools to ease the problem of distance as well as to facilitate international communication.</w:t>
      </w:r>
    </w:p>
    <w:p w14:paraId="7782D775" w14:textId="71908EE0" w:rsidR="00682FB5" w:rsidRPr="00682FB5" w:rsidRDefault="00682FB5" w:rsidP="008432E8">
      <w:pPr>
        <w:shd w:val="clear" w:color="auto" w:fill="FFFFFF"/>
        <w:spacing w:before="180" w:after="180" w:line="360" w:lineRule="auto"/>
        <w:contextualSpacing/>
        <w:jc w:val="both"/>
        <w:rPr>
          <w:color w:val="000000" w:themeColor="text1"/>
          <w:shd w:val="clear" w:color="auto" w:fill="FFFFFF"/>
        </w:rPr>
      </w:pPr>
    </w:p>
    <w:p w14:paraId="49517116" w14:textId="77777777" w:rsidR="00F40500" w:rsidRDefault="00104B42"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Merck has minimum requirements for diversity in some areas</w:t>
      </w:r>
      <w:r w:rsidR="009D251F">
        <w:rPr>
          <w:color w:val="000000" w:themeColor="text1"/>
          <w:shd w:val="clear" w:color="auto" w:fill="FFFFFF"/>
        </w:rPr>
        <w:t>, which although diminishes the discrimination, disregards the possibility of a better candidate, since they may have to hire a candidate to fit the minimum condition.</w:t>
      </w:r>
      <w:r w:rsidR="00B320D4">
        <w:rPr>
          <w:color w:val="000000" w:themeColor="text1"/>
          <w:shd w:val="clear" w:color="auto" w:fill="FFFFFF"/>
        </w:rPr>
        <w:t xml:space="preserve"> </w:t>
      </w:r>
      <w:r w:rsidR="00AE2B94">
        <w:rPr>
          <w:color w:val="000000" w:themeColor="text1"/>
          <w:shd w:val="clear" w:color="auto" w:fill="FFFFFF"/>
        </w:rPr>
        <w:t xml:space="preserve">They also recently incorporated the use of AI when scrutinizing for jobs as well as adopted neutral gender policies in the </w:t>
      </w:r>
      <w:r w:rsidR="00AE2B94">
        <w:rPr>
          <w:color w:val="000000" w:themeColor="text1"/>
          <w:shd w:val="clear" w:color="auto" w:fill="FFFFFF"/>
        </w:rPr>
        <w:t>workplace and</w:t>
      </w:r>
      <w:r w:rsidR="00AE2B94">
        <w:rPr>
          <w:color w:val="000000" w:themeColor="text1"/>
          <w:shd w:val="clear" w:color="auto" w:fill="FFFFFF"/>
        </w:rPr>
        <w:t xml:space="preserve"> developed an algorithm to predict and keep up with the process. </w:t>
      </w:r>
      <w:r w:rsidR="00AE2B94">
        <w:rPr>
          <w:color w:val="000000" w:themeColor="text1"/>
          <w:shd w:val="clear" w:color="auto" w:fill="FFFFFF"/>
        </w:rPr>
        <w:t>With the use of technology, they can analyze which demographic areas lack work applications and i</w:t>
      </w:r>
      <w:r w:rsidR="00B320D4">
        <w:rPr>
          <w:color w:val="000000" w:themeColor="text1"/>
          <w:shd w:val="clear" w:color="auto" w:fill="FFFFFF"/>
        </w:rPr>
        <w:t>n order to foster diversity, Merck recently offered an increase in pay for employees for referrals of qualified candidates that fit the diversity requirements</w:t>
      </w:r>
      <w:r w:rsidR="00AE2B94">
        <w:rPr>
          <w:color w:val="000000" w:themeColor="text1"/>
          <w:shd w:val="clear" w:color="auto" w:fill="FFFFFF"/>
        </w:rPr>
        <w:t>, and set in motion mentoring, sponsoring and talent programs for the target groups.</w:t>
      </w:r>
      <w:r w:rsidR="00F40500">
        <w:rPr>
          <w:color w:val="000000" w:themeColor="text1"/>
          <w:shd w:val="clear" w:color="auto" w:fill="FFFFFF"/>
        </w:rPr>
        <w:t xml:space="preserve"> </w:t>
      </w:r>
    </w:p>
    <w:p w14:paraId="5662817D" w14:textId="77777777" w:rsidR="00F40500" w:rsidRDefault="00F40500" w:rsidP="008432E8">
      <w:pPr>
        <w:shd w:val="clear" w:color="auto" w:fill="FFFFFF"/>
        <w:spacing w:before="180" w:after="180" w:line="360" w:lineRule="auto"/>
        <w:contextualSpacing/>
        <w:jc w:val="both"/>
        <w:rPr>
          <w:color w:val="000000" w:themeColor="text1"/>
          <w:shd w:val="clear" w:color="auto" w:fill="FFFFFF"/>
        </w:rPr>
      </w:pPr>
    </w:p>
    <w:p w14:paraId="51C60C74" w14:textId="546C360D" w:rsidR="00682FB5" w:rsidRDefault="00F40500"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Not only do they use technology for market analysis, but as of 2022, Merck managed to achieve a percentage of over 50% of employees using AI technology to modify recognition language thus ensuring a higher feeling of belonging between workers.</w:t>
      </w:r>
    </w:p>
    <w:p w14:paraId="456129CE" w14:textId="3B8DA8B1" w:rsidR="009D251F" w:rsidRDefault="009D251F" w:rsidP="008432E8">
      <w:pPr>
        <w:shd w:val="clear" w:color="auto" w:fill="FFFFFF"/>
        <w:spacing w:before="180" w:after="180" w:line="360" w:lineRule="auto"/>
        <w:contextualSpacing/>
        <w:jc w:val="both"/>
        <w:rPr>
          <w:color w:val="000000" w:themeColor="text1"/>
          <w:shd w:val="clear" w:color="auto" w:fill="FFFFFF"/>
        </w:rPr>
      </w:pPr>
    </w:p>
    <w:p w14:paraId="50D7EA52" w14:textId="77777777" w:rsidR="00AE2B94" w:rsidRDefault="00A8430E"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Finally, the company has a strict policy against discrimination. They have contracts that bind employees to a workplace free of discrimination or intolerance and of course harassment. </w:t>
      </w:r>
      <w:r w:rsidR="009746BA">
        <w:rPr>
          <w:color w:val="000000" w:themeColor="text1"/>
          <w:shd w:val="clear" w:color="auto" w:fill="FFFFFF"/>
        </w:rPr>
        <w:t>They also have resources in place for reporting those actions as well as a hotline for anonymity. In the previous years there were six cases confirmed out of 74000 employees.</w:t>
      </w:r>
      <w:r w:rsidR="00AE2B94">
        <w:rPr>
          <w:color w:val="000000" w:themeColor="text1"/>
          <w:shd w:val="clear" w:color="auto" w:fill="FFFFFF"/>
        </w:rPr>
        <w:t xml:space="preserve"> </w:t>
      </w:r>
    </w:p>
    <w:p w14:paraId="448D5482" w14:textId="0645336B" w:rsidR="009D251F" w:rsidRDefault="00AE2B94"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Although Merck has numerous plans in order to achieve a more equalitarian workplace, they are aware of the limitations unconscious bias impose. For that, they have different training courses to increase awareness and helping managers as well as employees identify when bias is present even though they may not notice.</w:t>
      </w:r>
    </w:p>
    <w:p w14:paraId="19031B80" w14:textId="682F0894" w:rsidR="009D251F" w:rsidRDefault="009D251F" w:rsidP="008432E8">
      <w:pPr>
        <w:shd w:val="clear" w:color="auto" w:fill="FFFFFF"/>
        <w:spacing w:before="180" w:after="180" w:line="360" w:lineRule="auto"/>
        <w:contextualSpacing/>
        <w:jc w:val="both"/>
        <w:rPr>
          <w:color w:val="000000" w:themeColor="text1"/>
          <w:shd w:val="clear" w:color="auto" w:fill="FFFFFF"/>
        </w:rPr>
      </w:pPr>
    </w:p>
    <w:p w14:paraId="6F690BDA" w14:textId="452ED11D" w:rsidR="00AE2B94" w:rsidRPr="00175B83" w:rsidRDefault="00AE2B94" w:rsidP="008432E8">
      <w:pPr>
        <w:shd w:val="clear" w:color="auto" w:fill="FFFFFF"/>
        <w:spacing w:before="180" w:after="180" w:line="360" w:lineRule="auto"/>
        <w:contextualSpacing/>
        <w:jc w:val="both"/>
      </w:pPr>
      <w:r>
        <w:rPr>
          <w:color w:val="000000" w:themeColor="text1"/>
          <w:shd w:val="clear" w:color="auto" w:fill="FFFFFF"/>
        </w:rPr>
        <w:t>What surprised me the most, is the statement made by the Chairman of the Executive Board in 2011 (</w:t>
      </w:r>
      <w:hyperlink w:anchor="_References" w:history="1">
        <w:r w:rsidRPr="00AE2B94">
          <w:rPr>
            <w:rStyle w:val="Hyperlink"/>
          </w:rPr>
          <w:t>Fierce Pharma</w:t>
        </w:r>
        <w:r w:rsidRPr="00AE2B94">
          <w:rPr>
            <w:rStyle w:val="Hyperlink"/>
          </w:rPr>
          <w:t xml:space="preserve"> </w:t>
        </w:r>
        <w:r w:rsidRPr="00AE2B94">
          <w:rPr>
            <w:rStyle w:val="Hyperlink"/>
          </w:rPr>
          <w:t>2</w:t>
        </w:r>
        <w:r w:rsidRPr="00AE2B94">
          <w:rPr>
            <w:rStyle w:val="Hyperlink"/>
          </w:rPr>
          <w:t>011</w:t>
        </w:r>
      </w:hyperlink>
      <w:r>
        <w:t>). For starters the company set the goal to increase the percentage of women in management position from 22% to between 25% and 30%</w:t>
      </w:r>
      <w:r w:rsidR="00175B83">
        <w:t xml:space="preserve">. </w:t>
      </w:r>
      <w:r>
        <w:t>However, in 2022 they managed to achieve a percentage of 36% which suggest their policies are actually active and effective.</w:t>
      </w:r>
      <w:r w:rsidR="00175B83">
        <w:t xml:space="preserve"> </w:t>
      </w:r>
      <w:r>
        <w:t>Another thing that struck me is that they had the same opinion as me regarding minimum requirements.</w:t>
      </w:r>
      <w:r w:rsidR="00B13DF3">
        <w:t xml:space="preserve"> All over, Merck’s priority is to hire the best fit for the company regardless of the gender or race</w:t>
      </w:r>
      <w:r w:rsidR="00175B83">
        <w:t>. Hence, they have set a new objective to extent the resources for the hiring process to make sure they find the best candidate while considering as much diversity as they can.</w:t>
      </w:r>
    </w:p>
    <w:p w14:paraId="45805AFA" w14:textId="3CD8C7B9" w:rsidR="00AE2B94" w:rsidRDefault="00AE2B94" w:rsidP="008432E8">
      <w:pPr>
        <w:shd w:val="clear" w:color="auto" w:fill="FFFFFF"/>
        <w:spacing w:before="180" w:after="180" w:line="360" w:lineRule="auto"/>
        <w:contextualSpacing/>
        <w:jc w:val="both"/>
        <w:rPr>
          <w:color w:val="000000" w:themeColor="text1"/>
          <w:shd w:val="clear" w:color="auto" w:fill="FFFFFF"/>
        </w:rPr>
      </w:pPr>
    </w:p>
    <w:p w14:paraId="6372D654" w14:textId="3BDEAAB0" w:rsidR="00B13DF3" w:rsidRDefault="00B13DF3"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Finally, Merck also tries to optimize the sense of belonging of all employees. They built an inclusive work environment to strengthen the foundation of the workforce which relies on mutual respect and </w:t>
      </w:r>
      <w:r w:rsidR="00F40500">
        <w:rPr>
          <w:color w:val="000000" w:themeColor="text1"/>
          <w:shd w:val="clear" w:color="auto" w:fill="FFFFFF"/>
        </w:rPr>
        <w:t>value,</w:t>
      </w:r>
      <w:r>
        <w:rPr>
          <w:color w:val="000000" w:themeColor="text1"/>
          <w:shd w:val="clear" w:color="auto" w:fill="FFFFFF"/>
        </w:rPr>
        <w:t xml:space="preserve"> so all employees feel trusting and free to speak up. </w:t>
      </w:r>
      <w:r w:rsidR="00175B83">
        <w:rPr>
          <w:color w:val="000000" w:themeColor="text1"/>
          <w:shd w:val="clear" w:color="auto" w:fill="FFFFFF"/>
        </w:rPr>
        <w:t xml:space="preserve">There are numerous Employee Business Resource Groups, members of Merck can participate on to find a sense of belonging. </w:t>
      </w:r>
      <w:r>
        <w:rPr>
          <w:color w:val="000000" w:themeColor="text1"/>
          <w:shd w:val="clear" w:color="auto" w:fill="FFFFFF"/>
        </w:rPr>
        <w:t xml:space="preserve">Furthermore, they keep an open mind, which means they not only look within the company but </w:t>
      </w:r>
      <w:r w:rsidR="00175B83">
        <w:rPr>
          <w:color w:val="000000" w:themeColor="text1"/>
          <w:shd w:val="clear" w:color="auto" w:fill="FFFFFF"/>
        </w:rPr>
        <w:t>look at other companies and the industry in general to see if there’s an idea that could create a better environment.</w:t>
      </w:r>
    </w:p>
    <w:p w14:paraId="4193258F" w14:textId="77777777" w:rsidR="00B13DF3" w:rsidRPr="00682FB5" w:rsidRDefault="00B13DF3" w:rsidP="008432E8">
      <w:pPr>
        <w:shd w:val="clear" w:color="auto" w:fill="FFFFFF"/>
        <w:spacing w:before="180" w:after="180" w:line="360" w:lineRule="auto"/>
        <w:contextualSpacing/>
        <w:jc w:val="both"/>
        <w:rPr>
          <w:color w:val="000000" w:themeColor="text1"/>
          <w:shd w:val="clear" w:color="auto" w:fill="FFFFFF"/>
        </w:rPr>
      </w:pPr>
    </w:p>
    <w:p w14:paraId="66D86E09" w14:textId="18022E0E" w:rsidR="00175B83" w:rsidRDefault="00B13DF3" w:rsidP="008432E8">
      <w:pPr>
        <w:shd w:val="clear" w:color="auto" w:fill="FFFFFF"/>
        <w:spacing w:before="180" w:after="180" w:line="360" w:lineRule="auto"/>
        <w:contextualSpacing/>
        <w:jc w:val="both"/>
        <w:rPr>
          <w:color w:val="000000" w:themeColor="text1"/>
          <w:shd w:val="clear" w:color="auto" w:fill="FFFFFF"/>
        </w:rPr>
      </w:pPr>
      <w:r>
        <w:rPr>
          <w:color w:val="000000" w:themeColor="text1"/>
          <w:shd w:val="clear" w:color="auto" w:fill="FFFFFF"/>
        </w:rPr>
        <w:t xml:space="preserve">Overall, we can see that Merck has a </w:t>
      </w:r>
      <w:r>
        <w:rPr>
          <w:color w:val="000000" w:themeColor="text1"/>
          <w:shd w:val="clear" w:color="auto" w:fill="FFFFFF"/>
        </w:rPr>
        <w:t>clear</w:t>
      </w:r>
      <w:r>
        <w:rPr>
          <w:color w:val="000000" w:themeColor="text1"/>
          <w:shd w:val="clear" w:color="auto" w:fill="FFFFFF"/>
        </w:rPr>
        <w:t xml:space="preserve"> priority of promoting diversity and inclusion, and continuous to make efforts to improve the resources that ensure such equality persevere.</w:t>
      </w:r>
      <w:r w:rsidR="00175B83">
        <w:rPr>
          <w:color w:val="000000" w:themeColor="text1"/>
          <w:shd w:val="clear" w:color="auto" w:fill="FFFFFF"/>
        </w:rPr>
        <w:t>, and integrity and respect are still core values of the company. Many companies in the United States made commitments to assure broader diversity since the racial protest of 2020. However, Merck was one of the few big companies that started that progress a decade ago and continues to make improvements every year since.</w:t>
      </w:r>
    </w:p>
    <w:p w14:paraId="69825772" w14:textId="77777777" w:rsidR="00175B83" w:rsidRPr="00682FB5" w:rsidRDefault="00175B83" w:rsidP="008432E8">
      <w:pPr>
        <w:shd w:val="clear" w:color="auto" w:fill="FFFFFF"/>
        <w:spacing w:before="180" w:after="180" w:line="360" w:lineRule="auto"/>
        <w:contextualSpacing/>
        <w:jc w:val="both"/>
        <w:rPr>
          <w:color w:val="000000" w:themeColor="text1"/>
          <w:shd w:val="clear" w:color="auto" w:fill="FFFFFF"/>
        </w:rPr>
      </w:pPr>
    </w:p>
    <w:p w14:paraId="5D62EF27" w14:textId="4FC81410" w:rsidR="00682FB5" w:rsidRDefault="00682FB5" w:rsidP="008432E8">
      <w:pPr>
        <w:shd w:val="clear" w:color="auto" w:fill="FFFFFF"/>
        <w:spacing w:before="180" w:after="180" w:line="360" w:lineRule="auto"/>
        <w:contextualSpacing/>
        <w:jc w:val="both"/>
        <w:rPr>
          <w:color w:val="000000" w:themeColor="text1"/>
          <w:shd w:val="clear" w:color="auto" w:fill="FFFFFF"/>
        </w:rPr>
      </w:pPr>
    </w:p>
    <w:p w14:paraId="49B68D64" w14:textId="7B5B1E86" w:rsidR="0099156E" w:rsidRDefault="0099156E" w:rsidP="008432E8">
      <w:pPr>
        <w:shd w:val="clear" w:color="auto" w:fill="FFFFFF"/>
        <w:spacing w:before="180" w:after="180" w:line="360" w:lineRule="auto"/>
        <w:contextualSpacing/>
        <w:jc w:val="both"/>
        <w:rPr>
          <w:color w:val="000000" w:themeColor="text1"/>
          <w:shd w:val="clear" w:color="auto" w:fill="FFFFFF"/>
        </w:rPr>
      </w:pPr>
    </w:p>
    <w:p w14:paraId="71AEFBC7" w14:textId="60FE004B" w:rsidR="0099156E" w:rsidRDefault="0099156E" w:rsidP="008432E8">
      <w:pPr>
        <w:shd w:val="clear" w:color="auto" w:fill="FFFFFF"/>
        <w:spacing w:before="180" w:after="180" w:line="360" w:lineRule="auto"/>
        <w:contextualSpacing/>
        <w:jc w:val="both"/>
        <w:rPr>
          <w:color w:val="000000" w:themeColor="text1"/>
          <w:shd w:val="clear" w:color="auto" w:fill="FFFFFF"/>
        </w:rPr>
      </w:pPr>
    </w:p>
    <w:p w14:paraId="0B5E38F5" w14:textId="38BBBE36" w:rsidR="0099156E" w:rsidRDefault="0099156E" w:rsidP="008432E8">
      <w:pPr>
        <w:shd w:val="clear" w:color="auto" w:fill="FFFFFF"/>
        <w:spacing w:before="180" w:after="180" w:line="360" w:lineRule="auto"/>
        <w:contextualSpacing/>
        <w:jc w:val="both"/>
        <w:rPr>
          <w:color w:val="000000" w:themeColor="text1"/>
          <w:shd w:val="clear" w:color="auto" w:fill="FFFFFF"/>
        </w:rPr>
      </w:pPr>
    </w:p>
    <w:p w14:paraId="157CE1BB" w14:textId="72EC7AAD" w:rsidR="0099156E" w:rsidRDefault="0099156E" w:rsidP="008432E8">
      <w:pPr>
        <w:shd w:val="clear" w:color="auto" w:fill="FFFFFF"/>
        <w:spacing w:before="180" w:after="180" w:line="360" w:lineRule="auto"/>
        <w:contextualSpacing/>
        <w:jc w:val="both"/>
        <w:rPr>
          <w:color w:val="000000" w:themeColor="text1"/>
          <w:shd w:val="clear" w:color="auto" w:fill="FFFFFF"/>
        </w:rPr>
      </w:pPr>
    </w:p>
    <w:p w14:paraId="752B4471" w14:textId="17ED9E29" w:rsidR="0099156E" w:rsidRDefault="0099156E" w:rsidP="008432E8">
      <w:pPr>
        <w:shd w:val="clear" w:color="auto" w:fill="FFFFFF"/>
        <w:spacing w:before="180" w:after="180" w:line="360" w:lineRule="auto"/>
        <w:contextualSpacing/>
        <w:jc w:val="both"/>
        <w:rPr>
          <w:color w:val="000000" w:themeColor="text1"/>
          <w:shd w:val="clear" w:color="auto" w:fill="FFFFFF"/>
        </w:rPr>
      </w:pPr>
    </w:p>
    <w:p w14:paraId="11D94F28" w14:textId="58BE7737" w:rsidR="0099156E" w:rsidRDefault="0099156E" w:rsidP="008432E8">
      <w:pPr>
        <w:shd w:val="clear" w:color="auto" w:fill="FFFFFF"/>
        <w:spacing w:before="180" w:after="180" w:line="360" w:lineRule="auto"/>
        <w:contextualSpacing/>
        <w:jc w:val="both"/>
        <w:rPr>
          <w:color w:val="000000" w:themeColor="text1"/>
          <w:shd w:val="clear" w:color="auto" w:fill="FFFFFF"/>
        </w:rPr>
      </w:pPr>
    </w:p>
    <w:p w14:paraId="1DF04FFA" w14:textId="2738D8E1" w:rsidR="0099156E" w:rsidRDefault="0099156E" w:rsidP="008432E8">
      <w:pPr>
        <w:shd w:val="clear" w:color="auto" w:fill="FFFFFF"/>
        <w:spacing w:before="180" w:after="180" w:line="360" w:lineRule="auto"/>
        <w:contextualSpacing/>
        <w:jc w:val="both"/>
        <w:rPr>
          <w:color w:val="000000" w:themeColor="text1"/>
          <w:shd w:val="clear" w:color="auto" w:fill="FFFFFF"/>
        </w:rPr>
      </w:pPr>
    </w:p>
    <w:p w14:paraId="4AE4E5E9" w14:textId="4A5501FF" w:rsidR="0099156E" w:rsidRDefault="0099156E" w:rsidP="008432E8">
      <w:pPr>
        <w:shd w:val="clear" w:color="auto" w:fill="FFFFFF"/>
        <w:spacing w:before="180" w:after="180" w:line="360" w:lineRule="auto"/>
        <w:contextualSpacing/>
        <w:jc w:val="both"/>
        <w:rPr>
          <w:color w:val="000000" w:themeColor="text1"/>
          <w:shd w:val="clear" w:color="auto" w:fill="FFFFFF"/>
        </w:rPr>
      </w:pPr>
    </w:p>
    <w:p w14:paraId="3A3A721F" w14:textId="6F38EAF9" w:rsidR="0099156E" w:rsidRDefault="0099156E" w:rsidP="008432E8">
      <w:pPr>
        <w:shd w:val="clear" w:color="auto" w:fill="FFFFFF"/>
        <w:spacing w:before="180" w:after="180" w:line="360" w:lineRule="auto"/>
        <w:contextualSpacing/>
        <w:jc w:val="both"/>
        <w:rPr>
          <w:color w:val="000000" w:themeColor="text1"/>
          <w:shd w:val="clear" w:color="auto" w:fill="FFFFFF"/>
        </w:rPr>
      </w:pPr>
    </w:p>
    <w:p w14:paraId="759B38E2" w14:textId="5EE21BA1" w:rsidR="0099156E" w:rsidRDefault="0099156E" w:rsidP="008432E8">
      <w:pPr>
        <w:shd w:val="clear" w:color="auto" w:fill="FFFFFF"/>
        <w:spacing w:before="180" w:after="180" w:line="360" w:lineRule="auto"/>
        <w:contextualSpacing/>
        <w:jc w:val="both"/>
        <w:rPr>
          <w:color w:val="000000" w:themeColor="text1"/>
          <w:shd w:val="clear" w:color="auto" w:fill="FFFFFF"/>
        </w:rPr>
      </w:pPr>
    </w:p>
    <w:p w14:paraId="234ACE20" w14:textId="07D264EA" w:rsidR="0099156E" w:rsidRDefault="0099156E" w:rsidP="008432E8">
      <w:pPr>
        <w:shd w:val="clear" w:color="auto" w:fill="FFFFFF"/>
        <w:spacing w:before="180" w:after="180" w:line="360" w:lineRule="auto"/>
        <w:contextualSpacing/>
        <w:jc w:val="both"/>
        <w:rPr>
          <w:color w:val="000000" w:themeColor="text1"/>
          <w:shd w:val="clear" w:color="auto" w:fill="FFFFFF"/>
        </w:rPr>
      </w:pPr>
    </w:p>
    <w:p w14:paraId="2D761CD5" w14:textId="77777777" w:rsidR="0099156E" w:rsidRPr="00682FB5" w:rsidRDefault="0099156E" w:rsidP="008432E8">
      <w:pPr>
        <w:shd w:val="clear" w:color="auto" w:fill="FFFFFF"/>
        <w:spacing w:before="180" w:after="180" w:line="360" w:lineRule="auto"/>
        <w:contextualSpacing/>
        <w:jc w:val="both"/>
        <w:rPr>
          <w:color w:val="000000" w:themeColor="text1"/>
          <w:shd w:val="clear" w:color="auto" w:fill="FFFFFF"/>
        </w:rPr>
      </w:pPr>
    </w:p>
    <w:p w14:paraId="6547B0B1" w14:textId="0A52528B" w:rsidR="00682FB5" w:rsidRPr="00682FB5" w:rsidRDefault="00682FB5" w:rsidP="008432E8">
      <w:pPr>
        <w:shd w:val="clear" w:color="auto" w:fill="FFFFFF"/>
        <w:spacing w:before="180" w:after="180" w:line="360" w:lineRule="auto"/>
        <w:contextualSpacing/>
        <w:jc w:val="both"/>
        <w:rPr>
          <w:color w:val="000000" w:themeColor="text1"/>
          <w:shd w:val="clear" w:color="auto" w:fill="FFFFFF"/>
        </w:rPr>
      </w:pPr>
    </w:p>
    <w:p w14:paraId="0F1EBD72" w14:textId="0CD5256D" w:rsidR="00644A0E" w:rsidRPr="00825C70" w:rsidRDefault="00682FB5" w:rsidP="008432E8">
      <w:pPr>
        <w:pStyle w:val="Heading1"/>
        <w:spacing w:line="360" w:lineRule="auto"/>
        <w:rPr>
          <w:sz w:val="32"/>
          <w:szCs w:val="32"/>
          <w:shd w:val="clear" w:color="auto" w:fill="FFFFFF"/>
        </w:rPr>
      </w:pPr>
      <w:bookmarkStart w:id="2" w:name="_References"/>
      <w:bookmarkEnd w:id="2"/>
      <w:r>
        <w:rPr>
          <w:sz w:val="32"/>
          <w:szCs w:val="32"/>
          <w:shd w:val="clear" w:color="auto" w:fill="FFFFFF"/>
        </w:rPr>
        <w:lastRenderedPageBreak/>
        <w:t>References</w:t>
      </w:r>
    </w:p>
    <w:p w14:paraId="4E9A3036" w14:textId="41D2D6D8" w:rsidR="00BD6125" w:rsidRDefault="00BD6125" w:rsidP="008432E8">
      <w:pPr>
        <w:pStyle w:val="NormalWeb"/>
        <w:spacing w:before="0" w:beforeAutospacing="0" w:after="0" w:afterAutospacing="0" w:line="360" w:lineRule="auto"/>
        <w:ind w:left="720" w:hanging="720"/>
      </w:pPr>
      <w:r w:rsidRPr="00BD6125">
        <w:t xml:space="preserve">Analyzing the $1.4 Trillion Global Pharmaceutical Industry 2022 - ResearchAndMarkets.com. (2022, November 30). Www.businesswire.com. </w:t>
      </w:r>
      <w:hyperlink r:id="rId16" w:history="1">
        <w:r w:rsidRPr="003C1E26">
          <w:rPr>
            <w:rStyle w:val="Hyperlink"/>
          </w:rPr>
          <w:t>https://www.businesswire.com/news/home/20221130005610/en/Analyzing-the-1.4-Trillion-Global-Pharmaceutical-Industry-2022---ResearchAndMarkets.com</w:t>
        </w:r>
      </w:hyperlink>
    </w:p>
    <w:p w14:paraId="61361DE5" w14:textId="77777777" w:rsidR="00BD6125" w:rsidRDefault="00BD6125" w:rsidP="008432E8">
      <w:pPr>
        <w:pStyle w:val="NormalWeb"/>
        <w:spacing w:before="0" w:beforeAutospacing="0" w:after="0" w:afterAutospacing="0" w:line="360" w:lineRule="auto"/>
      </w:pPr>
    </w:p>
    <w:p w14:paraId="5C53D6CC" w14:textId="00448F32" w:rsidR="00296F05" w:rsidRPr="00793744" w:rsidRDefault="00296F05" w:rsidP="008432E8">
      <w:pPr>
        <w:pStyle w:val="NormalWeb"/>
        <w:spacing w:before="0" w:beforeAutospacing="0" w:after="0" w:afterAutospacing="0" w:line="360" w:lineRule="auto"/>
        <w:ind w:left="720" w:hanging="720"/>
        <w:rPr>
          <w:color w:val="0000FF"/>
          <w:u w:val="single"/>
        </w:rPr>
      </w:pPr>
      <w:r w:rsidRPr="00793744">
        <w:t xml:space="preserve">Business Ethics | Merck </w:t>
      </w:r>
      <w:proofErr w:type="spellStart"/>
      <w:r w:rsidRPr="00793744">
        <w:t>KGaA</w:t>
      </w:r>
      <w:proofErr w:type="spellEnd"/>
      <w:r w:rsidRPr="00793744">
        <w:t>, Darmstadt, Germany. (2022). Emdgroup.com.</w:t>
      </w:r>
      <w:r w:rsidRPr="00793744">
        <w:t xml:space="preserve"> </w:t>
      </w:r>
      <w:r w:rsidRPr="00793744">
        <w:rPr>
          <w:rStyle w:val="Hyperlink"/>
        </w:rPr>
        <w:fldChar w:fldCharType="begin"/>
      </w:r>
      <w:r w:rsidRPr="00793744">
        <w:rPr>
          <w:rStyle w:val="Hyperlink"/>
        </w:rPr>
        <w:instrText xml:space="preserve"> HYPERLINK "</w:instrText>
      </w:r>
      <w:r w:rsidRPr="00793744">
        <w:rPr>
          <w:rStyle w:val="Hyperlink"/>
        </w:rPr>
        <w:instrText>https://www.emdgroup.com/en/sustainability/business-ethics.html</w:instrText>
      </w:r>
      <w:r w:rsidRPr="00793744">
        <w:rPr>
          <w:rStyle w:val="Hyperlink"/>
        </w:rPr>
        <w:instrText xml:space="preserve">" </w:instrText>
      </w:r>
      <w:r w:rsidRPr="00793744">
        <w:rPr>
          <w:rStyle w:val="Hyperlink"/>
        </w:rPr>
        <w:fldChar w:fldCharType="separate"/>
      </w:r>
      <w:r w:rsidRPr="00793744">
        <w:rPr>
          <w:rStyle w:val="Hyperlink"/>
        </w:rPr>
        <w:t>https://www.emdgroup.com/en/sustainability/busi</w:t>
      </w:r>
      <w:r w:rsidRPr="00793744">
        <w:rPr>
          <w:rStyle w:val="Hyperlink"/>
        </w:rPr>
        <w:t>n</w:t>
      </w:r>
      <w:r w:rsidRPr="00793744">
        <w:rPr>
          <w:rStyle w:val="Hyperlink"/>
        </w:rPr>
        <w:t>ess-ethics.html</w:t>
      </w:r>
      <w:r w:rsidRPr="00793744">
        <w:rPr>
          <w:rStyle w:val="Hyperlink"/>
        </w:rPr>
        <w:fldChar w:fldCharType="end"/>
      </w:r>
    </w:p>
    <w:p w14:paraId="0AA34CDA" w14:textId="77777777" w:rsidR="00A43B34" w:rsidRDefault="00A43B34" w:rsidP="008432E8">
      <w:pPr>
        <w:pStyle w:val="NormalWeb"/>
        <w:spacing w:before="0" w:beforeAutospacing="0" w:after="0" w:afterAutospacing="0" w:line="360" w:lineRule="auto"/>
        <w:ind w:left="720" w:hanging="720"/>
      </w:pPr>
    </w:p>
    <w:p w14:paraId="58108062" w14:textId="55C8748F" w:rsidR="00A43B34" w:rsidRPr="00A43B34" w:rsidRDefault="00A43B34" w:rsidP="008432E8">
      <w:pPr>
        <w:pStyle w:val="NormalWeb"/>
        <w:spacing w:before="0" w:beforeAutospacing="0" w:after="0" w:afterAutospacing="0" w:line="360" w:lineRule="auto"/>
        <w:ind w:left="720" w:hanging="720"/>
      </w:pPr>
      <w:r w:rsidRPr="00A43B34">
        <w:t>CFA Program Curriculum. (2022). FINANCIAL STATEMENT ANALYSIS AND CORPORATE ISSUERS (Wiley, Ed.; Vol. 3) [Review of FINANCIAL STATEMENT ANALYSIS AND CORPORATE ISSUERS].</w:t>
      </w:r>
    </w:p>
    <w:p w14:paraId="4D3B6C7B" w14:textId="77777777" w:rsidR="00825C70" w:rsidRDefault="00825C70" w:rsidP="008432E8">
      <w:pPr>
        <w:pStyle w:val="NormalWeb"/>
        <w:spacing w:before="0" w:beforeAutospacing="0" w:after="0" w:afterAutospacing="0" w:line="360" w:lineRule="auto"/>
        <w:ind w:left="720" w:hanging="720"/>
      </w:pPr>
    </w:p>
    <w:p w14:paraId="3EFCB188" w14:textId="680970DB" w:rsidR="00793744" w:rsidRPr="00793744" w:rsidRDefault="00793744" w:rsidP="008432E8">
      <w:pPr>
        <w:pStyle w:val="NormalWeb"/>
        <w:spacing w:before="0" w:beforeAutospacing="0" w:after="0" w:afterAutospacing="0" w:line="360" w:lineRule="auto"/>
        <w:ind w:left="720" w:hanging="720"/>
        <w:rPr>
          <w:rStyle w:val="Hyperlink"/>
        </w:rPr>
      </w:pPr>
      <w:r w:rsidRPr="00793744">
        <w:t xml:space="preserve">“Diversity, Equity and Inclusion - Merck </w:t>
      </w:r>
      <w:proofErr w:type="spellStart"/>
      <w:r w:rsidRPr="00793744">
        <w:t>KGaA</w:t>
      </w:r>
      <w:proofErr w:type="spellEnd"/>
      <w:r w:rsidRPr="00793744">
        <w:t xml:space="preserve">, Darmstadt, Germany Annual Report 2021.” Merck </w:t>
      </w:r>
      <w:proofErr w:type="spellStart"/>
      <w:r w:rsidRPr="00793744">
        <w:t>KGaA</w:t>
      </w:r>
      <w:proofErr w:type="spellEnd"/>
      <w:r w:rsidRPr="00793744">
        <w:t xml:space="preserve">, Darmstadt, Germany Annual Report 2021, 2021, </w:t>
      </w:r>
      <w:hyperlink r:id="rId17" w:history="1">
        <w:r w:rsidRPr="00793744">
          <w:rPr>
            <w:rStyle w:val="Hyperlink"/>
          </w:rPr>
          <w:t>www.emdgroup.com/en/annualreport/2021/management-report/non-financial-statement/employee-related-matters/diversity-equity-and-inclusion.html</w:t>
        </w:r>
      </w:hyperlink>
    </w:p>
    <w:p w14:paraId="31B9ED08" w14:textId="77777777" w:rsidR="00825C70" w:rsidRDefault="00825C70" w:rsidP="008432E8">
      <w:pPr>
        <w:pStyle w:val="NormalWeb"/>
        <w:spacing w:before="0" w:beforeAutospacing="0" w:after="0" w:afterAutospacing="0" w:line="360" w:lineRule="auto"/>
        <w:ind w:left="720" w:hanging="720"/>
      </w:pPr>
    </w:p>
    <w:p w14:paraId="1018BCB2" w14:textId="7BBD8C3D" w:rsidR="00AB3953" w:rsidRPr="00AB3953" w:rsidRDefault="00AB3953" w:rsidP="008432E8">
      <w:pPr>
        <w:pStyle w:val="NormalWeb"/>
        <w:spacing w:before="0" w:beforeAutospacing="0" w:after="0" w:afterAutospacing="0" w:line="360" w:lineRule="auto"/>
        <w:ind w:left="720" w:hanging="720"/>
      </w:pPr>
      <w:r w:rsidRPr="00AB3953">
        <w:t xml:space="preserve">Diversity &amp; inclusion - Merck </w:t>
      </w:r>
      <w:proofErr w:type="spellStart"/>
      <w:r w:rsidRPr="00AB3953">
        <w:t>KGaA</w:t>
      </w:r>
      <w:proofErr w:type="spellEnd"/>
      <w:r w:rsidRPr="00AB3953">
        <w:t xml:space="preserve">, Darmstadt, Germany Sustainability Report 2021. (2021). Merck </w:t>
      </w:r>
      <w:proofErr w:type="spellStart"/>
      <w:r w:rsidRPr="00AB3953">
        <w:t>KGaA</w:t>
      </w:r>
      <w:proofErr w:type="spellEnd"/>
      <w:r w:rsidRPr="00AB3953">
        <w:t xml:space="preserve">, Darmstadt, Germany Sustainability Report 2021. </w:t>
      </w:r>
      <w:hyperlink r:id="rId18" w:history="1">
        <w:r w:rsidRPr="003C1E26">
          <w:rPr>
            <w:rStyle w:val="Hyperlink"/>
          </w:rPr>
          <w:t>https://www.emdgroup.com/en/sustainability-report/2021/employees/diversity-inclusion.html</w:t>
        </w:r>
      </w:hyperlink>
    </w:p>
    <w:p w14:paraId="2692A6FA" w14:textId="77777777" w:rsidR="00825C70" w:rsidRDefault="00825C70" w:rsidP="008432E8">
      <w:pPr>
        <w:pStyle w:val="NormalWeb"/>
        <w:spacing w:before="0" w:beforeAutospacing="0" w:after="0" w:afterAutospacing="0" w:line="360" w:lineRule="auto"/>
        <w:ind w:left="720" w:hanging="720"/>
      </w:pPr>
    </w:p>
    <w:p w14:paraId="135700DB" w14:textId="44C722E6" w:rsidR="00793744" w:rsidRDefault="00793744" w:rsidP="008432E8">
      <w:pPr>
        <w:pStyle w:val="NormalWeb"/>
        <w:spacing w:before="0" w:beforeAutospacing="0" w:after="0" w:afterAutospacing="0" w:line="360" w:lineRule="auto"/>
        <w:ind w:left="720" w:hanging="720"/>
      </w:pPr>
      <w:r w:rsidRPr="00793744">
        <w:t xml:space="preserve">Environmental, Social &amp; Governance (ESG). (n.d.). </w:t>
      </w:r>
    </w:p>
    <w:p w14:paraId="6E669B6F" w14:textId="06FF8326" w:rsidR="00793744" w:rsidRPr="00793744" w:rsidRDefault="00793744" w:rsidP="008432E8">
      <w:pPr>
        <w:pStyle w:val="NormalWeb"/>
        <w:spacing w:before="0" w:beforeAutospacing="0" w:after="0" w:afterAutospacing="0" w:line="360" w:lineRule="auto"/>
        <w:ind w:left="720"/>
        <w:rPr>
          <w:color w:val="0000FF"/>
          <w:u w:val="single"/>
        </w:rPr>
      </w:pPr>
      <w:r w:rsidRPr="00793744">
        <w:rPr>
          <w:rStyle w:val="Hyperlink"/>
        </w:rPr>
        <w:t>https://www.merck.com/wp-content/uploads/sites/5/2022/08/MRK-ESG-report-21-22.pdf</w:t>
      </w:r>
    </w:p>
    <w:p w14:paraId="56A748A0" w14:textId="31004A4B" w:rsidR="00825C70" w:rsidRDefault="00825C70" w:rsidP="008432E8">
      <w:pPr>
        <w:pStyle w:val="NormalWeb"/>
        <w:spacing w:before="0" w:beforeAutospacing="0" w:after="0" w:afterAutospacing="0" w:line="360" w:lineRule="auto"/>
        <w:ind w:left="720" w:hanging="720"/>
      </w:pPr>
    </w:p>
    <w:p w14:paraId="1B711E0C" w14:textId="77777777" w:rsidR="00772667" w:rsidRDefault="00772667" w:rsidP="008432E8">
      <w:pPr>
        <w:pStyle w:val="NormalWeb"/>
        <w:spacing w:before="0" w:beforeAutospacing="0" w:after="0" w:afterAutospacing="0" w:line="360" w:lineRule="auto"/>
        <w:ind w:left="720" w:hanging="720"/>
      </w:pPr>
      <w:r w:rsidRPr="00772667">
        <w:t xml:space="preserve">Financial information. (n.d.). Merck.com. </w:t>
      </w:r>
    </w:p>
    <w:p w14:paraId="153B9D24" w14:textId="7F7E82F4" w:rsidR="00772667" w:rsidRPr="00772667" w:rsidRDefault="00772667" w:rsidP="008432E8">
      <w:pPr>
        <w:pStyle w:val="NormalWeb"/>
        <w:spacing w:before="0" w:beforeAutospacing="0" w:after="0" w:afterAutospacing="0" w:line="360" w:lineRule="auto"/>
        <w:ind w:left="720"/>
      </w:pPr>
      <w:hyperlink r:id="rId19" w:history="1">
        <w:r w:rsidRPr="003C1E26">
          <w:rPr>
            <w:rStyle w:val="Hyperlink"/>
          </w:rPr>
          <w:t>https://www.merck.com/investor-relations/financial-information/</w:t>
        </w:r>
      </w:hyperlink>
    </w:p>
    <w:p w14:paraId="732EE620" w14:textId="77777777" w:rsidR="00772667" w:rsidRDefault="00772667" w:rsidP="008432E8">
      <w:pPr>
        <w:pStyle w:val="NormalWeb"/>
        <w:spacing w:before="0" w:beforeAutospacing="0" w:after="0" w:afterAutospacing="0" w:line="360" w:lineRule="auto"/>
        <w:ind w:left="720" w:hanging="720"/>
      </w:pPr>
    </w:p>
    <w:p w14:paraId="4DFAD025" w14:textId="0EBE39FB" w:rsidR="00120E3D" w:rsidRDefault="00120E3D" w:rsidP="008432E8">
      <w:pPr>
        <w:pStyle w:val="NormalWeb"/>
        <w:spacing w:before="0" w:beforeAutospacing="0" w:after="0" w:afterAutospacing="0" w:line="360" w:lineRule="auto"/>
        <w:ind w:left="720" w:hanging="720"/>
      </w:pPr>
      <w:r w:rsidRPr="00120E3D">
        <w:lastRenderedPageBreak/>
        <w:t>Hawley, J. (2019). </w:t>
      </w:r>
      <w:proofErr w:type="gramStart"/>
      <w:r w:rsidRPr="00120E3D">
        <w:t>How</w:t>
      </w:r>
      <w:proofErr w:type="gramEnd"/>
      <w:r w:rsidRPr="00120E3D">
        <w:t xml:space="preserve"> Pharmaceutical Companies Price Their Drugs. Investopedia. </w:t>
      </w:r>
      <w:hyperlink r:id="rId20" w:history="1">
        <w:r w:rsidRPr="003C1E26">
          <w:rPr>
            <w:rStyle w:val="Hyperlink"/>
          </w:rPr>
          <w:t>https://www.investopedia.com/articles/investing/020316/how-pharmaceutical-companies-price-their-drugs.asp</w:t>
        </w:r>
      </w:hyperlink>
    </w:p>
    <w:p w14:paraId="4F247B62" w14:textId="77777777" w:rsidR="00120E3D" w:rsidRDefault="00120E3D" w:rsidP="008432E8">
      <w:pPr>
        <w:pStyle w:val="NormalWeb"/>
        <w:spacing w:before="0" w:beforeAutospacing="0" w:after="0" w:afterAutospacing="0" w:line="360" w:lineRule="auto"/>
      </w:pPr>
    </w:p>
    <w:p w14:paraId="033EF2A0" w14:textId="77777777" w:rsidR="00825C70" w:rsidRDefault="00825C70" w:rsidP="008432E8">
      <w:pPr>
        <w:pStyle w:val="NormalWeb"/>
        <w:spacing w:before="0" w:beforeAutospacing="0" w:after="0" w:afterAutospacing="0" w:line="360" w:lineRule="auto"/>
        <w:ind w:left="720" w:hanging="720"/>
      </w:pPr>
      <w:r w:rsidRPr="00825C70">
        <w:t xml:space="preserve">History. (n.d.). MSD. </w:t>
      </w:r>
    </w:p>
    <w:p w14:paraId="6CD1DD03" w14:textId="6F2FA093" w:rsidR="00825C70" w:rsidRDefault="00825C70" w:rsidP="008432E8">
      <w:pPr>
        <w:pStyle w:val="NormalWeb"/>
        <w:spacing w:before="0" w:beforeAutospacing="0" w:after="0" w:afterAutospacing="0" w:line="360" w:lineRule="auto"/>
        <w:ind w:left="720"/>
      </w:pPr>
      <w:hyperlink r:id="rId21" w:history="1">
        <w:r w:rsidRPr="003C1E26">
          <w:rPr>
            <w:rStyle w:val="Hyperlink"/>
          </w:rPr>
          <w:t>https://www.msd.com/company-overview/history/</w:t>
        </w:r>
      </w:hyperlink>
    </w:p>
    <w:p w14:paraId="1130274F" w14:textId="77777777" w:rsidR="00825C70" w:rsidRPr="00825C70" w:rsidRDefault="00825C70" w:rsidP="008432E8">
      <w:pPr>
        <w:pStyle w:val="NormalWeb"/>
        <w:spacing w:before="0" w:beforeAutospacing="0" w:after="0" w:afterAutospacing="0" w:line="360" w:lineRule="auto"/>
      </w:pPr>
    </w:p>
    <w:p w14:paraId="1E99C988" w14:textId="631C7AFE" w:rsidR="00825C70" w:rsidRDefault="00825C70" w:rsidP="008432E8">
      <w:pPr>
        <w:pStyle w:val="NormalWeb"/>
        <w:spacing w:before="0" w:beforeAutospacing="0" w:after="0" w:afterAutospacing="0" w:line="360" w:lineRule="auto"/>
        <w:ind w:left="720" w:hanging="720"/>
      </w:pPr>
      <w:r w:rsidRPr="00825C70">
        <w:t xml:space="preserve">Inline XBRL Viewer. (n.d.). Www.sec.gov. Retrieved December 8, 2022, from </w:t>
      </w:r>
      <w:hyperlink r:id="rId22" w:history="1">
        <w:r w:rsidRPr="003C1E26">
          <w:rPr>
            <w:rStyle w:val="Hyperlink"/>
          </w:rPr>
          <w:t>https://www.sec.gov/ix?doc=/Archives/edgar/data/310158/000031015822000034/mrk-20220930.htm</w:t>
        </w:r>
      </w:hyperlink>
    </w:p>
    <w:p w14:paraId="31163C63" w14:textId="77777777" w:rsidR="00825C70" w:rsidRDefault="00825C70" w:rsidP="008432E8">
      <w:pPr>
        <w:pStyle w:val="NormalWeb"/>
        <w:spacing w:before="0" w:beforeAutospacing="0" w:after="0" w:afterAutospacing="0" w:line="360" w:lineRule="auto"/>
        <w:ind w:left="720" w:hanging="720"/>
      </w:pPr>
    </w:p>
    <w:p w14:paraId="25E104BD" w14:textId="6A9A009B" w:rsidR="00793744" w:rsidRDefault="00793744" w:rsidP="008432E8">
      <w:pPr>
        <w:pStyle w:val="NormalWeb"/>
        <w:spacing w:before="0" w:beforeAutospacing="0" w:after="0" w:afterAutospacing="0" w:line="360" w:lineRule="auto"/>
        <w:ind w:left="720" w:hanging="720"/>
      </w:pPr>
      <w:r w:rsidRPr="00793744">
        <w:t xml:space="preserve">Merck Aims to Significantly Increase the Proportion of Women in Management. (2011, February 14). Fierce Pharma. </w:t>
      </w:r>
    </w:p>
    <w:p w14:paraId="067CD3C9" w14:textId="7DD58960" w:rsidR="00AB3953" w:rsidRPr="00793744" w:rsidRDefault="00793744" w:rsidP="008432E8">
      <w:pPr>
        <w:pStyle w:val="NormalWeb"/>
        <w:spacing w:before="0" w:beforeAutospacing="0" w:after="0" w:afterAutospacing="0" w:line="360" w:lineRule="auto"/>
        <w:ind w:left="720"/>
      </w:pPr>
      <w:hyperlink r:id="rId23" w:history="1">
        <w:r w:rsidRPr="003C1E26">
          <w:rPr>
            <w:rStyle w:val="Hyperlink"/>
          </w:rPr>
          <w:t>https://www.fiercepharma.com/pharma/merck-aims-to-significantly-increase-proportion-of-women-management</w:t>
        </w:r>
      </w:hyperlink>
    </w:p>
    <w:p w14:paraId="45188BFF" w14:textId="77777777" w:rsidR="00825C70" w:rsidRDefault="00825C70" w:rsidP="008432E8">
      <w:pPr>
        <w:pStyle w:val="NormalWeb"/>
        <w:spacing w:before="0" w:beforeAutospacing="0" w:after="0" w:afterAutospacing="0" w:line="360" w:lineRule="auto"/>
        <w:ind w:left="720" w:hanging="720"/>
      </w:pPr>
    </w:p>
    <w:p w14:paraId="613C007D" w14:textId="3D176207" w:rsidR="009B25B6" w:rsidRDefault="009B25B6" w:rsidP="008432E8">
      <w:pPr>
        <w:pStyle w:val="NormalWeb"/>
        <w:spacing w:before="0" w:beforeAutospacing="0" w:after="0" w:afterAutospacing="0" w:line="360" w:lineRule="auto"/>
        <w:ind w:left="720" w:hanging="720"/>
      </w:pPr>
      <w:r w:rsidRPr="009B25B6">
        <w:t xml:space="preserve">Merck Number of Employees, Statistics, Diversity, Demographics, and Facts - </w:t>
      </w:r>
      <w:proofErr w:type="spellStart"/>
      <w:r w:rsidRPr="009B25B6">
        <w:t>Zippia</w:t>
      </w:r>
      <w:proofErr w:type="spellEnd"/>
      <w:r w:rsidRPr="009B25B6">
        <w:t xml:space="preserve">. (2022, March 25). Www.zippia.com. </w:t>
      </w:r>
    </w:p>
    <w:p w14:paraId="7E8C6BAE" w14:textId="291C624D" w:rsidR="009B25B6" w:rsidRPr="009B25B6" w:rsidRDefault="009B25B6" w:rsidP="008432E8">
      <w:pPr>
        <w:pStyle w:val="NormalWeb"/>
        <w:spacing w:before="0" w:beforeAutospacing="0" w:after="0" w:afterAutospacing="0" w:line="360" w:lineRule="auto"/>
        <w:ind w:left="720"/>
      </w:pPr>
      <w:hyperlink r:id="rId24" w:history="1">
        <w:r w:rsidRPr="003C1E26">
          <w:rPr>
            <w:rStyle w:val="Hyperlink"/>
          </w:rPr>
          <w:t>https://www.zippia.com/merck-careers-7373/demographics/</w:t>
        </w:r>
      </w:hyperlink>
    </w:p>
    <w:p w14:paraId="2499D0E0" w14:textId="7F5B0BD0" w:rsidR="00825C70" w:rsidRDefault="00825C70" w:rsidP="008432E8">
      <w:pPr>
        <w:pStyle w:val="NormalWeb"/>
        <w:spacing w:before="0" w:beforeAutospacing="0" w:after="0" w:afterAutospacing="0" w:line="360" w:lineRule="auto"/>
        <w:ind w:left="720" w:hanging="720"/>
      </w:pPr>
    </w:p>
    <w:p w14:paraId="65FAA6E6" w14:textId="77777777" w:rsidR="0023495F" w:rsidRDefault="0023495F" w:rsidP="008432E8">
      <w:pPr>
        <w:pStyle w:val="NormalWeb"/>
        <w:spacing w:before="0" w:beforeAutospacing="0" w:after="0" w:afterAutospacing="0" w:line="360" w:lineRule="auto"/>
        <w:ind w:left="720" w:hanging="720"/>
      </w:pPr>
      <w:r w:rsidRPr="0023495F">
        <w:t>Merck &amp; Co. Inc. (</w:t>
      </w:r>
      <w:proofErr w:type="gramStart"/>
      <w:r w:rsidRPr="0023495F">
        <w:t>NYSE:MRK</w:t>
      </w:r>
      <w:proofErr w:type="gramEnd"/>
      <w:r w:rsidRPr="0023495F">
        <w:t xml:space="preserve">) | Analysis of Debt. (n.d.). Stock Analysis on Net. Retrieved December 9, 2022, from </w:t>
      </w:r>
    </w:p>
    <w:p w14:paraId="181AD7C7" w14:textId="46192EF9" w:rsidR="0023495F" w:rsidRDefault="0023495F" w:rsidP="008432E8">
      <w:pPr>
        <w:pStyle w:val="NormalWeb"/>
        <w:spacing w:before="0" w:beforeAutospacing="0" w:after="0" w:afterAutospacing="0" w:line="360" w:lineRule="auto"/>
        <w:ind w:left="720"/>
      </w:pPr>
      <w:hyperlink r:id="rId25" w:history="1">
        <w:r w:rsidRPr="003C1E26">
          <w:rPr>
            <w:rStyle w:val="Hyperlink"/>
          </w:rPr>
          <w:t>https://www.stock-analysis-on.net/NYSE/Company/Merck-Co-Inc/Analysis/Debt</w:t>
        </w:r>
      </w:hyperlink>
    </w:p>
    <w:p w14:paraId="62E11974" w14:textId="77777777" w:rsidR="0023495F" w:rsidRDefault="0023495F" w:rsidP="008432E8">
      <w:pPr>
        <w:pStyle w:val="NormalWeb"/>
        <w:spacing w:before="0" w:beforeAutospacing="0" w:after="0" w:afterAutospacing="0" w:line="360" w:lineRule="auto"/>
      </w:pPr>
    </w:p>
    <w:p w14:paraId="18FFA573" w14:textId="193C3B94" w:rsidR="00B77886" w:rsidRDefault="00B77886" w:rsidP="008432E8">
      <w:pPr>
        <w:pStyle w:val="NormalWeb"/>
        <w:spacing w:before="0" w:beforeAutospacing="0" w:after="0" w:afterAutospacing="0" w:line="360" w:lineRule="auto"/>
        <w:ind w:left="720" w:hanging="720"/>
      </w:pPr>
      <w:r w:rsidRPr="00B77886">
        <w:t xml:space="preserve">Merck &amp; Co - Merck History, Products &amp; Controversy. (n.d.). Drug Dangers. </w:t>
      </w:r>
      <w:hyperlink r:id="rId26" w:history="1">
        <w:r w:rsidRPr="003C1E26">
          <w:rPr>
            <w:rStyle w:val="Hyperlink"/>
          </w:rPr>
          <w:t>https://www.drugdangers.com/manufacturers/merck/</w:t>
        </w:r>
      </w:hyperlink>
    </w:p>
    <w:p w14:paraId="053CA4B5" w14:textId="4F2BD9DA" w:rsidR="00B77886" w:rsidRDefault="00B77886" w:rsidP="008432E8">
      <w:pPr>
        <w:pStyle w:val="NormalWeb"/>
        <w:spacing w:before="0" w:beforeAutospacing="0" w:after="0" w:afterAutospacing="0" w:line="360" w:lineRule="auto"/>
        <w:ind w:left="720" w:hanging="720"/>
      </w:pPr>
    </w:p>
    <w:p w14:paraId="2558762B" w14:textId="77777777" w:rsidR="0023495F" w:rsidRDefault="0023495F" w:rsidP="008432E8">
      <w:pPr>
        <w:pStyle w:val="NormalWeb"/>
        <w:spacing w:before="0" w:beforeAutospacing="0" w:after="0" w:afterAutospacing="0" w:line="360" w:lineRule="auto"/>
        <w:ind w:left="720" w:hanging="720"/>
      </w:pPr>
      <w:r w:rsidRPr="0023495F">
        <w:t xml:space="preserve">Merck Long Term Debt 2010-2022 | MRK. (n.d.). Www.macrotrends.net. Retrieved December 9, 2022, from </w:t>
      </w:r>
    </w:p>
    <w:p w14:paraId="2A12708C" w14:textId="0C19EB8E" w:rsidR="0023495F" w:rsidRDefault="0023495F" w:rsidP="008432E8">
      <w:pPr>
        <w:pStyle w:val="NormalWeb"/>
        <w:spacing w:before="0" w:beforeAutospacing="0" w:after="0" w:afterAutospacing="0" w:line="360" w:lineRule="auto"/>
        <w:ind w:left="720"/>
      </w:pPr>
      <w:hyperlink r:id="rId27" w:history="1">
        <w:r w:rsidRPr="003C1E26">
          <w:rPr>
            <w:rStyle w:val="Hyperlink"/>
          </w:rPr>
          <w:t>https://www.macrotrends.net/stocks/charts/MRK/merck/long-term-debt</w:t>
        </w:r>
      </w:hyperlink>
    </w:p>
    <w:p w14:paraId="207481A1" w14:textId="596E5052" w:rsidR="0023495F" w:rsidRPr="0023495F" w:rsidRDefault="0023495F" w:rsidP="008432E8">
      <w:pPr>
        <w:pStyle w:val="NormalWeb"/>
        <w:spacing w:before="0" w:beforeAutospacing="0" w:after="0" w:afterAutospacing="0" w:line="360" w:lineRule="auto"/>
      </w:pPr>
    </w:p>
    <w:p w14:paraId="60516067" w14:textId="77777777" w:rsidR="0023495F" w:rsidRDefault="0023495F" w:rsidP="008432E8">
      <w:pPr>
        <w:pStyle w:val="NormalWeb"/>
        <w:spacing w:before="0" w:beforeAutospacing="0" w:after="0" w:afterAutospacing="0" w:line="360" w:lineRule="auto"/>
      </w:pPr>
    </w:p>
    <w:p w14:paraId="5D7C1669" w14:textId="59BF8D3A" w:rsidR="00793744" w:rsidRPr="00793744" w:rsidRDefault="00793744" w:rsidP="008432E8">
      <w:pPr>
        <w:pStyle w:val="NormalWeb"/>
        <w:spacing w:before="0" w:beforeAutospacing="0" w:after="0" w:afterAutospacing="0" w:line="360" w:lineRule="auto"/>
        <w:ind w:left="720" w:hanging="720"/>
        <w:rPr>
          <w:rStyle w:val="Hyperlink"/>
        </w:rPr>
      </w:pPr>
      <w:r w:rsidRPr="00793744">
        <w:t xml:space="preserve">Liu, B. (2022). Asia’s Rise in The Global Pharma Industry. Pharmaceutical Executive, 42(7). </w:t>
      </w:r>
      <w:r w:rsidRPr="00793744">
        <w:rPr>
          <w:rStyle w:val="Hyperlink"/>
        </w:rPr>
        <w:t>https://www.pharmexec.com/view/asia-s-rise-in-the-global-pharma-industry</w:t>
      </w:r>
    </w:p>
    <w:p w14:paraId="559EF2E6" w14:textId="77777777" w:rsidR="00825C70" w:rsidRDefault="00793744" w:rsidP="008432E8">
      <w:pPr>
        <w:pStyle w:val="NormalWeb"/>
        <w:spacing w:before="0" w:beforeAutospacing="0" w:after="0" w:afterAutospacing="0" w:line="360" w:lineRule="auto"/>
        <w:ind w:left="720" w:hanging="720"/>
      </w:pPr>
      <w:r w:rsidRPr="00AB3953">
        <w:t>‌</w:t>
      </w:r>
    </w:p>
    <w:p w14:paraId="7111029D" w14:textId="3BEEDCF2" w:rsidR="00AB3953" w:rsidRDefault="00AB3953" w:rsidP="008432E8">
      <w:pPr>
        <w:pStyle w:val="NormalWeb"/>
        <w:spacing w:before="0" w:beforeAutospacing="0" w:after="0" w:afterAutospacing="0" w:line="360" w:lineRule="auto"/>
        <w:ind w:left="720" w:hanging="720"/>
      </w:pPr>
      <w:r w:rsidRPr="00AB3953">
        <w:t xml:space="preserve">Pharmaceutical Scientist Demographics and Statistics [2022]: Number </w:t>
      </w:r>
      <w:proofErr w:type="gramStart"/>
      <w:r w:rsidRPr="00AB3953">
        <w:t>Of</w:t>
      </w:r>
      <w:proofErr w:type="gramEnd"/>
      <w:r w:rsidRPr="00AB3953">
        <w:t xml:space="preserve"> Pharmaceutical Scientists In The US. (2021, January 29). Www.zippia.com. </w:t>
      </w:r>
      <w:hyperlink r:id="rId28" w:history="1">
        <w:r w:rsidRPr="003C1E26">
          <w:rPr>
            <w:rStyle w:val="Hyperlink"/>
          </w:rPr>
          <w:t>https://www.zippia.com/pharmaceutical-scientist-jobs/demographics/</w:t>
        </w:r>
      </w:hyperlink>
    </w:p>
    <w:p w14:paraId="528E98C4" w14:textId="77777777" w:rsidR="000F2930" w:rsidRDefault="000F2930" w:rsidP="008432E8">
      <w:pPr>
        <w:pStyle w:val="NormalWeb"/>
        <w:spacing w:before="0" w:beforeAutospacing="0" w:after="0" w:afterAutospacing="0" w:line="360" w:lineRule="auto"/>
        <w:ind w:left="720" w:hanging="720"/>
      </w:pPr>
    </w:p>
    <w:p w14:paraId="26E8C390" w14:textId="77777777" w:rsidR="000F2930" w:rsidRDefault="000F2930" w:rsidP="008432E8">
      <w:pPr>
        <w:pStyle w:val="NormalWeb"/>
        <w:spacing w:before="0" w:beforeAutospacing="0" w:after="0" w:afterAutospacing="0" w:line="360" w:lineRule="auto"/>
        <w:ind w:left="720" w:hanging="720"/>
      </w:pPr>
      <w:proofErr w:type="spellStart"/>
      <w:r w:rsidRPr="000F2930">
        <w:t>ReportLinker</w:t>
      </w:r>
      <w:proofErr w:type="spellEnd"/>
      <w:r w:rsidRPr="000F2930">
        <w:t xml:space="preserve">. (2022, March 4). Pharmaceuticals Global Market Report 2022. GlobeNewswire News Room. </w:t>
      </w:r>
    </w:p>
    <w:p w14:paraId="7E82386C" w14:textId="64F6AE91" w:rsidR="000F2930" w:rsidRPr="000F2930" w:rsidRDefault="000F2930" w:rsidP="008432E8">
      <w:pPr>
        <w:pStyle w:val="NormalWeb"/>
        <w:spacing w:before="0" w:beforeAutospacing="0" w:after="0" w:afterAutospacing="0" w:line="360" w:lineRule="auto"/>
        <w:ind w:left="720"/>
      </w:pPr>
      <w:hyperlink r:id="rId29" w:history="1">
        <w:r w:rsidRPr="003C1E26">
          <w:rPr>
            <w:rStyle w:val="Hyperlink"/>
          </w:rPr>
          <w:t>https://www.globenewswire.com/news-release/2022/03/04/2396935/0/en/Pharmaceuticals-Global-Market-Report-2022.html</w:t>
        </w:r>
      </w:hyperlink>
    </w:p>
    <w:p w14:paraId="4024EC5B" w14:textId="77777777" w:rsidR="000F2930" w:rsidRDefault="000F2930" w:rsidP="008432E8">
      <w:pPr>
        <w:pStyle w:val="NormalWeb"/>
        <w:spacing w:before="0" w:beforeAutospacing="0" w:after="0" w:afterAutospacing="0" w:line="360" w:lineRule="auto"/>
        <w:ind w:left="720" w:hanging="720"/>
      </w:pPr>
    </w:p>
    <w:p w14:paraId="2CFD275D" w14:textId="43877F21" w:rsidR="00DF72AC" w:rsidRDefault="00DF72AC" w:rsidP="008432E8">
      <w:pPr>
        <w:pStyle w:val="NormalWeb"/>
        <w:spacing w:before="0" w:beforeAutospacing="0" w:after="0" w:afterAutospacing="0" w:line="360" w:lineRule="auto"/>
        <w:ind w:left="720" w:hanging="720"/>
      </w:pPr>
      <w:r w:rsidRPr="00DF72AC">
        <w:t xml:space="preserve">The Fed - Commercial Paper Rates and Outstanding Summary. (2019). Federalreserve.gov. </w:t>
      </w:r>
      <w:hyperlink r:id="rId30" w:history="1">
        <w:r w:rsidRPr="003C1E26">
          <w:rPr>
            <w:rStyle w:val="Hyperlink"/>
          </w:rPr>
          <w:t>https://www.federalreserve.gov/releases/cp/</w:t>
        </w:r>
      </w:hyperlink>
    </w:p>
    <w:p w14:paraId="5CE6CB9E" w14:textId="0F9531A9" w:rsidR="00DF72AC" w:rsidRDefault="00DF72AC" w:rsidP="008432E8">
      <w:pPr>
        <w:pStyle w:val="NormalWeb"/>
        <w:spacing w:before="0" w:beforeAutospacing="0" w:after="0" w:afterAutospacing="0" w:line="360" w:lineRule="auto"/>
        <w:ind w:left="720" w:hanging="720"/>
      </w:pPr>
    </w:p>
    <w:p w14:paraId="779CFE7A" w14:textId="77777777" w:rsidR="00BD459B" w:rsidRDefault="00BD459B" w:rsidP="008432E8">
      <w:pPr>
        <w:pStyle w:val="NormalWeb"/>
        <w:spacing w:before="0" w:beforeAutospacing="0" w:after="0" w:afterAutospacing="0" w:line="360" w:lineRule="auto"/>
        <w:ind w:left="720" w:hanging="720"/>
      </w:pPr>
      <w:r w:rsidRPr="00BD459B">
        <w:t>These 4 Measures Indicate That Merck (</w:t>
      </w:r>
      <w:proofErr w:type="gramStart"/>
      <w:r w:rsidRPr="00BD459B">
        <w:t>NYSE:MRK</w:t>
      </w:r>
      <w:proofErr w:type="gramEnd"/>
      <w:r w:rsidRPr="00BD459B">
        <w:t xml:space="preserve">) Is Using Debt Safely. (n.d.). Simplywall.st. Retrieved December 8, 2022, from </w:t>
      </w:r>
    </w:p>
    <w:p w14:paraId="6DD7E6AD" w14:textId="1679E609" w:rsidR="00BD459B" w:rsidRDefault="00BD459B" w:rsidP="008432E8">
      <w:pPr>
        <w:pStyle w:val="NormalWeb"/>
        <w:spacing w:before="0" w:beforeAutospacing="0" w:after="0" w:afterAutospacing="0" w:line="360" w:lineRule="auto"/>
        <w:ind w:left="720"/>
      </w:pPr>
      <w:hyperlink r:id="rId31" w:history="1">
        <w:r w:rsidRPr="003C1E26">
          <w:rPr>
            <w:rStyle w:val="Hyperlink"/>
          </w:rPr>
          <w:t>https://simplywall.st/stocks/us/pharmaceuticals-biotech/nyse-mrk/merck/news/these-4-measures-indicate-that-merck-nysemrk-is-using-debt-s</w:t>
        </w:r>
      </w:hyperlink>
    </w:p>
    <w:p w14:paraId="6C598F0C" w14:textId="32428608" w:rsidR="00BD459B" w:rsidRDefault="00BD459B" w:rsidP="008432E8">
      <w:pPr>
        <w:pStyle w:val="NormalWeb"/>
        <w:spacing w:before="0" w:beforeAutospacing="0" w:after="0" w:afterAutospacing="0" w:line="360" w:lineRule="auto"/>
        <w:ind w:left="720" w:hanging="720"/>
      </w:pPr>
    </w:p>
    <w:p w14:paraId="3D1CAFF5" w14:textId="47D19F36" w:rsidR="00733598" w:rsidRDefault="00733598" w:rsidP="008432E8">
      <w:pPr>
        <w:pStyle w:val="NormalWeb"/>
        <w:spacing w:before="0" w:beforeAutospacing="0" w:after="0" w:afterAutospacing="0" w:line="360" w:lineRule="auto"/>
        <w:ind w:left="720" w:hanging="720"/>
      </w:pPr>
      <w:r w:rsidRPr="00733598">
        <w:t xml:space="preserve">Valens Research. (n.d.). App.valens-Research.com. Retrieved December 8, 2022, from </w:t>
      </w:r>
      <w:hyperlink r:id="rId32" w:history="1">
        <w:r w:rsidRPr="003C1E26">
          <w:rPr>
            <w:rStyle w:val="Hyperlink"/>
          </w:rPr>
          <w:t>https://app.valens-research.com/companies/MRK:USA/company-analysis/valens-credit/credit-cash-flow-base-case</w:t>
        </w:r>
      </w:hyperlink>
    </w:p>
    <w:p w14:paraId="0FA5B310" w14:textId="77777777" w:rsidR="00E37751" w:rsidRPr="00E37751" w:rsidRDefault="00E37751" w:rsidP="008432E8">
      <w:pPr>
        <w:pStyle w:val="NormalWeb"/>
        <w:spacing w:before="0" w:beforeAutospacing="0" w:after="0" w:afterAutospacing="0" w:line="360" w:lineRule="auto"/>
        <w:ind w:left="720" w:hanging="720"/>
      </w:pPr>
    </w:p>
    <w:p w14:paraId="3105CC03" w14:textId="1E7528AA" w:rsidR="00E37751" w:rsidRPr="00E37751" w:rsidRDefault="00E37751" w:rsidP="008432E8">
      <w:pPr>
        <w:pStyle w:val="NormalWeb"/>
        <w:spacing w:before="0" w:beforeAutospacing="0" w:after="0" w:afterAutospacing="0" w:line="360" w:lineRule="auto"/>
        <w:ind w:left="720" w:hanging="720"/>
      </w:pPr>
      <w:r w:rsidRPr="00E37751">
        <w:t>Warren, C. S., Jones, J. P., &amp; Tayler, W. B. (2020). Financial and managerial accounting. Cengage.</w:t>
      </w:r>
    </w:p>
    <w:p w14:paraId="4667DCA3" w14:textId="1DF94564" w:rsidR="00733598" w:rsidRDefault="00E37751" w:rsidP="008432E8">
      <w:pPr>
        <w:pStyle w:val="NormalWeb"/>
        <w:spacing w:before="0" w:beforeAutospacing="0" w:after="0" w:afterAutospacing="0" w:line="360" w:lineRule="auto"/>
        <w:ind w:left="720" w:hanging="720"/>
      </w:pPr>
      <w:r w:rsidRPr="00E37751">
        <w:t>‌</w:t>
      </w:r>
    </w:p>
    <w:p w14:paraId="35CB1C51" w14:textId="435AEA7A" w:rsidR="007D5548" w:rsidRDefault="007D5548" w:rsidP="008432E8">
      <w:pPr>
        <w:pStyle w:val="NormalWeb"/>
        <w:spacing w:before="0" w:beforeAutospacing="0" w:after="0" w:afterAutospacing="0" w:line="360" w:lineRule="auto"/>
        <w:ind w:left="720" w:hanging="720"/>
      </w:pPr>
      <w:r w:rsidRPr="007D5548">
        <w:t xml:space="preserve">What are the recent and forecasted trends in prescription drug spending? (n.d.). Peterson-KFF Health System Tracker. Retrieved December 8, 2022, from </w:t>
      </w:r>
      <w:hyperlink r:id="rId33" w:history="1">
        <w:r w:rsidRPr="003C1E26">
          <w:rPr>
            <w:rStyle w:val="Hyperlink"/>
          </w:rPr>
          <w:t>https://www.healthsystemtracker.org/chart-collection/recent-forecasted-trends-</w:t>
        </w:r>
        <w:r w:rsidRPr="003C1E26">
          <w:rPr>
            <w:rStyle w:val="Hyperlink"/>
          </w:rPr>
          <w:lastRenderedPageBreak/>
          <w:t>prescription-drug-spending/#Chart:%20Average%20annual%20growth%20rate%20of%20prescription%20drug%20spending%20per%20capita%20for%201970</w:t>
        </w:r>
      </w:hyperlink>
    </w:p>
    <w:p w14:paraId="04E8F0BE" w14:textId="77777777" w:rsidR="007D5548" w:rsidRPr="007D5548" w:rsidRDefault="007D5548" w:rsidP="008432E8">
      <w:pPr>
        <w:pStyle w:val="NormalWeb"/>
        <w:spacing w:before="0" w:beforeAutospacing="0" w:after="0" w:afterAutospacing="0" w:line="360" w:lineRule="auto"/>
        <w:ind w:left="720" w:hanging="720"/>
      </w:pPr>
    </w:p>
    <w:p w14:paraId="44EE79D8" w14:textId="32E728DE" w:rsidR="00644A0E" w:rsidRPr="00775491" w:rsidRDefault="00644A0E" w:rsidP="008432E8">
      <w:pPr>
        <w:pStyle w:val="NormalWeb"/>
        <w:spacing w:before="0" w:beforeAutospacing="0" w:after="0" w:afterAutospacing="0" w:line="360" w:lineRule="auto"/>
        <w:ind w:left="720" w:hanging="720"/>
      </w:pPr>
    </w:p>
    <w:sectPr w:rsidR="00644A0E" w:rsidRPr="00775491" w:rsidSect="00682FB5">
      <w:headerReference w:type="default" r:id="rId34"/>
      <w:footerReference w:type="even" r:id="rId35"/>
      <w:footerReference w:type="default" r:id="rId3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7C0DB" w14:textId="77777777" w:rsidR="006032DC" w:rsidRDefault="006032DC" w:rsidP="00644A0E">
      <w:r>
        <w:separator/>
      </w:r>
    </w:p>
  </w:endnote>
  <w:endnote w:type="continuationSeparator" w:id="0">
    <w:p w14:paraId="67A86052" w14:textId="77777777" w:rsidR="006032DC" w:rsidRDefault="006032DC" w:rsidP="00644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3302308"/>
      <w:docPartObj>
        <w:docPartGallery w:val="Page Numbers (Bottom of Page)"/>
        <w:docPartUnique/>
      </w:docPartObj>
    </w:sdtPr>
    <w:sdtContent>
      <w:p w14:paraId="05CCC325" w14:textId="67F05A84" w:rsidR="00644A0E" w:rsidRDefault="00644A0E" w:rsidP="003C1E2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sidR="00682FB5">
          <w:rPr>
            <w:rStyle w:val="PageNumber"/>
          </w:rPr>
          <w:fldChar w:fldCharType="separate"/>
        </w:r>
        <w:r w:rsidR="00682FB5">
          <w:rPr>
            <w:rStyle w:val="PageNumber"/>
            <w:noProof/>
          </w:rPr>
          <w:t>2</w:t>
        </w:r>
        <w:r>
          <w:rPr>
            <w:rStyle w:val="PageNumber"/>
          </w:rPr>
          <w:fldChar w:fldCharType="end"/>
        </w:r>
      </w:p>
    </w:sdtContent>
  </w:sdt>
  <w:p w14:paraId="48BC95D4" w14:textId="77777777" w:rsidR="00644A0E" w:rsidRDefault="00644A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510580"/>
      <w:docPartObj>
        <w:docPartGallery w:val="Page Numbers (Bottom of Page)"/>
        <w:docPartUnique/>
      </w:docPartObj>
    </w:sdtPr>
    <w:sdtContent>
      <w:p w14:paraId="4D3A5F66" w14:textId="5B8BF179" w:rsidR="00644A0E" w:rsidRDefault="00644A0E" w:rsidP="003C1E2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42AE907" w14:textId="77777777" w:rsidR="00644A0E" w:rsidRDefault="00644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35FE7" w14:textId="77777777" w:rsidR="006032DC" w:rsidRDefault="006032DC" w:rsidP="00644A0E">
      <w:r>
        <w:separator/>
      </w:r>
    </w:p>
  </w:footnote>
  <w:footnote w:type="continuationSeparator" w:id="0">
    <w:p w14:paraId="495E6DAB" w14:textId="77777777" w:rsidR="006032DC" w:rsidRDefault="006032DC" w:rsidP="00644A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0070D" w14:textId="4DAA5804" w:rsidR="00682FB5" w:rsidRPr="00682FB5" w:rsidRDefault="00682FB5" w:rsidP="00682FB5">
    <w:pPr>
      <w:jc w:val="right"/>
      <w:outlineLvl w:val="0"/>
      <w:rPr>
        <w:color w:val="000000" w:themeColor="text1"/>
        <w:kern w:val="36"/>
        <w:sz w:val="18"/>
        <w:szCs w:val="18"/>
      </w:rPr>
    </w:pPr>
    <w:r w:rsidRPr="00682FB5">
      <w:rPr>
        <w:color w:val="000000" w:themeColor="text1"/>
        <w:kern w:val="36"/>
        <w:sz w:val="18"/>
        <w:szCs w:val="18"/>
      </w:rPr>
      <w:t>Tura Ventola Franch</w:t>
    </w:r>
  </w:p>
  <w:p w14:paraId="4071E8DF" w14:textId="7CA549B8" w:rsidR="00682FB5" w:rsidRDefault="00682FB5" w:rsidP="00682FB5">
    <w:pPr>
      <w:jc w:val="right"/>
      <w:outlineLvl w:val="0"/>
      <w:rPr>
        <w:color w:val="000000" w:themeColor="text1"/>
        <w:kern w:val="36"/>
        <w:sz w:val="18"/>
        <w:szCs w:val="18"/>
      </w:rPr>
    </w:pPr>
    <w:r w:rsidRPr="00682FB5">
      <w:rPr>
        <w:color w:val="000000" w:themeColor="text1"/>
        <w:kern w:val="36"/>
        <w:sz w:val="18"/>
        <w:szCs w:val="18"/>
      </w:rPr>
      <w:t xml:space="preserve">FP&amp;A for </w:t>
    </w:r>
    <w:r w:rsidRPr="00682FB5">
      <w:rPr>
        <w:color w:val="000000" w:themeColor="text1"/>
        <w:kern w:val="36"/>
        <w:sz w:val="18"/>
        <w:szCs w:val="18"/>
      </w:rPr>
      <w:t>Merck &amp; Co. Inc.</w:t>
    </w:r>
  </w:p>
  <w:p w14:paraId="6C0A0BC1" w14:textId="5E3983CA" w:rsidR="00682FB5" w:rsidRDefault="00682FB5" w:rsidP="00682FB5">
    <w:pPr>
      <w:jc w:val="right"/>
      <w:outlineLvl w:val="0"/>
      <w:rPr>
        <w:color w:val="000000" w:themeColor="text1"/>
        <w:kern w:val="36"/>
        <w:sz w:val="18"/>
        <w:szCs w:val="18"/>
      </w:rPr>
    </w:pPr>
    <w:hyperlink r:id="rId1" w:history="1">
      <w:r w:rsidRPr="00682FB5">
        <w:rPr>
          <w:color w:val="000000" w:themeColor="text1"/>
          <w:kern w:val="36"/>
          <w:sz w:val="18"/>
          <w:szCs w:val="18"/>
        </w:rPr>
        <w:t>Financial Planning &amp; Analysis with Excel</w:t>
      </w:r>
    </w:hyperlink>
  </w:p>
  <w:p w14:paraId="5F81CA87" w14:textId="77777777" w:rsidR="001B4B6C" w:rsidRPr="00682FB5" w:rsidRDefault="001B4B6C" w:rsidP="00682FB5">
    <w:pPr>
      <w:jc w:val="right"/>
      <w:outlineLvl w:val="0"/>
      <w:rPr>
        <w:color w:val="000000" w:themeColor="text1"/>
        <w:kern w:val="36"/>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7B8E"/>
    <w:multiLevelType w:val="multilevel"/>
    <w:tmpl w:val="9E68A3D0"/>
    <w:lvl w:ilvl="0">
      <w:start w:val="3"/>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87A53CF"/>
    <w:multiLevelType w:val="hybridMultilevel"/>
    <w:tmpl w:val="75EEBBDC"/>
    <w:lvl w:ilvl="0" w:tplc="040A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454D12"/>
    <w:multiLevelType w:val="hybridMultilevel"/>
    <w:tmpl w:val="75EEBB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EA36488"/>
    <w:multiLevelType w:val="multilevel"/>
    <w:tmpl w:val="098215C4"/>
    <w:lvl w:ilvl="0">
      <w:start w:val="1"/>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43DE4B24"/>
    <w:multiLevelType w:val="hybridMultilevel"/>
    <w:tmpl w:val="694CE60C"/>
    <w:lvl w:ilvl="0" w:tplc="C4160EC0">
      <w:start w:val="1"/>
      <w:numFmt w:val="decimal"/>
      <w:lvlText w:val="%1."/>
      <w:lvlJc w:val="left"/>
      <w:pPr>
        <w:ind w:left="720" w:hanging="360"/>
      </w:pPr>
      <w:rPr>
        <w:rFonts w:hint="default"/>
        <w:color w:val="000000" w:themeColor="text1"/>
      </w:rPr>
    </w:lvl>
    <w:lvl w:ilvl="1" w:tplc="13EA7C4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DB7892"/>
    <w:multiLevelType w:val="multilevel"/>
    <w:tmpl w:val="8C46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A2668A"/>
    <w:multiLevelType w:val="hybridMultilevel"/>
    <w:tmpl w:val="FA88C3DA"/>
    <w:lvl w:ilvl="0" w:tplc="040A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0C6746"/>
    <w:multiLevelType w:val="multilevel"/>
    <w:tmpl w:val="51823B7A"/>
    <w:lvl w:ilvl="0">
      <w:start w:val="2"/>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71730A40"/>
    <w:multiLevelType w:val="hybridMultilevel"/>
    <w:tmpl w:val="E548B630"/>
    <w:lvl w:ilvl="0" w:tplc="040A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0442633">
    <w:abstractNumId w:val="8"/>
  </w:num>
  <w:num w:numId="2" w16cid:durableId="1070350242">
    <w:abstractNumId w:val="4"/>
  </w:num>
  <w:num w:numId="3" w16cid:durableId="18090058">
    <w:abstractNumId w:val="1"/>
  </w:num>
  <w:num w:numId="4" w16cid:durableId="36586930">
    <w:abstractNumId w:val="6"/>
  </w:num>
  <w:num w:numId="5" w16cid:durableId="1952013504">
    <w:abstractNumId w:val="2"/>
  </w:num>
  <w:num w:numId="6" w16cid:durableId="143284208">
    <w:abstractNumId w:val="5"/>
  </w:num>
  <w:num w:numId="7" w16cid:durableId="1038093044">
    <w:abstractNumId w:val="3"/>
  </w:num>
  <w:num w:numId="8" w16cid:durableId="172230511">
    <w:abstractNumId w:val="7"/>
  </w:num>
  <w:num w:numId="9" w16cid:durableId="1932348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A0E"/>
    <w:rsid w:val="0002782E"/>
    <w:rsid w:val="00042655"/>
    <w:rsid w:val="00063AD6"/>
    <w:rsid w:val="00070257"/>
    <w:rsid w:val="00070650"/>
    <w:rsid w:val="000948FB"/>
    <w:rsid w:val="00094DB7"/>
    <w:rsid w:val="000A1143"/>
    <w:rsid w:val="000C573C"/>
    <w:rsid w:val="000E23FE"/>
    <w:rsid w:val="000F2930"/>
    <w:rsid w:val="00104B42"/>
    <w:rsid w:val="00110F8A"/>
    <w:rsid w:val="00120E3D"/>
    <w:rsid w:val="001230FA"/>
    <w:rsid w:val="00133B2D"/>
    <w:rsid w:val="001703FA"/>
    <w:rsid w:val="00175B83"/>
    <w:rsid w:val="00177E03"/>
    <w:rsid w:val="0018118C"/>
    <w:rsid w:val="001926ED"/>
    <w:rsid w:val="00197F22"/>
    <w:rsid w:val="001A4608"/>
    <w:rsid w:val="001B37C9"/>
    <w:rsid w:val="001B4B6C"/>
    <w:rsid w:val="001C6392"/>
    <w:rsid w:val="001C73DB"/>
    <w:rsid w:val="001D314A"/>
    <w:rsid w:val="001D55DD"/>
    <w:rsid w:val="001D696D"/>
    <w:rsid w:val="001D7E0A"/>
    <w:rsid w:val="001E141D"/>
    <w:rsid w:val="001E2FAF"/>
    <w:rsid w:val="001E61D7"/>
    <w:rsid w:val="001F06EC"/>
    <w:rsid w:val="002259A2"/>
    <w:rsid w:val="00234878"/>
    <w:rsid w:val="0023495F"/>
    <w:rsid w:val="00272DBE"/>
    <w:rsid w:val="00294554"/>
    <w:rsid w:val="00296F05"/>
    <w:rsid w:val="002E038C"/>
    <w:rsid w:val="00304BD6"/>
    <w:rsid w:val="0031086F"/>
    <w:rsid w:val="00340971"/>
    <w:rsid w:val="00360059"/>
    <w:rsid w:val="00372F90"/>
    <w:rsid w:val="00387AAC"/>
    <w:rsid w:val="003A37F6"/>
    <w:rsid w:val="003A6F7C"/>
    <w:rsid w:val="003C1EDE"/>
    <w:rsid w:val="003C7231"/>
    <w:rsid w:val="003D5CDC"/>
    <w:rsid w:val="00406933"/>
    <w:rsid w:val="00410CA3"/>
    <w:rsid w:val="004408D4"/>
    <w:rsid w:val="00444027"/>
    <w:rsid w:val="004668C7"/>
    <w:rsid w:val="00471A08"/>
    <w:rsid w:val="004B55D3"/>
    <w:rsid w:val="004C4F16"/>
    <w:rsid w:val="004C7BCF"/>
    <w:rsid w:val="004F4B00"/>
    <w:rsid w:val="00522317"/>
    <w:rsid w:val="00536E46"/>
    <w:rsid w:val="00553A4C"/>
    <w:rsid w:val="00576013"/>
    <w:rsid w:val="00577E1F"/>
    <w:rsid w:val="0058161A"/>
    <w:rsid w:val="00591C87"/>
    <w:rsid w:val="00592B9D"/>
    <w:rsid w:val="005C51B2"/>
    <w:rsid w:val="005C543A"/>
    <w:rsid w:val="006032DC"/>
    <w:rsid w:val="006217A2"/>
    <w:rsid w:val="00623238"/>
    <w:rsid w:val="00631127"/>
    <w:rsid w:val="00644A0E"/>
    <w:rsid w:val="00682FB5"/>
    <w:rsid w:val="0069125E"/>
    <w:rsid w:val="00697302"/>
    <w:rsid w:val="006A2C33"/>
    <w:rsid w:val="006E2A6D"/>
    <w:rsid w:val="006F14B1"/>
    <w:rsid w:val="00705C9A"/>
    <w:rsid w:val="007148B4"/>
    <w:rsid w:val="00722B6F"/>
    <w:rsid w:val="0072653F"/>
    <w:rsid w:val="00731F9C"/>
    <w:rsid w:val="00733598"/>
    <w:rsid w:val="007369CE"/>
    <w:rsid w:val="00744871"/>
    <w:rsid w:val="00746D6D"/>
    <w:rsid w:val="00772667"/>
    <w:rsid w:val="00773AC0"/>
    <w:rsid w:val="00775491"/>
    <w:rsid w:val="00785661"/>
    <w:rsid w:val="00791DAE"/>
    <w:rsid w:val="00793744"/>
    <w:rsid w:val="007D5548"/>
    <w:rsid w:val="007E0CFD"/>
    <w:rsid w:val="007F4DFD"/>
    <w:rsid w:val="00825C70"/>
    <w:rsid w:val="008432E8"/>
    <w:rsid w:val="00846923"/>
    <w:rsid w:val="00854B69"/>
    <w:rsid w:val="008619CE"/>
    <w:rsid w:val="00881510"/>
    <w:rsid w:val="00892EA7"/>
    <w:rsid w:val="008A335C"/>
    <w:rsid w:val="008B6F4C"/>
    <w:rsid w:val="008C1467"/>
    <w:rsid w:val="008C5C1D"/>
    <w:rsid w:val="008D5821"/>
    <w:rsid w:val="008D6238"/>
    <w:rsid w:val="00916297"/>
    <w:rsid w:val="00951D45"/>
    <w:rsid w:val="009521C1"/>
    <w:rsid w:val="00955C8E"/>
    <w:rsid w:val="009622E5"/>
    <w:rsid w:val="009746BA"/>
    <w:rsid w:val="00977940"/>
    <w:rsid w:val="0099156E"/>
    <w:rsid w:val="009B25B6"/>
    <w:rsid w:val="009D251F"/>
    <w:rsid w:val="00A22765"/>
    <w:rsid w:val="00A265A0"/>
    <w:rsid w:val="00A418FB"/>
    <w:rsid w:val="00A42EBC"/>
    <w:rsid w:val="00A43B34"/>
    <w:rsid w:val="00A46139"/>
    <w:rsid w:val="00A60691"/>
    <w:rsid w:val="00A72501"/>
    <w:rsid w:val="00A77CA7"/>
    <w:rsid w:val="00A80957"/>
    <w:rsid w:val="00A8430E"/>
    <w:rsid w:val="00A934ED"/>
    <w:rsid w:val="00AA3206"/>
    <w:rsid w:val="00AB3953"/>
    <w:rsid w:val="00AC0D6A"/>
    <w:rsid w:val="00AD1C5C"/>
    <w:rsid w:val="00AD33FC"/>
    <w:rsid w:val="00AD3F45"/>
    <w:rsid w:val="00AD5E41"/>
    <w:rsid w:val="00AE2B94"/>
    <w:rsid w:val="00B00BAA"/>
    <w:rsid w:val="00B13DF3"/>
    <w:rsid w:val="00B23CF1"/>
    <w:rsid w:val="00B320D4"/>
    <w:rsid w:val="00B32B8F"/>
    <w:rsid w:val="00B47B92"/>
    <w:rsid w:val="00B5204E"/>
    <w:rsid w:val="00B66EB2"/>
    <w:rsid w:val="00B77467"/>
    <w:rsid w:val="00B77886"/>
    <w:rsid w:val="00B77A89"/>
    <w:rsid w:val="00B80B14"/>
    <w:rsid w:val="00BA0FB1"/>
    <w:rsid w:val="00BB00E7"/>
    <w:rsid w:val="00BB33F8"/>
    <w:rsid w:val="00BC6301"/>
    <w:rsid w:val="00BC6436"/>
    <w:rsid w:val="00BD1061"/>
    <w:rsid w:val="00BD1F33"/>
    <w:rsid w:val="00BD459B"/>
    <w:rsid w:val="00BD6125"/>
    <w:rsid w:val="00C0738E"/>
    <w:rsid w:val="00C20FAD"/>
    <w:rsid w:val="00C27D49"/>
    <w:rsid w:val="00C50372"/>
    <w:rsid w:val="00C56D00"/>
    <w:rsid w:val="00C636AE"/>
    <w:rsid w:val="00C67358"/>
    <w:rsid w:val="00C758CD"/>
    <w:rsid w:val="00C829DB"/>
    <w:rsid w:val="00CA1F1A"/>
    <w:rsid w:val="00CA4C0C"/>
    <w:rsid w:val="00CE00AA"/>
    <w:rsid w:val="00D14AB8"/>
    <w:rsid w:val="00D234DC"/>
    <w:rsid w:val="00D31415"/>
    <w:rsid w:val="00D470AD"/>
    <w:rsid w:val="00D558B4"/>
    <w:rsid w:val="00D94464"/>
    <w:rsid w:val="00D97AC4"/>
    <w:rsid w:val="00DF22D2"/>
    <w:rsid w:val="00DF57DA"/>
    <w:rsid w:val="00DF72AC"/>
    <w:rsid w:val="00E10FB6"/>
    <w:rsid w:val="00E13A05"/>
    <w:rsid w:val="00E228CC"/>
    <w:rsid w:val="00E37751"/>
    <w:rsid w:val="00E42879"/>
    <w:rsid w:val="00E85051"/>
    <w:rsid w:val="00EA1418"/>
    <w:rsid w:val="00EA335E"/>
    <w:rsid w:val="00EA5A92"/>
    <w:rsid w:val="00EB0AC1"/>
    <w:rsid w:val="00ED2893"/>
    <w:rsid w:val="00ED3424"/>
    <w:rsid w:val="00EE2059"/>
    <w:rsid w:val="00EE67A5"/>
    <w:rsid w:val="00F106B1"/>
    <w:rsid w:val="00F147C1"/>
    <w:rsid w:val="00F35A03"/>
    <w:rsid w:val="00F40500"/>
    <w:rsid w:val="00F44452"/>
    <w:rsid w:val="00F450CB"/>
    <w:rsid w:val="00F503DF"/>
    <w:rsid w:val="00F5163C"/>
    <w:rsid w:val="00F5481F"/>
    <w:rsid w:val="00F56613"/>
    <w:rsid w:val="00F83477"/>
    <w:rsid w:val="00F90460"/>
    <w:rsid w:val="00FB70DD"/>
    <w:rsid w:val="00FE7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002F02"/>
  <w15:chartTrackingRefBased/>
  <w15:docId w15:val="{8BE509FE-9A00-8E49-B219-D5B7CAB6B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81F"/>
    <w:rPr>
      <w:rFonts w:ascii="Times New Roman" w:eastAsia="Times New Roman" w:hAnsi="Times New Roman" w:cs="Times New Roman"/>
    </w:rPr>
  </w:style>
  <w:style w:type="paragraph" w:styleId="Heading1">
    <w:name w:val="heading 1"/>
    <w:basedOn w:val="Normal"/>
    <w:link w:val="Heading1Char"/>
    <w:uiPriority w:val="9"/>
    <w:qFormat/>
    <w:rsid w:val="00682FB5"/>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4A0E"/>
    <w:pPr>
      <w:spacing w:before="100" w:beforeAutospacing="1" w:after="100" w:afterAutospacing="1"/>
    </w:pPr>
    <w:rPr>
      <w:lang w:eastAsia="ko-KR"/>
    </w:rPr>
  </w:style>
  <w:style w:type="character" w:styleId="Strong">
    <w:name w:val="Strong"/>
    <w:basedOn w:val="DefaultParagraphFont"/>
    <w:uiPriority w:val="22"/>
    <w:qFormat/>
    <w:rsid w:val="00644A0E"/>
    <w:rPr>
      <w:b/>
      <w:bCs/>
    </w:rPr>
  </w:style>
  <w:style w:type="character" w:styleId="Hyperlink">
    <w:name w:val="Hyperlink"/>
    <w:basedOn w:val="DefaultParagraphFont"/>
    <w:uiPriority w:val="99"/>
    <w:unhideWhenUsed/>
    <w:rsid w:val="00644A0E"/>
    <w:rPr>
      <w:color w:val="0000FF"/>
      <w:u w:val="single"/>
    </w:rPr>
  </w:style>
  <w:style w:type="paragraph" w:styleId="ListParagraph">
    <w:name w:val="List Paragraph"/>
    <w:basedOn w:val="Normal"/>
    <w:uiPriority w:val="34"/>
    <w:qFormat/>
    <w:rsid w:val="00644A0E"/>
    <w:pPr>
      <w:ind w:left="720"/>
      <w:contextualSpacing/>
    </w:pPr>
    <w:rPr>
      <w:lang w:eastAsia="ko-KR"/>
    </w:rPr>
  </w:style>
  <w:style w:type="paragraph" w:styleId="Footer">
    <w:name w:val="footer"/>
    <w:basedOn w:val="Normal"/>
    <w:link w:val="FooterChar"/>
    <w:uiPriority w:val="99"/>
    <w:unhideWhenUsed/>
    <w:rsid w:val="00644A0E"/>
    <w:pPr>
      <w:tabs>
        <w:tab w:val="center" w:pos="4680"/>
        <w:tab w:val="right" w:pos="9360"/>
      </w:tabs>
    </w:pPr>
    <w:rPr>
      <w:lang w:eastAsia="ko-KR"/>
    </w:rPr>
  </w:style>
  <w:style w:type="character" w:customStyle="1" w:styleId="FooterChar">
    <w:name w:val="Footer Char"/>
    <w:basedOn w:val="DefaultParagraphFont"/>
    <w:link w:val="Footer"/>
    <w:uiPriority w:val="99"/>
    <w:rsid w:val="00644A0E"/>
    <w:rPr>
      <w:rFonts w:ascii="Times New Roman" w:eastAsia="Times New Roman" w:hAnsi="Times New Roman" w:cs="Times New Roman"/>
      <w:lang w:eastAsia="ko-KR"/>
    </w:rPr>
  </w:style>
  <w:style w:type="character" w:styleId="PageNumber">
    <w:name w:val="page number"/>
    <w:basedOn w:val="DefaultParagraphFont"/>
    <w:uiPriority w:val="99"/>
    <w:semiHidden/>
    <w:unhideWhenUsed/>
    <w:rsid w:val="00644A0E"/>
  </w:style>
  <w:style w:type="paragraph" w:styleId="Header">
    <w:name w:val="header"/>
    <w:basedOn w:val="Normal"/>
    <w:link w:val="HeaderChar"/>
    <w:uiPriority w:val="99"/>
    <w:unhideWhenUsed/>
    <w:rsid w:val="00682FB5"/>
    <w:pPr>
      <w:tabs>
        <w:tab w:val="center" w:pos="4680"/>
        <w:tab w:val="right" w:pos="9360"/>
      </w:tabs>
    </w:pPr>
    <w:rPr>
      <w:lang w:eastAsia="ko-KR"/>
    </w:rPr>
  </w:style>
  <w:style w:type="character" w:customStyle="1" w:styleId="HeaderChar">
    <w:name w:val="Header Char"/>
    <w:basedOn w:val="DefaultParagraphFont"/>
    <w:link w:val="Header"/>
    <w:uiPriority w:val="99"/>
    <w:rsid w:val="00682FB5"/>
    <w:rPr>
      <w:rFonts w:ascii="Times New Roman" w:eastAsia="Times New Roman" w:hAnsi="Times New Roman" w:cs="Times New Roman"/>
      <w:lang w:eastAsia="ko-KR"/>
    </w:rPr>
  </w:style>
  <w:style w:type="character" w:customStyle="1" w:styleId="Heading1Char">
    <w:name w:val="Heading 1 Char"/>
    <w:basedOn w:val="DefaultParagraphFont"/>
    <w:link w:val="Heading1"/>
    <w:uiPriority w:val="9"/>
    <w:rsid w:val="00682FB5"/>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296F05"/>
    <w:rPr>
      <w:color w:val="605E5C"/>
      <w:shd w:val="clear" w:color="auto" w:fill="E1DFDD"/>
    </w:rPr>
  </w:style>
  <w:style w:type="character" w:styleId="FollowedHyperlink">
    <w:name w:val="FollowedHyperlink"/>
    <w:basedOn w:val="DefaultParagraphFont"/>
    <w:uiPriority w:val="99"/>
    <w:semiHidden/>
    <w:unhideWhenUsed/>
    <w:rsid w:val="00296F05"/>
    <w:rPr>
      <w:color w:val="954F72" w:themeColor="followedHyperlink"/>
      <w:u w:val="single"/>
    </w:rPr>
  </w:style>
  <w:style w:type="character" w:customStyle="1" w:styleId="apple-converted-space">
    <w:name w:val="apple-converted-space"/>
    <w:basedOn w:val="DefaultParagraphFont"/>
    <w:rsid w:val="001D55DD"/>
  </w:style>
  <w:style w:type="character" w:customStyle="1" w:styleId="bwuline">
    <w:name w:val="bwuline"/>
    <w:basedOn w:val="DefaultParagraphFont"/>
    <w:rsid w:val="001D55DD"/>
  </w:style>
  <w:style w:type="character" w:styleId="PlaceholderText">
    <w:name w:val="Placeholder Text"/>
    <w:basedOn w:val="DefaultParagraphFont"/>
    <w:uiPriority w:val="99"/>
    <w:semiHidden/>
    <w:rsid w:val="003A37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55907">
      <w:bodyDiv w:val="1"/>
      <w:marLeft w:val="0"/>
      <w:marRight w:val="0"/>
      <w:marTop w:val="0"/>
      <w:marBottom w:val="0"/>
      <w:divBdr>
        <w:top w:val="none" w:sz="0" w:space="0" w:color="auto"/>
        <w:left w:val="none" w:sz="0" w:space="0" w:color="auto"/>
        <w:bottom w:val="none" w:sz="0" w:space="0" w:color="auto"/>
        <w:right w:val="none" w:sz="0" w:space="0" w:color="auto"/>
      </w:divBdr>
    </w:div>
    <w:div w:id="256141477">
      <w:bodyDiv w:val="1"/>
      <w:marLeft w:val="0"/>
      <w:marRight w:val="0"/>
      <w:marTop w:val="0"/>
      <w:marBottom w:val="0"/>
      <w:divBdr>
        <w:top w:val="none" w:sz="0" w:space="0" w:color="auto"/>
        <w:left w:val="none" w:sz="0" w:space="0" w:color="auto"/>
        <w:bottom w:val="none" w:sz="0" w:space="0" w:color="auto"/>
        <w:right w:val="none" w:sz="0" w:space="0" w:color="auto"/>
      </w:divBdr>
      <w:divsChild>
        <w:div w:id="1948729782">
          <w:marLeft w:val="0"/>
          <w:marRight w:val="0"/>
          <w:marTop w:val="0"/>
          <w:marBottom w:val="0"/>
          <w:divBdr>
            <w:top w:val="none" w:sz="0" w:space="0" w:color="auto"/>
            <w:left w:val="none" w:sz="0" w:space="0" w:color="auto"/>
            <w:bottom w:val="none" w:sz="0" w:space="0" w:color="auto"/>
            <w:right w:val="none" w:sz="0" w:space="0" w:color="auto"/>
          </w:divBdr>
        </w:div>
      </w:divsChild>
    </w:div>
    <w:div w:id="344940674">
      <w:bodyDiv w:val="1"/>
      <w:marLeft w:val="0"/>
      <w:marRight w:val="0"/>
      <w:marTop w:val="0"/>
      <w:marBottom w:val="0"/>
      <w:divBdr>
        <w:top w:val="none" w:sz="0" w:space="0" w:color="auto"/>
        <w:left w:val="none" w:sz="0" w:space="0" w:color="auto"/>
        <w:bottom w:val="none" w:sz="0" w:space="0" w:color="auto"/>
        <w:right w:val="none" w:sz="0" w:space="0" w:color="auto"/>
      </w:divBdr>
    </w:div>
    <w:div w:id="388651781">
      <w:bodyDiv w:val="1"/>
      <w:marLeft w:val="0"/>
      <w:marRight w:val="0"/>
      <w:marTop w:val="0"/>
      <w:marBottom w:val="0"/>
      <w:divBdr>
        <w:top w:val="none" w:sz="0" w:space="0" w:color="auto"/>
        <w:left w:val="none" w:sz="0" w:space="0" w:color="auto"/>
        <w:bottom w:val="none" w:sz="0" w:space="0" w:color="auto"/>
        <w:right w:val="none" w:sz="0" w:space="0" w:color="auto"/>
      </w:divBdr>
    </w:div>
    <w:div w:id="417141393">
      <w:bodyDiv w:val="1"/>
      <w:marLeft w:val="0"/>
      <w:marRight w:val="0"/>
      <w:marTop w:val="0"/>
      <w:marBottom w:val="0"/>
      <w:divBdr>
        <w:top w:val="none" w:sz="0" w:space="0" w:color="auto"/>
        <w:left w:val="none" w:sz="0" w:space="0" w:color="auto"/>
        <w:bottom w:val="none" w:sz="0" w:space="0" w:color="auto"/>
        <w:right w:val="none" w:sz="0" w:space="0" w:color="auto"/>
      </w:divBdr>
    </w:div>
    <w:div w:id="438259864">
      <w:bodyDiv w:val="1"/>
      <w:marLeft w:val="0"/>
      <w:marRight w:val="0"/>
      <w:marTop w:val="0"/>
      <w:marBottom w:val="0"/>
      <w:divBdr>
        <w:top w:val="none" w:sz="0" w:space="0" w:color="auto"/>
        <w:left w:val="none" w:sz="0" w:space="0" w:color="auto"/>
        <w:bottom w:val="none" w:sz="0" w:space="0" w:color="auto"/>
        <w:right w:val="none" w:sz="0" w:space="0" w:color="auto"/>
      </w:divBdr>
    </w:div>
    <w:div w:id="598413761">
      <w:bodyDiv w:val="1"/>
      <w:marLeft w:val="0"/>
      <w:marRight w:val="0"/>
      <w:marTop w:val="0"/>
      <w:marBottom w:val="0"/>
      <w:divBdr>
        <w:top w:val="none" w:sz="0" w:space="0" w:color="auto"/>
        <w:left w:val="none" w:sz="0" w:space="0" w:color="auto"/>
        <w:bottom w:val="none" w:sz="0" w:space="0" w:color="auto"/>
        <w:right w:val="none" w:sz="0" w:space="0" w:color="auto"/>
      </w:divBdr>
    </w:div>
    <w:div w:id="673383349">
      <w:bodyDiv w:val="1"/>
      <w:marLeft w:val="0"/>
      <w:marRight w:val="0"/>
      <w:marTop w:val="0"/>
      <w:marBottom w:val="0"/>
      <w:divBdr>
        <w:top w:val="none" w:sz="0" w:space="0" w:color="auto"/>
        <w:left w:val="none" w:sz="0" w:space="0" w:color="auto"/>
        <w:bottom w:val="none" w:sz="0" w:space="0" w:color="auto"/>
        <w:right w:val="none" w:sz="0" w:space="0" w:color="auto"/>
      </w:divBdr>
    </w:div>
    <w:div w:id="703289772">
      <w:bodyDiv w:val="1"/>
      <w:marLeft w:val="0"/>
      <w:marRight w:val="0"/>
      <w:marTop w:val="0"/>
      <w:marBottom w:val="0"/>
      <w:divBdr>
        <w:top w:val="none" w:sz="0" w:space="0" w:color="auto"/>
        <w:left w:val="none" w:sz="0" w:space="0" w:color="auto"/>
        <w:bottom w:val="none" w:sz="0" w:space="0" w:color="auto"/>
        <w:right w:val="none" w:sz="0" w:space="0" w:color="auto"/>
      </w:divBdr>
    </w:div>
    <w:div w:id="793865398">
      <w:bodyDiv w:val="1"/>
      <w:marLeft w:val="0"/>
      <w:marRight w:val="0"/>
      <w:marTop w:val="0"/>
      <w:marBottom w:val="0"/>
      <w:divBdr>
        <w:top w:val="none" w:sz="0" w:space="0" w:color="auto"/>
        <w:left w:val="none" w:sz="0" w:space="0" w:color="auto"/>
        <w:bottom w:val="none" w:sz="0" w:space="0" w:color="auto"/>
        <w:right w:val="none" w:sz="0" w:space="0" w:color="auto"/>
      </w:divBdr>
      <w:divsChild>
        <w:div w:id="754210626">
          <w:marLeft w:val="0"/>
          <w:marRight w:val="0"/>
          <w:marTop w:val="0"/>
          <w:marBottom w:val="0"/>
          <w:divBdr>
            <w:top w:val="none" w:sz="0" w:space="0" w:color="auto"/>
            <w:left w:val="none" w:sz="0" w:space="0" w:color="auto"/>
            <w:bottom w:val="none" w:sz="0" w:space="0" w:color="auto"/>
            <w:right w:val="none" w:sz="0" w:space="0" w:color="auto"/>
          </w:divBdr>
        </w:div>
      </w:divsChild>
    </w:div>
    <w:div w:id="801725561">
      <w:bodyDiv w:val="1"/>
      <w:marLeft w:val="0"/>
      <w:marRight w:val="0"/>
      <w:marTop w:val="0"/>
      <w:marBottom w:val="0"/>
      <w:divBdr>
        <w:top w:val="none" w:sz="0" w:space="0" w:color="auto"/>
        <w:left w:val="none" w:sz="0" w:space="0" w:color="auto"/>
        <w:bottom w:val="none" w:sz="0" w:space="0" w:color="auto"/>
        <w:right w:val="none" w:sz="0" w:space="0" w:color="auto"/>
      </w:divBdr>
    </w:div>
    <w:div w:id="802693216">
      <w:bodyDiv w:val="1"/>
      <w:marLeft w:val="0"/>
      <w:marRight w:val="0"/>
      <w:marTop w:val="0"/>
      <w:marBottom w:val="0"/>
      <w:divBdr>
        <w:top w:val="none" w:sz="0" w:space="0" w:color="auto"/>
        <w:left w:val="none" w:sz="0" w:space="0" w:color="auto"/>
        <w:bottom w:val="none" w:sz="0" w:space="0" w:color="auto"/>
        <w:right w:val="none" w:sz="0" w:space="0" w:color="auto"/>
      </w:divBdr>
    </w:div>
    <w:div w:id="1024211703">
      <w:bodyDiv w:val="1"/>
      <w:marLeft w:val="0"/>
      <w:marRight w:val="0"/>
      <w:marTop w:val="0"/>
      <w:marBottom w:val="0"/>
      <w:divBdr>
        <w:top w:val="none" w:sz="0" w:space="0" w:color="auto"/>
        <w:left w:val="none" w:sz="0" w:space="0" w:color="auto"/>
        <w:bottom w:val="none" w:sz="0" w:space="0" w:color="auto"/>
        <w:right w:val="none" w:sz="0" w:space="0" w:color="auto"/>
      </w:divBdr>
    </w:div>
    <w:div w:id="1130129389">
      <w:bodyDiv w:val="1"/>
      <w:marLeft w:val="0"/>
      <w:marRight w:val="0"/>
      <w:marTop w:val="0"/>
      <w:marBottom w:val="0"/>
      <w:divBdr>
        <w:top w:val="none" w:sz="0" w:space="0" w:color="auto"/>
        <w:left w:val="none" w:sz="0" w:space="0" w:color="auto"/>
        <w:bottom w:val="none" w:sz="0" w:space="0" w:color="auto"/>
        <w:right w:val="none" w:sz="0" w:space="0" w:color="auto"/>
      </w:divBdr>
    </w:div>
    <w:div w:id="1163619596">
      <w:bodyDiv w:val="1"/>
      <w:marLeft w:val="0"/>
      <w:marRight w:val="0"/>
      <w:marTop w:val="0"/>
      <w:marBottom w:val="0"/>
      <w:divBdr>
        <w:top w:val="none" w:sz="0" w:space="0" w:color="auto"/>
        <w:left w:val="none" w:sz="0" w:space="0" w:color="auto"/>
        <w:bottom w:val="none" w:sz="0" w:space="0" w:color="auto"/>
        <w:right w:val="none" w:sz="0" w:space="0" w:color="auto"/>
      </w:divBdr>
    </w:div>
    <w:div w:id="1212376947">
      <w:bodyDiv w:val="1"/>
      <w:marLeft w:val="0"/>
      <w:marRight w:val="0"/>
      <w:marTop w:val="0"/>
      <w:marBottom w:val="0"/>
      <w:divBdr>
        <w:top w:val="none" w:sz="0" w:space="0" w:color="auto"/>
        <w:left w:val="none" w:sz="0" w:space="0" w:color="auto"/>
        <w:bottom w:val="none" w:sz="0" w:space="0" w:color="auto"/>
        <w:right w:val="none" w:sz="0" w:space="0" w:color="auto"/>
      </w:divBdr>
    </w:div>
    <w:div w:id="1237324082">
      <w:bodyDiv w:val="1"/>
      <w:marLeft w:val="0"/>
      <w:marRight w:val="0"/>
      <w:marTop w:val="0"/>
      <w:marBottom w:val="0"/>
      <w:divBdr>
        <w:top w:val="none" w:sz="0" w:space="0" w:color="auto"/>
        <w:left w:val="none" w:sz="0" w:space="0" w:color="auto"/>
        <w:bottom w:val="none" w:sz="0" w:space="0" w:color="auto"/>
        <w:right w:val="none" w:sz="0" w:space="0" w:color="auto"/>
      </w:divBdr>
    </w:div>
    <w:div w:id="1265457850">
      <w:bodyDiv w:val="1"/>
      <w:marLeft w:val="0"/>
      <w:marRight w:val="0"/>
      <w:marTop w:val="0"/>
      <w:marBottom w:val="0"/>
      <w:divBdr>
        <w:top w:val="none" w:sz="0" w:space="0" w:color="auto"/>
        <w:left w:val="none" w:sz="0" w:space="0" w:color="auto"/>
        <w:bottom w:val="none" w:sz="0" w:space="0" w:color="auto"/>
        <w:right w:val="none" w:sz="0" w:space="0" w:color="auto"/>
      </w:divBdr>
    </w:div>
    <w:div w:id="1298146391">
      <w:bodyDiv w:val="1"/>
      <w:marLeft w:val="0"/>
      <w:marRight w:val="0"/>
      <w:marTop w:val="0"/>
      <w:marBottom w:val="0"/>
      <w:divBdr>
        <w:top w:val="none" w:sz="0" w:space="0" w:color="auto"/>
        <w:left w:val="none" w:sz="0" w:space="0" w:color="auto"/>
        <w:bottom w:val="none" w:sz="0" w:space="0" w:color="auto"/>
        <w:right w:val="none" w:sz="0" w:space="0" w:color="auto"/>
      </w:divBdr>
    </w:div>
    <w:div w:id="1326861594">
      <w:bodyDiv w:val="1"/>
      <w:marLeft w:val="0"/>
      <w:marRight w:val="0"/>
      <w:marTop w:val="0"/>
      <w:marBottom w:val="0"/>
      <w:divBdr>
        <w:top w:val="none" w:sz="0" w:space="0" w:color="auto"/>
        <w:left w:val="none" w:sz="0" w:space="0" w:color="auto"/>
        <w:bottom w:val="none" w:sz="0" w:space="0" w:color="auto"/>
        <w:right w:val="none" w:sz="0" w:space="0" w:color="auto"/>
      </w:divBdr>
    </w:div>
    <w:div w:id="1369527442">
      <w:bodyDiv w:val="1"/>
      <w:marLeft w:val="0"/>
      <w:marRight w:val="0"/>
      <w:marTop w:val="0"/>
      <w:marBottom w:val="0"/>
      <w:divBdr>
        <w:top w:val="none" w:sz="0" w:space="0" w:color="auto"/>
        <w:left w:val="none" w:sz="0" w:space="0" w:color="auto"/>
        <w:bottom w:val="none" w:sz="0" w:space="0" w:color="auto"/>
        <w:right w:val="none" w:sz="0" w:space="0" w:color="auto"/>
      </w:divBdr>
    </w:div>
    <w:div w:id="1409035044">
      <w:bodyDiv w:val="1"/>
      <w:marLeft w:val="0"/>
      <w:marRight w:val="0"/>
      <w:marTop w:val="0"/>
      <w:marBottom w:val="0"/>
      <w:divBdr>
        <w:top w:val="none" w:sz="0" w:space="0" w:color="auto"/>
        <w:left w:val="none" w:sz="0" w:space="0" w:color="auto"/>
        <w:bottom w:val="none" w:sz="0" w:space="0" w:color="auto"/>
        <w:right w:val="none" w:sz="0" w:space="0" w:color="auto"/>
      </w:divBdr>
    </w:div>
    <w:div w:id="1533685495">
      <w:bodyDiv w:val="1"/>
      <w:marLeft w:val="0"/>
      <w:marRight w:val="0"/>
      <w:marTop w:val="0"/>
      <w:marBottom w:val="0"/>
      <w:divBdr>
        <w:top w:val="none" w:sz="0" w:space="0" w:color="auto"/>
        <w:left w:val="none" w:sz="0" w:space="0" w:color="auto"/>
        <w:bottom w:val="none" w:sz="0" w:space="0" w:color="auto"/>
        <w:right w:val="none" w:sz="0" w:space="0" w:color="auto"/>
      </w:divBdr>
    </w:div>
    <w:div w:id="1570535417">
      <w:bodyDiv w:val="1"/>
      <w:marLeft w:val="0"/>
      <w:marRight w:val="0"/>
      <w:marTop w:val="0"/>
      <w:marBottom w:val="0"/>
      <w:divBdr>
        <w:top w:val="none" w:sz="0" w:space="0" w:color="auto"/>
        <w:left w:val="none" w:sz="0" w:space="0" w:color="auto"/>
        <w:bottom w:val="none" w:sz="0" w:space="0" w:color="auto"/>
        <w:right w:val="none" w:sz="0" w:space="0" w:color="auto"/>
      </w:divBdr>
    </w:div>
    <w:div w:id="1673221504">
      <w:bodyDiv w:val="1"/>
      <w:marLeft w:val="0"/>
      <w:marRight w:val="0"/>
      <w:marTop w:val="0"/>
      <w:marBottom w:val="0"/>
      <w:divBdr>
        <w:top w:val="none" w:sz="0" w:space="0" w:color="auto"/>
        <w:left w:val="none" w:sz="0" w:space="0" w:color="auto"/>
        <w:bottom w:val="none" w:sz="0" w:space="0" w:color="auto"/>
        <w:right w:val="none" w:sz="0" w:space="0" w:color="auto"/>
      </w:divBdr>
    </w:div>
    <w:div w:id="1678531774">
      <w:bodyDiv w:val="1"/>
      <w:marLeft w:val="0"/>
      <w:marRight w:val="0"/>
      <w:marTop w:val="0"/>
      <w:marBottom w:val="0"/>
      <w:divBdr>
        <w:top w:val="none" w:sz="0" w:space="0" w:color="auto"/>
        <w:left w:val="none" w:sz="0" w:space="0" w:color="auto"/>
        <w:bottom w:val="none" w:sz="0" w:space="0" w:color="auto"/>
        <w:right w:val="none" w:sz="0" w:space="0" w:color="auto"/>
      </w:divBdr>
    </w:div>
    <w:div w:id="1697149085">
      <w:bodyDiv w:val="1"/>
      <w:marLeft w:val="0"/>
      <w:marRight w:val="0"/>
      <w:marTop w:val="0"/>
      <w:marBottom w:val="0"/>
      <w:divBdr>
        <w:top w:val="none" w:sz="0" w:space="0" w:color="auto"/>
        <w:left w:val="none" w:sz="0" w:space="0" w:color="auto"/>
        <w:bottom w:val="none" w:sz="0" w:space="0" w:color="auto"/>
        <w:right w:val="none" w:sz="0" w:space="0" w:color="auto"/>
      </w:divBdr>
    </w:div>
    <w:div w:id="1809400661">
      <w:bodyDiv w:val="1"/>
      <w:marLeft w:val="0"/>
      <w:marRight w:val="0"/>
      <w:marTop w:val="0"/>
      <w:marBottom w:val="0"/>
      <w:divBdr>
        <w:top w:val="none" w:sz="0" w:space="0" w:color="auto"/>
        <w:left w:val="none" w:sz="0" w:space="0" w:color="auto"/>
        <w:bottom w:val="none" w:sz="0" w:space="0" w:color="auto"/>
        <w:right w:val="none" w:sz="0" w:space="0" w:color="auto"/>
      </w:divBdr>
    </w:div>
    <w:div w:id="1809978967">
      <w:bodyDiv w:val="1"/>
      <w:marLeft w:val="0"/>
      <w:marRight w:val="0"/>
      <w:marTop w:val="0"/>
      <w:marBottom w:val="0"/>
      <w:divBdr>
        <w:top w:val="none" w:sz="0" w:space="0" w:color="auto"/>
        <w:left w:val="none" w:sz="0" w:space="0" w:color="auto"/>
        <w:bottom w:val="none" w:sz="0" w:space="0" w:color="auto"/>
        <w:right w:val="none" w:sz="0" w:space="0" w:color="auto"/>
      </w:divBdr>
    </w:div>
    <w:div w:id="1867251764">
      <w:bodyDiv w:val="1"/>
      <w:marLeft w:val="0"/>
      <w:marRight w:val="0"/>
      <w:marTop w:val="0"/>
      <w:marBottom w:val="0"/>
      <w:divBdr>
        <w:top w:val="none" w:sz="0" w:space="0" w:color="auto"/>
        <w:left w:val="none" w:sz="0" w:space="0" w:color="auto"/>
        <w:bottom w:val="none" w:sz="0" w:space="0" w:color="auto"/>
        <w:right w:val="none" w:sz="0" w:space="0" w:color="auto"/>
      </w:divBdr>
      <w:divsChild>
        <w:div w:id="704138575">
          <w:marLeft w:val="0"/>
          <w:marRight w:val="0"/>
          <w:marTop w:val="0"/>
          <w:marBottom w:val="0"/>
          <w:divBdr>
            <w:top w:val="none" w:sz="0" w:space="0" w:color="auto"/>
            <w:left w:val="none" w:sz="0" w:space="0" w:color="auto"/>
            <w:bottom w:val="none" w:sz="0" w:space="0" w:color="auto"/>
            <w:right w:val="none" w:sz="0" w:space="0" w:color="auto"/>
          </w:divBdr>
        </w:div>
      </w:divsChild>
    </w:div>
    <w:div w:id="1980332358">
      <w:bodyDiv w:val="1"/>
      <w:marLeft w:val="0"/>
      <w:marRight w:val="0"/>
      <w:marTop w:val="0"/>
      <w:marBottom w:val="0"/>
      <w:divBdr>
        <w:top w:val="none" w:sz="0" w:space="0" w:color="auto"/>
        <w:left w:val="none" w:sz="0" w:space="0" w:color="auto"/>
        <w:bottom w:val="none" w:sz="0" w:space="0" w:color="auto"/>
        <w:right w:val="none" w:sz="0" w:space="0" w:color="auto"/>
      </w:divBdr>
    </w:div>
    <w:div w:id="2027555076">
      <w:bodyDiv w:val="1"/>
      <w:marLeft w:val="0"/>
      <w:marRight w:val="0"/>
      <w:marTop w:val="0"/>
      <w:marBottom w:val="0"/>
      <w:divBdr>
        <w:top w:val="none" w:sz="0" w:space="0" w:color="auto"/>
        <w:left w:val="none" w:sz="0" w:space="0" w:color="auto"/>
        <w:bottom w:val="none" w:sz="0" w:space="0" w:color="auto"/>
        <w:right w:val="none" w:sz="0" w:space="0" w:color="auto"/>
      </w:divBdr>
    </w:div>
    <w:div w:id="2116057298">
      <w:bodyDiv w:val="1"/>
      <w:marLeft w:val="0"/>
      <w:marRight w:val="0"/>
      <w:marTop w:val="0"/>
      <w:marBottom w:val="0"/>
      <w:divBdr>
        <w:top w:val="none" w:sz="0" w:space="0" w:color="auto"/>
        <w:left w:val="none" w:sz="0" w:space="0" w:color="auto"/>
        <w:bottom w:val="none" w:sz="0" w:space="0" w:color="auto"/>
        <w:right w:val="none" w:sz="0" w:space="0" w:color="auto"/>
      </w:divBdr>
    </w:div>
    <w:div w:id="214507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7.xml"/><Relationship Id="rId18" Type="http://schemas.openxmlformats.org/officeDocument/2006/relationships/hyperlink" Target="https://www.emdgroup.com/en/sustainability-report/2021/employees/diversity-inclusion.html" TargetMode="External"/><Relationship Id="rId26" Type="http://schemas.openxmlformats.org/officeDocument/2006/relationships/hyperlink" Target="https://www.drugdangers.com/manufacturers/merck/" TargetMode="External"/><Relationship Id="rId21" Type="http://schemas.openxmlformats.org/officeDocument/2006/relationships/hyperlink" Target="https://www.msd.com/company-overview/history/" TargetMode="External"/><Relationship Id="rId34" Type="http://schemas.openxmlformats.org/officeDocument/2006/relationships/header" Target="header1.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hyperlink" Target="http://www.emdgroup.com/en/annualreport/2021/management-report/non-financial-statement/employee-related-matters/diversity-equity-and-inclusion.html" TargetMode="External"/><Relationship Id="rId25" Type="http://schemas.openxmlformats.org/officeDocument/2006/relationships/hyperlink" Target="https://www.stock-analysis-on.net/NYSE/Company/Merck-Co-Inc/Analysis/Debt" TargetMode="External"/><Relationship Id="rId33" Type="http://schemas.openxmlformats.org/officeDocument/2006/relationships/hyperlink" Target="https://www.healthsystemtracker.org/chart-collection/recent-forecasted-trends-prescription-drug-spending/#Chart:%20Average%20annual%20growth%20rate%20of%20prescription%20drug%20spending%20per%20capita%20for%201970"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businesswire.com/news/home/20221130005610/en/Analyzing-the-1.4-Trillion-Global-Pharmaceutical-Industry-2022---ResearchAndMarkets.com" TargetMode="External"/><Relationship Id="rId20" Type="http://schemas.openxmlformats.org/officeDocument/2006/relationships/hyperlink" Target="https://www.investopedia.com/articles/investing/020316/how-pharmaceutical-companies-price-their-drugs.asp" TargetMode="External"/><Relationship Id="rId29" Type="http://schemas.openxmlformats.org/officeDocument/2006/relationships/hyperlink" Target="https://www.globenewswire.com/news-release/2022/03/04/2396935/0/en/Pharmaceuticals-Global-Market-Report-2022.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hyperlink" Target="https://www.zippia.com/merck-careers-7373/demographics/" TargetMode="External"/><Relationship Id="rId32" Type="http://schemas.openxmlformats.org/officeDocument/2006/relationships/hyperlink" Target="https://app.valens-research.com/companies/MRK:USA/company-analysis/valens-credit/credit-cash-flow-base-case"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hart" Target="charts/chart9.xml"/><Relationship Id="rId23" Type="http://schemas.openxmlformats.org/officeDocument/2006/relationships/hyperlink" Target="https://www.fiercepharma.com/pharma/merck-aims-to-significantly-increase-proportion-of-women-management" TargetMode="External"/><Relationship Id="rId28" Type="http://schemas.openxmlformats.org/officeDocument/2006/relationships/hyperlink" Target="https://www.zippia.com/pharmaceutical-scientist-jobs/demographics/" TargetMode="External"/><Relationship Id="rId36" Type="http://schemas.openxmlformats.org/officeDocument/2006/relationships/footer" Target="footer2.xml"/><Relationship Id="rId10" Type="http://schemas.openxmlformats.org/officeDocument/2006/relationships/chart" Target="charts/chart4.xml"/><Relationship Id="rId19" Type="http://schemas.openxmlformats.org/officeDocument/2006/relationships/hyperlink" Target="https://www.merck.com/investor-relations/financial-information/" TargetMode="External"/><Relationship Id="rId31" Type="http://schemas.openxmlformats.org/officeDocument/2006/relationships/hyperlink" Target="https://simplywall.st/stocks/us/pharmaceuticals-biotech/nyse-mrk/merck/news/these-4-measures-indicate-that-merck-nysemrk-is-using-debt-s" TargetMode="Externa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hyperlink" Target="https://www.sec.gov/ix?doc=/Archives/edgar/data/310158/000031015822000034/mrk-20220930.htm" TargetMode="External"/><Relationship Id="rId27" Type="http://schemas.openxmlformats.org/officeDocument/2006/relationships/hyperlink" Target="https://www.macrotrends.net/stocks/charts/MRK/merck/long-term-debt" TargetMode="External"/><Relationship Id="rId30" Type="http://schemas.openxmlformats.org/officeDocument/2006/relationships/hyperlink" Target="https://www.federalreserve.gov/releases/cp/" TargetMode="External"/><Relationship Id="rId35" Type="http://schemas.openxmlformats.org/officeDocument/2006/relationships/footer" Target="footer1.xml"/><Relationship Id="rId8" Type="http://schemas.openxmlformats.org/officeDocument/2006/relationships/chart" Target="charts/chart2.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hyperlink" Target="https://mycourses.hult.edu/courses/3381586"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tura_ventola_franch/Desktop/FIN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tura_ventola_franch/Desktop/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tura_ventola_franch/Desktop/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tura_ventola_franch/Desktop/FIN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tura_ventola_franch/Desktop/FINA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tura_ventola_franch/Desktop/FINA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tura_ventola_franch/Desktop/FINA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tura_ventola_franch/Desktop/FINA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tura_ventola_franch/Desktop/FINA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sz="1200"/>
              <a:t>Industry Forecast</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Company!$A$24</c:f>
              <c:strCache>
                <c:ptCount val="1"/>
                <c:pt idx="0">
                  <c:v>Total revenue in billions</c:v>
                </c:pt>
              </c:strCache>
            </c:strRef>
          </c:tx>
          <c:spPr>
            <a:ln w="28575" cap="rnd">
              <a:solidFill>
                <a:schemeClr val="accent1"/>
              </a:solidFill>
              <a:miter lim="800000"/>
            </a:ln>
            <a:effectLst/>
          </c:spPr>
          <c:marker>
            <c:symbol val="diamond"/>
            <c:size val="6"/>
            <c:spPr>
              <a:solidFill>
                <a:schemeClr val="accent1"/>
              </a:solidFill>
              <a:ln w="9525">
                <a:solidFill>
                  <a:schemeClr val="accent1"/>
                </a:solidFill>
                <a:bevel/>
              </a:ln>
              <a:effectLst/>
            </c:spPr>
          </c:marker>
          <c:dPt>
            <c:idx val="7"/>
            <c:marker>
              <c:symbol val="diamond"/>
              <c:size val="6"/>
              <c:spPr>
                <a:solidFill>
                  <a:schemeClr val="accent6"/>
                </a:solidFill>
                <a:ln w="9525">
                  <a:solidFill>
                    <a:schemeClr val="accent6"/>
                  </a:solidFill>
                  <a:bevel/>
                </a:ln>
                <a:effectLst/>
              </c:spPr>
            </c:marker>
            <c:bubble3D val="0"/>
            <c:spPr>
              <a:ln w="28575" cap="rnd">
                <a:solidFill>
                  <a:schemeClr val="accent6"/>
                </a:solidFill>
                <a:miter lim="800000"/>
              </a:ln>
              <a:effectLst/>
            </c:spPr>
            <c:extLst>
              <c:ext xmlns:c16="http://schemas.microsoft.com/office/drawing/2014/chart" uri="{C3380CC4-5D6E-409C-BE32-E72D297353CC}">
                <c16:uniqueId val="{00000001-48EE-FC47-BE31-8CD902FAB205}"/>
              </c:ext>
            </c:extLst>
          </c:dPt>
          <c:dPt>
            <c:idx val="8"/>
            <c:marker>
              <c:symbol val="diamond"/>
              <c:size val="6"/>
              <c:spPr>
                <a:solidFill>
                  <a:schemeClr val="accent6"/>
                </a:solidFill>
                <a:ln w="9525">
                  <a:solidFill>
                    <a:schemeClr val="accent6"/>
                  </a:solidFill>
                  <a:bevel/>
                </a:ln>
                <a:effectLst/>
              </c:spPr>
            </c:marker>
            <c:bubble3D val="0"/>
            <c:spPr>
              <a:ln w="28575" cap="rnd">
                <a:solidFill>
                  <a:schemeClr val="accent6"/>
                </a:solidFill>
                <a:miter lim="800000"/>
              </a:ln>
              <a:effectLst/>
            </c:spPr>
            <c:extLst>
              <c:ext xmlns:c16="http://schemas.microsoft.com/office/drawing/2014/chart" uri="{C3380CC4-5D6E-409C-BE32-E72D297353CC}">
                <c16:uniqueId val="{00000003-48EE-FC47-BE31-8CD902FAB205}"/>
              </c:ext>
            </c:extLst>
          </c:dPt>
          <c:dPt>
            <c:idx val="9"/>
            <c:marker>
              <c:symbol val="diamond"/>
              <c:size val="6"/>
              <c:spPr>
                <a:solidFill>
                  <a:schemeClr val="accent6"/>
                </a:solidFill>
                <a:ln w="9525">
                  <a:solidFill>
                    <a:schemeClr val="accent6"/>
                  </a:solidFill>
                  <a:bevel/>
                </a:ln>
                <a:effectLst/>
              </c:spPr>
            </c:marker>
            <c:bubble3D val="0"/>
            <c:spPr>
              <a:ln w="28575" cap="rnd">
                <a:solidFill>
                  <a:schemeClr val="accent6"/>
                </a:solidFill>
                <a:miter lim="800000"/>
              </a:ln>
              <a:effectLst/>
            </c:spPr>
            <c:extLst>
              <c:ext xmlns:c16="http://schemas.microsoft.com/office/drawing/2014/chart" uri="{C3380CC4-5D6E-409C-BE32-E72D297353CC}">
                <c16:uniqueId val="{00000005-48EE-FC47-BE31-8CD902FAB205}"/>
              </c:ext>
            </c:extLst>
          </c:dPt>
          <c:dPt>
            <c:idx val="10"/>
            <c:marker>
              <c:symbol val="diamond"/>
              <c:size val="6"/>
              <c:spPr>
                <a:solidFill>
                  <a:schemeClr val="accent6"/>
                </a:solidFill>
                <a:ln w="9525">
                  <a:solidFill>
                    <a:schemeClr val="accent6"/>
                  </a:solidFill>
                  <a:bevel/>
                </a:ln>
                <a:effectLst/>
              </c:spPr>
            </c:marker>
            <c:bubble3D val="0"/>
            <c:spPr>
              <a:ln w="28575" cap="rnd">
                <a:solidFill>
                  <a:schemeClr val="accent6"/>
                </a:solidFill>
                <a:miter lim="800000"/>
              </a:ln>
              <a:effectLst/>
            </c:spPr>
            <c:extLst>
              <c:ext xmlns:c16="http://schemas.microsoft.com/office/drawing/2014/chart" uri="{C3380CC4-5D6E-409C-BE32-E72D297353CC}">
                <c16:uniqueId val="{00000007-48EE-FC47-BE31-8CD902FAB205}"/>
              </c:ext>
            </c:extLst>
          </c:dPt>
          <c:dPt>
            <c:idx val="11"/>
            <c:marker>
              <c:symbol val="diamond"/>
              <c:size val="6"/>
              <c:spPr>
                <a:solidFill>
                  <a:schemeClr val="accent6"/>
                </a:solidFill>
                <a:ln w="9525">
                  <a:solidFill>
                    <a:schemeClr val="accent6"/>
                  </a:solidFill>
                  <a:bevel/>
                </a:ln>
                <a:effectLst/>
              </c:spPr>
            </c:marker>
            <c:bubble3D val="0"/>
            <c:spPr>
              <a:ln w="28575" cap="rnd">
                <a:solidFill>
                  <a:schemeClr val="accent6"/>
                </a:solidFill>
                <a:miter lim="800000"/>
              </a:ln>
              <a:effectLst/>
            </c:spPr>
            <c:extLst>
              <c:ext xmlns:c16="http://schemas.microsoft.com/office/drawing/2014/chart" uri="{C3380CC4-5D6E-409C-BE32-E72D297353CC}">
                <c16:uniqueId val="{00000009-48EE-FC47-BE31-8CD902FAB205}"/>
              </c:ext>
            </c:extLst>
          </c:dPt>
          <c:cat>
            <c:numRef>
              <c:f>Company!$B$23:$M$23</c:f>
              <c:numCache>
                <c:formatCode>General</c:formatCode>
                <c:ptCount val="12"/>
                <c:pt idx="0">
                  <c:v>2016</c:v>
                </c:pt>
                <c:pt idx="1">
                  <c:v>2017</c:v>
                </c:pt>
                <c:pt idx="2">
                  <c:v>2018</c:v>
                </c:pt>
                <c:pt idx="3">
                  <c:v>2019</c:v>
                </c:pt>
                <c:pt idx="4">
                  <c:v>2020</c:v>
                </c:pt>
                <c:pt idx="5">
                  <c:v>2021</c:v>
                </c:pt>
                <c:pt idx="6">
                  <c:v>2022</c:v>
                </c:pt>
                <c:pt idx="7">
                  <c:v>2023</c:v>
                </c:pt>
                <c:pt idx="8">
                  <c:v>2024</c:v>
                </c:pt>
                <c:pt idx="9">
                  <c:v>2025</c:v>
                </c:pt>
                <c:pt idx="10">
                  <c:v>2026</c:v>
                </c:pt>
                <c:pt idx="11">
                  <c:v>2027</c:v>
                </c:pt>
              </c:numCache>
            </c:numRef>
          </c:cat>
          <c:val>
            <c:numRef>
              <c:f>Company!$B$24:$M$24</c:f>
              <c:numCache>
                <c:formatCode>General</c:formatCode>
                <c:ptCount val="12"/>
                <c:pt idx="0">
                  <c:v>821.1</c:v>
                </c:pt>
                <c:pt idx="1">
                  <c:v>847.4</c:v>
                </c:pt>
                <c:pt idx="2">
                  <c:v>883</c:v>
                </c:pt>
                <c:pt idx="3">
                  <c:v>917.5</c:v>
                </c:pt>
                <c:pt idx="4">
                  <c:v>931.6</c:v>
                </c:pt>
                <c:pt idx="5">
                  <c:v>1047</c:v>
                </c:pt>
                <c:pt idx="6">
                  <c:v>1109</c:v>
                </c:pt>
                <c:pt idx="7">
                  <c:v>1148</c:v>
                </c:pt>
                <c:pt idx="8">
                  <c:v>1203</c:v>
                </c:pt>
                <c:pt idx="9">
                  <c:v>1274</c:v>
                </c:pt>
                <c:pt idx="10">
                  <c:v>1351</c:v>
                </c:pt>
                <c:pt idx="11">
                  <c:v>1431</c:v>
                </c:pt>
              </c:numCache>
            </c:numRef>
          </c:val>
          <c:smooth val="0"/>
          <c:extLst>
            <c:ext xmlns:c16="http://schemas.microsoft.com/office/drawing/2014/chart" uri="{C3380CC4-5D6E-409C-BE32-E72D297353CC}">
              <c16:uniqueId val="{0000000A-48EE-FC47-BE31-8CD902FAB205}"/>
            </c:ext>
          </c:extLst>
        </c:ser>
        <c:dLbls>
          <c:showLegendKey val="0"/>
          <c:showVal val="0"/>
          <c:showCatName val="0"/>
          <c:showSerName val="0"/>
          <c:showPercent val="0"/>
          <c:showBubbleSize val="0"/>
        </c:dLbls>
        <c:marker val="1"/>
        <c:smooth val="0"/>
        <c:axId val="985041488"/>
        <c:axId val="985266720"/>
      </c:lineChart>
      <c:catAx>
        <c:axId val="985041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985266720"/>
        <c:crosses val="autoZero"/>
        <c:auto val="1"/>
        <c:lblAlgn val="ctr"/>
        <c:lblOffset val="100"/>
        <c:noMultiLvlLbl val="0"/>
      </c:catAx>
      <c:valAx>
        <c:axId val="985266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9850414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sz="1200"/>
              <a:t>Revenue comparison 2022-2021</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Company!$F$3</c:f>
              <c:strCache>
                <c:ptCount val="1"/>
                <c:pt idx="0">
                  <c:v>Revenue 2022</c:v>
                </c:pt>
              </c:strCache>
            </c:strRef>
          </c:tx>
          <c:spPr>
            <a:solidFill>
              <a:schemeClr val="accent1"/>
            </a:solidFill>
            <a:ln>
              <a:noFill/>
            </a:ln>
            <a:effectLst/>
          </c:spPr>
          <c:invertIfNegative val="0"/>
          <c:cat>
            <c:strRef>
              <c:f>Company!$E$4:$E$13</c:f>
              <c:strCache>
                <c:ptCount val="10"/>
                <c:pt idx="0">
                  <c:v>Pfizer</c:v>
                </c:pt>
                <c:pt idx="1">
                  <c:v>Roche</c:v>
                </c:pt>
                <c:pt idx="2">
                  <c:v>Abbvie</c:v>
                </c:pt>
                <c:pt idx="3">
                  <c:v>Johnson &amp; Johnson</c:v>
                </c:pt>
                <c:pt idx="4">
                  <c:v>Novartis</c:v>
                </c:pt>
                <c:pt idx="5">
                  <c:v>Bayer</c:v>
                </c:pt>
                <c:pt idx="6">
                  <c:v>Merck</c:v>
                </c:pt>
                <c:pt idx="7">
                  <c:v>Bristol Myers Squibb</c:v>
                </c:pt>
                <c:pt idx="8">
                  <c:v>GlaxoSmithKline</c:v>
                </c:pt>
                <c:pt idx="9">
                  <c:v>Sanofi</c:v>
                </c:pt>
              </c:strCache>
            </c:strRef>
          </c:cat>
          <c:val>
            <c:numRef>
              <c:f>Company!$F$4:$F$13</c:f>
              <c:numCache>
                <c:formatCode>0.0</c:formatCode>
                <c:ptCount val="10"/>
                <c:pt idx="0">
                  <c:v>72.043000000000006</c:v>
                </c:pt>
                <c:pt idx="1">
                  <c:v>49.292999999999999</c:v>
                </c:pt>
                <c:pt idx="2">
                  <c:v>55.040999999999997</c:v>
                </c:pt>
                <c:pt idx="3">
                  <c:v>49.820999999999998</c:v>
                </c:pt>
                <c:pt idx="4">
                  <c:v>51.128</c:v>
                </c:pt>
                <c:pt idx="5">
                  <c:v>50.66</c:v>
                </c:pt>
                <c:pt idx="6">
                  <c:v>43.259</c:v>
                </c:pt>
                <c:pt idx="7">
                  <c:v>45.668999999999997</c:v>
                </c:pt>
                <c:pt idx="8">
                  <c:v>33.442999999999998</c:v>
                </c:pt>
                <c:pt idx="9">
                  <c:v>38.933999999999997</c:v>
                </c:pt>
              </c:numCache>
            </c:numRef>
          </c:val>
          <c:extLst>
            <c:ext xmlns:c16="http://schemas.microsoft.com/office/drawing/2014/chart" uri="{C3380CC4-5D6E-409C-BE32-E72D297353CC}">
              <c16:uniqueId val="{00000000-D9CC-2348-8802-741C6AC87131}"/>
            </c:ext>
          </c:extLst>
        </c:ser>
        <c:ser>
          <c:idx val="1"/>
          <c:order val="1"/>
          <c:tx>
            <c:strRef>
              <c:f>Company!$G$3</c:f>
              <c:strCache>
                <c:ptCount val="1"/>
                <c:pt idx="0">
                  <c:v>Revenue 2021</c:v>
                </c:pt>
              </c:strCache>
            </c:strRef>
          </c:tx>
          <c:spPr>
            <a:solidFill>
              <a:srgbClr val="00CEC8"/>
            </a:solidFill>
            <a:ln>
              <a:noFill/>
            </a:ln>
            <a:effectLst/>
          </c:spPr>
          <c:invertIfNegative val="0"/>
          <c:cat>
            <c:strRef>
              <c:f>Company!$E$4:$E$13</c:f>
              <c:strCache>
                <c:ptCount val="10"/>
                <c:pt idx="0">
                  <c:v>Pfizer</c:v>
                </c:pt>
                <c:pt idx="1">
                  <c:v>Roche</c:v>
                </c:pt>
                <c:pt idx="2">
                  <c:v>Abbvie</c:v>
                </c:pt>
                <c:pt idx="3">
                  <c:v>Johnson &amp; Johnson</c:v>
                </c:pt>
                <c:pt idx="4">
                  <c:v>Novartis</c:v>
                </c:pt>
                <c:pt idx="5">
                  <c:v>Bayer</c:v>
                </c:pt>
                <c:pt idx="6">
                  <c:v>Merck</c:v>
                </c:pt>
                <c:pt idx="7">
                  <c:v>Bristol Myers Squibb</c:v>
                </c:pt>
                <c:pt idx="8">
                  <c:v>GlaxoSmithKline</c:v>
                </c:pt>
                <c:pt idx="9">
                  <c:v>Sanofi</c:v>
                </c:pt>
              </c:strCache>
            </c:strRef>
          </c:cat>
          <c:val>
            <c:numRef>
              <c:f>Company!$G$4:$G$13</c:f>
              <c:numCache>
                <c:formatCode>General</c:formatCode>
                <c:ptCount val="10"/>
                <c:pt idx="0">
                  <c:v>81.3</c:v>
                </c:pt>
                <c:pt idx="1">
                  <c:v>68.099999999999994</c:v>
                </c:pt>
                <c:pt idx="2">
                  <c:v>56.1</c:v>
                </c:pt>
                <c:pt idx="3">
                  <c:v>52.1</c:v>
                </c:pt>
                <c:pt idx="4">
                  <c:v>51.6</c:v>
                </c:pt>
                <c:pt idx="5">
                  <c:v>48.9</c:v>
                </c:pt>
                <c:pt idx="6">
                  <c:v>48.7</c:v>
                </c:pt>
                <c:pt idx="7">
                  <c:v>46.4</c:v>
                </c:pt>
                <c:pt idx="8">
                  <c:v>46.1</c:v>
                </c:pt>
                <c:pt idx="9">
                  <c:v>42.9</c:v>
                </c:pt>
              </c:numCache>
            </c:numRef>
          </c:val>
          <c:extLst>
            <c:ext xmlns:c16="http://schemas.microsoft.com/office/drawing/2014/chart" uri="{C3380CC4-5D6E-409C-BE32-E72D297353CC}">
              <c16:uniqueId val="{00000001-D9CC-2348-8802-741C6AC87131}"/>
            </c:ext>
          </c:extLst>
        </c:ser>
        <c:dLbls>
          <c:showLegendKey val="0"/>
          <c:showVal val="0"/>
          <c:showCatName val="0"/>
          <c:showSerName val="0"/>
          <c:showPercent val="0"/>
          <c:showBubbleSize val="0"/>
        </c:dLbls>
        <c:gapWidth val="219"/>
        <c:overlap val="-27"/>
        <c:axId val="1131747440"/>
        <c:axId val="1131863120"/>
      </c:barChart>
      <c:catAx>
        <c:axId val="1131747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31863120"/>
        <c:crosses val="autoZero"/>
        <c:auto val="1"/>
        <c:lblAlgn val="ctr"/>
        <c:lblOffset val="100"/>
        <c:noMultiLvlLbl val="0"/>
      </c:catAx>
      <c:valAx>
        <c:axId val="1131863120"/>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31747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sz="1200"/>
              <a:t>R&amp;D forecast 2026</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bar"/>
        <c:grouping val="clustered"/>
        <c:varyColors val="0"/>
        <c:ser>
          <c:idx val="0"/>
          <c:order val="0"/>
          <c:spPr>
            <a:solidFill>
              <a:srgbClr val="C00000"/>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Company!$A$30:$A$39</c:f>
              <c:strCache>
                <c:ptCount val="10"/>
                <c:pt idx="0">
                  <c:v>Roche</c:v>
                </c:pt>
                <c:pt idx="1">
                  <c:v>Johnson &amp; Johnosn</c:v>
                </c:pt>
                <c:pt idx="2">
                  <c:v>Merck</c:v>
                </c:pt>
                <c:pt idx="3">
                  <c:v>Pfizer</c:v>
                </c:pt>
                <c:pt idx="4">
                  <c:v>Novartis</c:v>
                </c:pt>
                <c:pt idx="5">
                  <c:v>Bristol-Myers Squibb</c:v>
                </c:pt>
                <c:pt idx="6">
                  <c:v>AstraZeneca</c:v>
                </c:pt>
                <c:pt idx="7">
                  <c:v>Eli Lilly</c:v>
                </c:pt>
                <c:pt idx="8">
                  <c:v>GlaxoSmithKline</c:v>
                </c:pt>
                <c:pt idx="9">
                  <c:v>AbbVie</c:v>
                </c:pt>
              </c:strCache>
            </c:strRef>
          </c:cat>
          <c:val>
            <c:numRef>
              <c:f>Company!$B$30:$B$39</c:f>
              <c:numCache>
                <c:formatCode>General</c:formatCode>
                <c:ptCount val="10"/>
                <c:pt idx="0">
                  <c:v>14</c:v>
                </c:pt>
                <c:pt idx="1">
                  <c:v>12.2</c:v>
                </c:pt>
                <c:pt idx="2">
                  <c:v>11.4</c:v>
                </c:pt>
                <c:pt idx="3">
                  <c:v>10.5</c:v>
                </c:pt>
                <c:pt idx="4">
                  <c:v>10</c:v>
                </c:pt>
                <c:pt idx="5">
                  <c:v>9</c:v>
                </c:pt>
                <c:pt idx="6">
                  <c:v>8.6</c:v>
                </c:pt>
                <c:pt idx="7">
                  <c:v>8.1</c:v>
                </c:pt>
                <c:pt idx="8">
                  <c:v>7.9</c:v>
                </c:pt>
                <c:pt idx="9">
                  <c:v>7.5</c:v>
                </c:pt>
              </c:numCache>
            </c:numRef>
          </c:val>
          <c:extLst>
            <c:ext xmlns:c16="http://schemas.microsoft.com/office/drawing/2014/chart" uri="{C3380CC4-5D6E-409C-BE32-E72D297353CC}">
              <c16:uniqueId val="{00000000-9DB1-1846-B3E0-53C9640A3A3A}"/>
            </c:ext>
          </c:extLst>
        </c:ser>
        <c:dLbls>
          <c:dLblPos val="outEnd"/>
          <c:showLegendKey val="0"/>
          <c:showVal val="1"/>
          <c:showCatName val="0"/>
          <c:showSerName val="0"/>
          <c:showPercent val="0"/>
          <c:showBubbleSize val="0"/>
        </c:dLbls>
        <c:gapWidth val="182"/>
        <c:axId val="1061881344"/>
        <c:axId val="954565312"/>
      </c:barChart>
      <c:catAx>
        <c:axId val="10618813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954565312"/>
        <c:crosses val="autoZero"/>
        <c:auto val="1"/>
        <c:lblAlgn val="ctr"/>
        <c:lblOffset val="100"/>
        <c:noMultiLvlLbl val="0"/>
      </c:catAx>
      <c:valAx>
        <c:axId val="9545653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0618813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sz="1200"/>
              <a:t>Revenue and R&amp;D top companies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Company!$B$3</c:f>
              <c:strCache>
                <c:ptCount val="1"/>
                <c:pt idx="0">
                  <c:v>Revenue</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Company!$A$4:$A$13</c:f>
              <c:strCache>
                <c:ptCount val="10"/>
                <c:pt idx="0">
                  <c:v>Pfizer</c:v>
                </c:pt>
                <c:pt idx="1">
                  <c:v>Abbvie</c:v>
                </c:pt>
                <c:pt idx="2">
                  <c:v>Novartis</c:v>
                </c:pt>
                <c:pt idx="3">
                  <c:v>Johnson &amp; Johnson</c:v>
                </c:pt>
                <c:pt idx="4">
                  <c:v>Roche</c:v>
                </c:pt>
                <c:pt idx="5">
                  <c:v>Bristol Myers Squibb</c:v>
                </c:pt>
                <c:pt idx="6">
                  <c:v>Merck</c:v>
                </c:pt>
                <c:pt idx="7">
                  <c:v>Sanofi</c:v>
                </c:pt>
                <c:pt idx="8">
                  <c:v>AstraZeneca</c:v>
                </c:pt>
                <c:pt idx="9">
                  <c:v>GlaxoSmithKline</c:v>
                </c:pt>
              </c:strCache>
            </c:strRef>
          </c:cat>
          <c:val>
            <c:numRef>
              <c:f>Company!$B$4:$B$13</c:f>
              <c:numCache>
                <c:formatCode>0.0</c:formatCode>
                <c:ptCount val="10"/>
                <c:pt idx="0">
                  <c:v>72.043000000000006</c:v>
                </c:pt>
                <c:pt idx="1">
                  <c:v>55.040999999999997</c:v>
                </c:pt>
                <c:pt idx="2">
                  <c:v>51.128</c:v>
                </c:pt>
                <c:pt idx="3">
                  <c:v>49.820999999999998</c:v>
                </c:pt>
                <c:pt idx="4">
                  <c:v>49.292999999999999</c:v>
                </c:pt>
                <c:pt idx="5">
                  <c:v>45.668999999999997</c:v>
                </c:pt>
                <c:pt idx="6">
                  <c:v>43.259</c:v>
                </c:pt>
                <c:pt idx="7">
                  <c:v>38.933999999999997</c:v>
                </c:pt>
                <c:pt idx="8">
                  <c:v>36.131</c:v>
                </c:pt>
                <c:pt idx="9">
                  <c:v>33.442999999999998</c:v>
                </c:pt>
              </c:numCache>
            </c:numRef>
          </c:val>
          <c:extLst>
            <c:ext xmlns:c16="http://schemas.microsoft.com/office/drawing/2014/chart" uri="{C3380CC4-5D6E-409C-BE32-E72D297353CC}">
              <c16:uniqueId val="{00000000-6FA0-2544-94B4-1A59ECD8C886}"/>
            </c:ext>
          </c:extLst>
        </c:ser>
        <c:ser>
          <c:idx val="1"/>
          <c:order val="1"/>
          <c:tx>
            <c:strRef>
              <c:f>Company!$C$3</c:f>
              <c:strCache>
                <c:ptCount val="1"/>
                <c:pt idx="0">
                  <c:v>R&amp;D</c:v>
                </c:pt>
              </c:strCache>
            </c:strRef>
          </c:tx>
          <c:spPr>
            <a:solidFill>
              <a:srgbClr val="C00000"/>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Company!$A$4:$A$13</c:f>
              <c:strCache>
                <c:ptCount val="10"/>
                <c:pt idx="0">
                  <c:v>Pfizer</c:v>
                </c:pt>
                <c:pt idx="1">
                  <c:v>Abbvie</c:v>
                </c:pt>
                <c:pt idx="2">
                  <c:v>Novartis</c:v>
                </c:pt>
                <c:pt idx="3">
                  <c:v>Johnson &amp; Johnson</c:v>
                </c:pt>
                <c:pt idx="4">
                  <c:v>Roche</c:v>
                </c:pt>
                <c:pt idx="5">
                  <c:v>Bristol Myers Squibb</c:v>
                </c:pt>
                <c:pt idx="6">
                  <c:v>Merck</c:v>
                </c:pt>
                <c:pt idx="7">
                  <c:v>Sanofi</c:v>
                </c:pt>
                <c:pt idx="8">
                  <c:v>AstraZeneca</c:v>
                </c:pt>
                <c:pt idx="9">
                  <c:v>GlaxoSmithKline</c:v>
                </c:pt>
              </c:strCache>
            </c:strRef>
          </c:cat>
          <c:val>
            <c:numRef>
              <c:f>Company!$C$4:$C$13</c:f>
              <c:numCache>
                <c:formatCode>0.0</c:formatCode>
                <c:ptCount val="10"/>
                <c:pt idx="0">
                  <c:v>13.829000000000001</c:v>
                </c:pt>
                <c:pt idx="1">
                  <c:v>6.5179999999999998</c:v>
                </c:pt>
                <c:pt idx="2">
                  <c:v>9.0410000000000004</c:v>
                </c:pt>
                <c:pt idx="3">
                  <c:v>11.781000000000001</c:v>
                </c:pt>
                <c:pt idx="4">
                  <c:v>13.08</c:v>
                </c:pt>
                <c:pt idx="5">
                  <c:v>9.5310000000000006</c:v>
                </c:pt>
                <c:pt idx="6">
                  <c:v>12.244999999999999</c:v>
                </c:pt>
                <c:pt idx="7">
                  <c:v>6.15</c:v>
                </c:pt>
                <c:pt idx="8">
                  <c:v>7.9870000000000001</c:v>
                </c:pt>
                <c:pt idx="9">
                  <c:v>6.5730000000000004</c:v>
                </c:pt>
              </c:numCache>
            </c:numRef>
          </c:val>
          <c:extLst>
            <c:ext xmlns:c16="http://schemas.microsoft.com/office/drawing/2014/chart" uri="{C3380CC4-5D6E-409C-BE32-E72D297353CC}">
              <c16:uniqueId val="{00000001-6FA0-2544-94B4-1A59ECD8C886}"/>
            </c:ext>
          </c:extLst>
        </c:ser>
        <c:dLbls>
          <c:dLblPos val="outEnd"/>
          <c:showLegendKey val="0"/>
          <c:showVal val="1"/>
          <c:showCatName val="0"/>
          <c:showSerName val="0"/>
          <c:showPercent val="0"/>
          <c:showBubbleSize val="0"/>
        </c:dLbls>
        <c:gapWidth val="219"/>
        <c:overlap val="-27"/>
        <c:axId val="1006166592"/>
        <c:axId val="1006161680"/>
      </c:barChart>
      <c:catAx>
        <c:axId val="1006166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006161680"/>
        <c:crosses val="autoZero"/>
        <c:auto val="1"/>
        <c:lblAlgn val="ctr"/>
        <c:lblOffset val="100"/>
        <c:noMultiLvlLbl val="0"/>
      </c:catAx>
      <c:valAx>
        <c:axId val="1006161680"/>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006166592"/>
        <c:crosses val="autoZero"/>
        <c:crossBetween val="between"/>
      </c:valAx>
      <c:spPr>
        <a:noFill/>
        <a:ln>
          <a:noFill/>
        </a:ln>
        <a:effectLst/>
      </c:spPr>
    </c:plotArea>
    <c:legend>
      <c:legendPos val="b"/>
      <c:layout>
        <c:manualLayout>
          <c:xMode val="edge"/>
          <c:yMode val="edge"/>
          <c:x val="0.41917691174339405"/>
          <c:y val="0.90596469151799075"/>
          <c:w val="0.15858623979517897"/>
          <c:h val="6.275852187780324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sz="1200"/>
              <a:t>Holt-Winters Multiplicative Seasonal (HWMS)</a:t>
            </a:r>
            <a:r>
              <a:rPr lang="en-US" sz="1200" baseline="0"/>
              <a:t> </a:t>
            </a:r>
            <a:r>
              <a:rPr lang="en-US" sz="1200"/>
              <a:t>Sales Forecast</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'HWMS Model'!$C$12</c:f>
              <c:strCache>
                <c:ptCount val="1"/>
                <c:pt idx="0">
                  <c:v>  Sales</c:v>
                </c:pt>
              </c:strCache>
            </c:strRef>
          </c:tx>
          <c:spPr>
            <a:ln w="28575" cap="rnd">
              <a:solidFill>
                <a:schemeClr val="accent1"/>
              </a:solidFill>
              <a:round/>
            </a:ln>
            <a:effectLst/>
          </c:spPr>
          <c:marker>
            <c:symbol val="none"/>
          </c:marker>
          <c:cat>
            <c:numRef>
              <c:f>'HWMS Model'!$B$13:$B$39</c:f>
              <c:numCache>
                <c:formatCode>m/d/yy</c:formatCode>
                <c:ptCount val="27"/>
                <c:pt idx="0">
                  <c:v>42886</c:v>
                </c:pt>
                <c:pt idx="1">
                  <c:v>42916</c:v>
                </c:pt>
                <c:pt idx="2">
                  <c:v>43008</c:v>
                </c:pt>
                <c:pt idx="3">
                  <c:v>43100</c:v>
                </c:pt>
                <c:pt idx="4">
                  <c:v>43251</c:v>
                </c:pt>
                <c:pt idx="5">
                  <c:v>43281</c:v>
                </c:pt>
                <c:pt idx="6">
                  <c:v>43373</c:v>
                </c:pt>
                <c:pt idx="7">
                  <c:v>43465</c:v>
                </c:pt>
                <c:pt idx="8">
                  <c:v>43616</c:v>
                </c:pt>
                <c:pt idx="9">
                  <c:v>43646</c:v>
                </c:pt>
                <c:pt idx="10">
                  <c:v>43738</c:v>
                </c:pt>
                <c:pt idx="11">
                  <c:v>43830</c:v>
                </c:pt>
                <c:pt idx="12">
                  <c:v>43982</c:v>
                </c:pt>
                <c:pt idx="13">
                  <c:v>44012</c:v>
                </c:pt>
                <c:pt idx="14">
                  <c:v>44104</c:v>
                </c:pt>
                <c:pt idx="15">
                  <c:v>44196</c:v>
                </c:pt>
                <c:pt idx="16">
                  <c:v>44347</c:v>
                </c:pt>
                <c:pt idx="17">
                  <c:v>44377</c:v>
                </c:pt>
                <c:pt idx="18">
                  <c:v>44469</c:v>
                </c:pt>
                <c:pt idx="19">
                  <c:v>44561</c:v>
                </c:pt>
                <c:pt idx="20">
                  <c:v>44712</c:v>
                </c:pt>
                <c:pt idx="21">
                  <c:v>44742</c:v>
                </c:pt>
                <c:pt idx="22">
                  <c:v>44834</c:v>
                </c:pt>
                <c:pt idx="23">
                  <c:v>44926</c:v>
                </c:pt>
                <c:pt idx="24">
                  <c:v>45077</c:v>
                </c:pt>
                <c:pt idx="25">
                  <c:v>45107</c:v>
                </c:pt>
                <c:pt idx="26">
                  <c:v>45199</c:v>
                </c:pt>
              </c:numCache>
            </c:numRef>
          </c:cat>
          <c:val>
            <c:numRef>
              <c:f>'HWMS Model'!$C$13:$C$39</c:f>
              <c:numCache>
                <c:formatCode>_(* #,##0_);_(* \(#,##0\);_(* "-"??_);_(@_)</c:formatCode>
                <c:ptCount val="27"/>
                <c:pt idx="0">
                  <c:v>9434</c:v>
                </c:pt>
                <c:pt idx="1">
                  <c:v>9930</c:v>
                </c:pt>
                <c:pt idx="2">
                  <c:v>10325</c:v>
                </c:pt>
                <c:pt idx="3">
                  <c:v>10433</c:v>
                </c:pt>
                <c:pt idx="4">
                  <c:v>10037</c:v>
                </c:pt>
                <c:pt idx="5">
                  <c:v>10465</c:v>
                </c:pt>
                <c:pt idx="6">
                  <c:v>10794</c:v>
                </c:pt>
                <c:pt idx="7">
                  <c:v>10998</c:v>
                </c:pt>
                <c:pt idx="8">
                  <c:v>10816</c:v>
                </c:pt>
                <c:pt idx="9">
                  <c:v>11760</c:v>
                </c:pt>
                <c:pt idx="10">
                  <c:v>12397</c:v>
                </c:pt>
                <c:pt idx="11">
                  <c:v>11867</c:v>
                </c:pt>
                <c:pt idx="12">
                  <c:v>12057</c:v>
                </c:pt>
                <c:pt idx="13">
                  <c:v>10872</c:v>
                </c:pt>
                <c:pt idx="14">
                  <c:v>12551</c:v>
                </c:pt>
                <c:pt idx="15">
                  <c:v>12514</c:v>
                </c:pt>
                <c:pt idx="16">
                  <c:v>12080</c:v>
                </c:pt>
                <c:pt idx="17">
                  <c:v>11402</c:v>
                </c:pt>
                <c:pt idx="18">
                  <c:v>13154</c:v>
                </c:pt>
                <c:pt idx="19">
                  <c:v>12068</c:v>
                </c:pt>
                <c:pt idx="20">
                  <c:v>15901</c:v>
                </c:pt>
                <c:pt idx="21">
                  <c:v>14593</c:v>
                </c:pt>
                <c:pt idx="22">
                  <c:v>14959</c:v>
                </c:pt>
              </c:numCache>
            </c:numRef>
          </c:val>
          <c:smooth val="0"/>
          <c:extLst>
            <c:ext xmlns:c16="http://schemas.microsoft.com/office/drawing/2014/chart" uri="{C3380CC4-5D6E-409C-BE32-E72D297353CC}">
              <c16:uniqueId val="{00000000-73FE-D64F-9C78-9FC4E9366ABD}"/>
            </c:ext>
          </c:extLst>
        </c:ser>
        <c:ser>
          <c:idx val="1"/>
          <c:order val="1"/>
          <c:tx>
            <c:strRef>
              <c:f>'HWMS Model'!$G$12</c:f>
              <c:strCache>
                <c:ptCount val="1"/>
                <c:pt idx="0">
                  <c:v>Forecast</c:v>
                </c:pt>
              </c:strCache>
            </c:strRef>
          </c:tx>
          <c:spPr>
            <a:ln w="28575" cap="rnd">
              <a:solidFill>
                <a:schemeClr val="accent2"/>
              </a:solidFill>
              <a:round/>
            </a:ln>
            <a:effectLst/>
          </c:spPr>
          <c:marker>
            <c:symbol val="none"/>
          </c:marker>
          <c:dPt>
            <c:idx val="23"/>
            <c:marker>
              <c:symbol val="none"/>
            </c:marker>
            <c:bubble3D val="0"/>
            <c:spPr>
              <a:ln w="28575" cap="rnd">
                <a:solidFill>
                  <a:srgbClr val="C00000"/>
                </a:solidFill>
                <a:round/>
              </a:ln>
              <a:effectLst/>
            </c:spPr>
            <c:extLst>
              <c:ext xmlns:c16="http://schemas.microsoft.com/office/drawing/2014/chart" uri="{C3380CC4-5D6E-409C-BE32-E72D297353CC}">
                <c16:uniqueId val="{00000002-73FE-D64F-9C78-9FC4E9366ABD}"/>
              </c:ext>
            </c:extLst>
          </c:dPt>
          <c:dPt>
            <c:idx val="24"/>
            <c:marker>
              <c:symbol val="none"/>
            </c:marker>
            <c:bubble3D val="0"/>
            <c:spPr>
              <a:ln w="28575" cap="rnd">
                <a:solidFill>
                  <a:srgbClr val="C00000"/>
                </a:solidFill>
                <a:round/>
              </a:ln>
              <a:effectLst/>
            </c:spPr>
            <c:extLst>
              <c:ext xmlns:c16="http://schemas.microsoft.com/office/drawing/2014/chart" uri="{C3380CC4-5D6E-409C-BE32-E72D297353CC}">
                <c16:uniqueId val="{00000004-73FE-D64F-9C78-9FC4E9366ABD}"/>
              </c:ext>
            </c:extLst>
          </c:dPt>
          <c:dPt>
            <c:idx val="25"/>
            <c:marker>
              <c:symbol val="none"/>
            </c:marker>
            <c:bubble3D val="0"/>
            <c:spPr>
              <a:ln w="28575" cap="rnd">
                <a:solidFill>
                  <a:srgbClr val="C00000"/>
                </a:solidFill>
                <a:round/>
              </a:ln>
              <a:effectLst/>
            </c:spPr>
            <c:extLst>
              <c:ext xmlns:c16="http://schemas.microsoft.com/office/drawing/2014/chart" uri="{C3380CC4-5D6E-409C-BE32-E72D297353CC}">
                <c16:uniqueId val="{00000006-73FE-D64F-9C78-9FC4E9366ABD}"/>
              </c:ext>
            </c:extLst>
          </c:dPt>
          <c:dPt>
            <c:idx val="26"/>
            <c:marker>
              <c:symbol val="none"/>
            </c:marker>
            <c:bubble3D val="0"/>
            <c:spPr>
              <a:ln w="28575" cap="rnd">
                <a:solidFill>
                  <a:srgbClr val="C00000"/>
                </a:solidFill>
                <a:round/>
              </a:ln>
              <a:effectLst/>
            </c:spPr>
            <c:extLst>
              <c:ext xmlns:c16="http://schemas.microsoft.com/office/drawing/2014/chart" uri="{C3380CC4-5D6E-409C-BE32-E72D297353CC}">
                <c16:uniqueId val="{00000008-73FE-D64F-9C78-9FC4E9366ABD}"/>
              </c:ext>
            </c:extLst>
          </c:dPt>
          <c:cat>
            <c:numRef>
              <c:f>'HWMS Model'!$B$13:$B$39</c:f>
              <c:numCache>
                <c:formatCode>m/d/yy</c:formatCode>
                <c:ptCount val="27"/>
                <c:pt idx="0">
                  <c:v>42886</c:v>
                </c:pt>
                <c:pt idx="1">
                  <c:v>42916</c:v>
                </c:pt>
                <c:pt idx="2">
                  <c:v>43008</c:v>
                </c:pt>
                <c:pt idx="3">
                  <c:v>43100</c:v>
                </c:pt>
                <c:pt idx="4">
                  <c:v>43251</c:v>
                </c:pt>
                <c:pt idx="5">
                  <c:v>43281</c:v>
                </c:pt>
                <c:pt idx="6">
                  <c:v>43373</c:v>
                </c:pt>
                <c:pt idx="7">
                  <c:v>43465</c:v>
                </c:pt>
                <c:pt idx="8">
                  <c:v>43616</c:v>
                </c:pt>
                <c:pt idx="9">
                  <c:v>43646</c:v>
                </c:pt>
                <c:pt idx="10">
                  <c:v>43738</c:v>
                </c:pt>
                <c:pt idx="11">
                  <c:v>43830</c:v>
                </c:pt>
                <c:pt idx="12">
                  <c:v>43982</c:v>
                </c:pt>
                <c:pt idx="13">
                  <c:v>44012</c:v>
                </c:pt>
                <c:pt idx="14">
                  <c:v>44104</c:v>
                </c:pt>
                <c:pt idx="15">
                  <c:v>44196</c:v>
                </c:pt>
                <c:pt idx="16">
                  <c:v>44347</c:v>
                </c:pt>
                <c:pt idx="17">
                  <c:v>44377</c:v>
                </c:pt>
                <c:pt idx="18">
                  <c:v>44469</c:v>
                </c:pt>
                <c:pt idx="19">
                  <c:v>44561</c:v>
                </c:pt>
                <c:pt idx="20">
                  <c:v>44712</c:v>
                </c:pt>
                <c:pt idx="21">
                  <c:v>44742</c:v>
                </c:pt>
                <c:pt idx="22">
                  <c:v>44834</c:v>
                </c:pt>
                <c:pt idx="23">
                  <c:v>44926</c:v>
                </c:pt>
                <c:pt idx="24">
                  <c:v>45077</c:v>
                </c:pt>
                <c:pt idx="25">
                  <c:v>45107</c:v>
                </c:pt>
                <c:pt idx="26">
                  <c:v>45199</c:v>
                </c:pt>
              </c:numCache>
            </c:numRef>
          </c:cat>
          <c:val>
            <c:numRef>
              <c:f>'HWMS Model'!$G$13:$G$39</c:f>
              <c:numCache>
                <c:formatCode>General</c:formatCode>
                <c:ptCount val="27"/>
                <c:pt idx="4" formatCode="_(* #,##0_);_(* \(#,##0\);_(* &quot;-&quot;??_);_(@_)">
                  <c:v>9434</c:v>
                </c:pt>
                <c:pt idx="5" formatCode="_(* #,##0_);_(* \(#,##0\);_(* &quot;-&quot;??_);_(@_)">
                  <c:v>10154.674962792336</c:v>
                </c:pt>
                <c:pt idx="6" formatCode="_(* #,##0_);_(* \(#,##0\);_(* &quot;-&quot;??_);_(@_)">
                  <c:v>10704.518010364458</c:v>
                </c:pt>
                <c:pt idx="7" formatCode="_(* #,##0_);_(* \(#,##0\);_(* &quot;-&quot;??_);_(@_)">
                  <c:v>10896.165983756748</c:v>
                </c:pt>
                <c:pt idx="8" formatCode="_(* #,##0_);_(* \(#,##0\);_(* &quot;-&quot;??_);_(@_)">
                  <c:v>10148.935275220954</c:v>
                </c:pt>
                <c:pt idx="9" formatCode="_(* #,##0_);_(* \(#,##0\);_(* &quot;-&quot;??_);_(@_)">
                  <c:v>10865.233722682706</c:v>
                </c:pt>
                <c:pt idx="10" formatCode="_(* #,##0_);_(* \(#,##0\);_(* &quot;-&quot;??_);_(@_)">
                  <c:v>11629.888632171225</c:v>
                </c:pt>
                <c:pt idx="11" formatCode="_(* #,##0_);_(* \(#,##0\);_(* &quot;-&quot;??_);_(@_)">
                  <c:v>12166.687596174927</c:v>
                </c:pt>
                <c:pt idx="12" formatCode="_(* #,##0_);_(* \(#,##0\);_(* &quot;-&quot;??_);_(@_)">
                  <c:v>11520.038838845934</c:v>
                </c:pt>
                <c:pt idx="13" formatCode="_(* #,##0_);_(* \(#,##0\);_(* &quot;-&quot;??_);_(@_)">
                  <c:v>12412.92334435058</c:v>
                </c:pt>
                <c:pt idx="14" formatCode="_(* #,##0_);_(* \(#,##0\);_(* &quot;-&quot;??_);_(@_)">
                  <c:v>12370.527513765805</c:v>
                </c:pt>
                <c:pt idx="15" formatCode="_(* #,##0_);_(* \(#,##0\);_(* &quot;-&quot;??_);_(@_)">
                  <c:v>12297.211864383564</c:v>
                </c:pt>
                <c:pt idx="16" formatCode="_(* #,##0_);_(* \(#,##0\);_(* &quot;-&quot;??_);_(@_)">
                  <c:v>12055.702354840903</c:v>
                </c:pt>
                <c:pt idx="17" formatCode="_(* #,##0_);_(* \(#,##0\);_(* &quot;-&quot;??_);_(@_)">
                  <c:v>11993.484455098076</c:v>
                </c:pt>
                <c:pt idx="18" formatCode="_(* #,##0_);_(* \(#,##0\);_(* &quot;-&quot;??_);_(@_)">
                  <c:v>12862.331929708418</c:v>
                </c:pt>
                <c:pt idx="19" formatCode="_(* #,##0_);_(* \(#,##0\);_(* &quot;-&quot;??_);_(@_)">
                  <c:v>12821.829385157702</c:v>
                </c:pt>
                <c:pt idx="20" formatCode="_(* #,##0_);_(* \(#,##0\);_(* &quot;-&quot;??_);_(@_)">
                  <c:v>12161.020153329267</c:v>
                </c:pt>
                <c:pt idx="21" formatCode="_(* #,##0_);_(* \(#,##0\);_(* &quot;-&quot;??_);_(@_)">
                  <c:v>13101.399321598614</c:v>
                </c:pt>
                <c:pt idx="22" formatCode="_(* #,##0_);_(* \(#,##0\);_(* &quot;-&quot;??_);_(@_)">
                  <c:v>15372.821397581267</c:v>
                </c:pt>
                <c:pt idx="23" formatCode="_(* #,##0_);_(* \(#,##0\);_(* &quot;-&quot;??_);_(@_)">
                  <c:v>14849.933751882034</c:v>
                </c:pt>
                <c:pt idx="24" formatCode="_(* #,##0_);_(* \(#,##0\);_(* &quot;-&quot;??_);_(@_)">
                  <c:v>16320.005267254675</c:v>
                </c:pt>
                <c:pt idx="25" formatCode="_(* #,##0_);_(* \(#,##0\);_(* &quot;-&quot;??_);_(@_)">
                  <c:v>15224.794071778477</c:v>
                </c:pt>
                <c:pt idx="26" formatCode="_(* #,##0_);_(* \(#,##0\);_(* &quot;-&quot;??_);_(@_)">
                  <c:v>16421.899260222668</c:v>
                </c:pt>
              </c:numCache>
            </c:numRef>
          </c:val>
          <c:smooth val="0"/>
          <c:extLst>
            <c:ext xmlns:c16="http://schemas.microsoft.com/office/drawing/2014/chart" uri="{C3380CC4-5D6E-409C-BE32-E72D297353CC}">
              <c16:uniqueId val="{00000009-73FE-D64F-9C78-9FC4E9366ABD}"/>
            </c:ext>
          </c:extLst>
        </c:ser>
        <c:dLbls>
          <c:showLegendKey val="0"/>
          <c:showVal val="0"/>
          <c:showCatName val="0"/>
          <c:showSerName val="0"/>
          <c:showPercent val="0"/>
          <c:showBubbleSize val="0"/>
        </c:dLbls>
        <c:smooth val="0"/>
        <c:axId val="744692544"/>
        <c:axId val="724910512"/>
      </c:lineChart>
      <c:dateAx>
        <c:axId val="744692544"/>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24910512"/>
        <c:crosses val="autoZero"/>
        <c:auto val="1"/>
        <c:lblOffset val="100"/>
        <c:baseTimeUnit val="months"/>
      </c:dateAx>
      <c:valAx>
        <c:axId val="724910512"/>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44692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sz="1200"/>
              <a:t>Q Sales vs COGS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 Sales vs. Trend Method'!$D$4</c:f>
              <c:strCache>
                <c:ptCount val="1"/>
                <c:pt idx="0">
                  <c:v>Q Sales</c:v>
                </c:pt>
              </c:strCache>
            </c:strRef>
          </c:tx>
          <c:spPr>
            <a:ln w="28575" cap="rnd">
              <a:solidFill>
                <a:schemeClr val="accent1"/>
              </a:solidFill>
              <a:round/>
            </a:ln>
            <a:effectLst/>
          </c:spPr>
          <c:marker>
            <c:symbol val="none"/>
          </c:marker>
          <c:cat>
            <c:numRef>
              <c:f>'% Sales vs. Trend Method'!$B$5:$B$27</c:f>
              <c:numCache>
                <c:formatCode>m/d/yy</c:formatCode>
                <c:ptCount val="23"/>
                <c:pt idx="0">
                  <c:v>42886</c:v>
                </c:pt>
                <c:pt idx="1">
                  <c:v>42916</c:v>
                </c:pt>
                <c:pt idx="2">
                  <c:v>43008</c:v>
                </c:pt>
                <c:pt idx="3">
                  <c:v>43100</c:v>
                </c:pt>
                <c:pt idx="4">
                  <c:v>43251</c:v>
                </c:pt>
                <c:pt idx="5">
                  <c:v>43281</c:v>
                </c:pt>
                <c:pt idx="6">
                  <c:v>43373</c:v>
                </c:pt>
                <c:pt idx="7">
                  <c:v>43465</c:v>
                </c:pt>
                <c:pt idx="8">
                  <c:v>43616</c:v>
                </c:pt>
                <c:pt idx="9">
                  <c:v>43646</c:v>
                </c:pt>
                <c:pt idx="10">
                  <c:v>43738</c:v>
                </c:pt>
                <c:pt idx="11">
                  <c:v>43830</c:v>
                </c:pt>
                <c:pt idx="12">
                  <c:v>43982</c:v>
                </c:pt>
                <c:pt idx="13">
                  <c:v>44012</c:v>
                </c:pt>
                <c:pt idx="14">
                  <c:v>44104</c:v>
                </c:pt>
                <c:pt idx="15">
                  <c:v>44196</c:v>
                </c:pt>
                <c:pt idx="16">
                  <c:v>44347</c:v>
                </c:pt>
                <c:pt idx="17">
                  <c:v>44377</c:v>
                </c:pt>
                <c:pt idx="18">
                  <c:v>44469</c:v>
                </c:pt>
                <c:pt idx="19">
                  <c:v>44561</c:v>
                </c:pt>
                <c:pt idx="20">
                  <c:v>44712</c:v>
                </c:pt>
                <c:pt idx="21">
                  <c:v>44742</c:v>
                </c:pt>
                <c:pt idx="22">
                  <c:v>44834</c:v>
                </c:pt>
              </c:numCache>
            </c:numRef>
          </c:cat>
          <c:val>
            <c:numRef>
              <c:f>'% Sales vs. Trend Method'!$D$5:$D$27</c:f>
              <c:numCache>
                <c:formatCode>_(* #,##0_);_(* \(#,##0\);_(* "-"??_);_(@_)</c:formatCode>
                <c:ptCount val="23"/>
                <c:pt idx="0">
                  <c:v>9434</c:v>
                </c:pt>
                <c:pt idx="1">
                  <c:v>9930</c:v>
                </c:pt>
                <c:pt idx="2">
                  <c:v>10325</c:v>
                </c:pt>
                <c:pt idx="3">
                  <c:v>10433</c:v>
                </c:pt>
                <c:pt idx="4">
                  <c:v>10037</c:v>
                </c:pt>
                <c:pt idx="5">
                  <c:v>10465</c:v>
                </c:pt>
                <c:pt idx="6">
                  <c:v>10794</c:v>
                </c:pt>
                <c:pt idx="7">
                  <c:v>10998</c:v>
                </c:pt>
                <c:pt idx="8">
                  <c:v>10816</c:v>
                </c:pt>
                <c:pt idx="9">
                  <c:v>11760</c:v>
                </c:pt>
                <c:pt idx="10">
                  <c:v>12397</c:v>
                </c:pt>
                <c:pt idx="11">
                  <c:v>11867</c:v>
                </c:pt>
                <c:pt idx="12">
                  <c:v>12057</c:v>
                </c:pt>
                <c:pt idx="13">
                  <c:v>10872</c:v>
                </c:pt>
                <c:pt idx="14">
                  <c:v>12551</c:v>
                </c:pt>
                <c:pt idx="15">
                  <c:v>12514</c:v>
                </c:pt>
                <c:pt idx="16">
                  <c:v>12080</c:v>
                </c:pt>
                <c:pt idx="17">
                  <c:v>11402</c:v>
                </c:pt>
                <c:pt idx="18">
                  <c:v>13154</c:v>
                </c:pt>
                <c:pt idx="19">
                  <c:v>12068</c:v>
                </c:pt>
                <c:pt idx="20">
                  <c:v>15901</c:v>
                </c:pt>
                <c:pt idx="21">
                  <c:v>14593</c:v>
                </c:pt>
                <c:pt idx="22">
                  <c:v>14959</c:v>
                </c:pt>
              </c:numCache>
            </c:numRef>
          </c:val>
          <c:smooth val="0"/>
          <c:extLst>
            <c:ext xmlns:c16="http://schemas.microsoft.com/office/drawing/2014/chart" uri="{C3380CC4-5D6E-409C-BE32-E72D297353CC}">
              <c16:uniqueId val="{00000000-33FE-8B48-B5B6-D13F902AAAD9}"/>
            </c:ext>
          </c:extLst>
        </c:ser>
        <c:ser>
          <c:idx val="1"/>
          <c:order val="1"/>
          <c:tx>
            <c:strRef>
              <c:f>'% Sales vs. Trend Method'!$E$4</c:f>
              <c:strCache>
                <c:ptCount val="1"/>
                <c:pt idx="0">
                  <c:v>Cost of Sales</c:v>
                </c:pt>
              </c:strCache>
            </c:strRef>
          </c:tx>
          <c:spPr>
            <a:ln w="28575" cap="rnd">
              <a:solidFill>
                <a:srgbClr val="C00000"/>
              </a:solidFill>
              <a:round/>
            </a:ln>
            <a:effectLst/>
          </c:spPr>
          <c:marker>
            <c:symbol val="none"/>
          </c:marker>
          <c:cat>
            <c:numRef>
              <c:f>'% Sales vs. Trend Method'!$B$5:$B$27</c:f>
              <c:numCache>
                <c:formatCode>m/d/yy</c:formatCode>
                <c:ptCount val="23"/>
                <c:pt idx="0">
                  <c:v>42886</c:v>
                </c:pt>
                <c:pt idx="1">
                  <c:v>42916</c:v>
                </c:pt>
                <c:pt idx="2">
                  <c:v>43008</c:v>
                </c:pt>
                <c:pt idx="3">
                  <c:v>43100</c:v>
                </c:pt>
                <c:pt idx="4">
                  <c:v>43251</c:v>
                </c:pt>
                <c:pt idx="5">
                  <c:v>43281</c:v>
                </c:pt>
                <c:pt idx="6">
                  <c:v>43373</c:v>
                </c:pt>
                <c:pt idx="7">
                  <c:v>43465</c:v>
                </c:pt>
                <c:pt idx="8">
                  <c:v>43616</c:v>
                </c:pt>
                <c:pt idx="9">
                  <c:v>43646</c:v>
                </c:pt>
                <c:pt idx="10">
                  <c:v>43738</c:v>
                </c:pt>
                <c:pt idx="11">
                  <c:v>43830</c:v>
                </c:pt>
                <c:pt idx="12">
                  <c:v>43982</c:v>
                </c:pt>
                <c:pt idx="13">
                  <c:v>44012</c:v>
                </c:pt>
                <c:pt idx="14">
                  <c:v>44104</c:v>
                </c:pt>
                <c:pt idx="15">
                  <c:v>44196</c:v>
                </c:pt>
                <c:pt idx="16">
                  <c:v>44347</c:v>
                </c:pt>
                <c:pt idx="17">
                  <c:v>44377</c:v>
                </c:pt>
                <c:pt idx="18">
                  <c:v>44469</c:v>
                </c:pt>
                <c:pt idx="19">
                  <c:v>44561</c:v>
                </c:pt>
                <c:pt idx="20">
                  <c:v>44712</c:v>
                </c:pt>
                <c:pt idx="21">
                  <c:v>44742</c:v>
                </c:pt>
                <c:pt idx="22">
                  <c:v>44834</c:v>
                </c:pt>
              </c:numCache>
            </c:numRef>
          </c:cat>
          <c:val>
            <c:numRef>
              <c:f>'% Sales vs. Trend Method'!$E$5:$E$27</c:f>
              <c:numCache>
                <c:formatCode>_(* #,##0_);_(* \(#,##0\);_(* "-"??_);_(@_)</c:formatCode>
                <c:ptCount val="23"/>
                <c:pt idx="0">
                  <c:v>3015</c:v>
                </c:pt>
                <c:pt idx="1">
                  <c:v>3080</c:v>
                </c:pt>
                <c:pt idx="2">
                  <c:v>3274</c:v>
                </c:pt>
                <c:pt idx="3">
                  <c:v>3406</c:v>
                </c:pt>
                <c:pt idx="4">
                  <c:v>3184</c:v>
                </c:pt>
                <c:pt idx="5">
                  <c:v>3417</c:v>
                </c:pt>
                <c:pt idx="6">
                  <c:v>3619</c:v>
                </c:pt>
                <c:pt idx="7">
                  <c:v>3289</c:v>
                </c:pt>
                <c:pt idx="8">
                  <c:v>3052</c:v>
                </c:pt>
                <c:pt idx="9">
                  <c:v>3401</c:v>
                </c:pt>
                <c:pt idx="10">
                  <c:v>3990</c:v>
                </c:pt>
                <c:pt idx="11">
                  <c:v>3669</c:v>
                </c:pt>
                <c:pt idx="12">
                  <c:v>3312</c:v>
                </c:pt>
                <c:pt idx="13">
                  <c:v>3159</c:v>
                </c:pt>
                <c:pt idx="14">
                  <c:v>3481</c:v>
                </c:pt>
                <c:pt idx="15">
                  <c:v>5533</c:v>
                </c:pt>
                <c:pt idx="16">
                  <c:v>3670</c:v>
                </c:pt>
                <c:pt idx="17">
                  <c:v>3104</c:v>
                </c:pt>
                <c:pt idx="18">
                  <c:v>3450</c:v>
                </c:pt>
                <c:pt idx="19">
                  <c:v>3402</c:v>
                </c:pt>
                <c:pt idx="20">
                  <c:v>5380</c:v>
                </c:pt>
                <c:pt idx="21">
                  <c:v>4216</c:v>
                </c:pt>
                <c:pt idx="22">
                  <c:v>3934</c:v>
                </c:pt>
              </c:numCache>
            </c:numRef>
          </c:val>
          <c:smooth val="0"/>
          <c:extLst>
            <c:ext xmlns:c16="http://schemas.microsoft.com/office/drawing/2014/chart" uri="{C3380CC4-5D6E-409C-BE32-E72D297353CC}">
              <c16:uniqueId val="{00000001-33FE-8B48-B5B6-D13F902AAAD9}"/>
            </c:ext>
          </c:extLst>
        </c:ser>
        <c:dLbls>
          <c:showLegendKey val="0"/>
          <c:showVal val="0"/>
          <c:showCatName val="0"/>
          <c:showSerName val="0"/>
          <c:showPercent val="0"/>
          <c:showBubbleSize val="0"/>
        </c:dLbls>
        <c:smooth val="0"/>
        <c:axId val="479558752"/>
        <c:axId val="727824672"/>
      </c:lineChart>
      <c:dateAx>
        <c:axId val="479558752"/>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27824672"/>
        <c:crosses val="autoZero"/>
        <c:auto val="1"/>
        <c:lblOffset val="100"/>
        <c:baseTimeUnit val="months"/>
      </c:dateAx>
      <c:valAx>
        <c:axId val="727824672"/>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479558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sz="1200"/>
              <a:t>Q Sales vs COGS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tx>
            <c:strRef>
              <c:f>'% Sales vs. Trend Method'!$E$4</c:f>
              <c:strCache>
                <c:ptCount val="1"/>
                <c:pt idx="0">
                  <c:v>Cost of Sales</c:v>
                </c:pt>
              </c:strCache>
            </c:strRef>
          </c:tx>
          <c:spPr>
            <a:ln w="19050" cap="rnd">
              <a:noFill/>
              <a:round/>
            </a:ln>
            <a:effectLst/>
          </c:spPr>
          <c:marker>
            <c:symbol val="circle"/>
            <c:size val="5"/>
            <c:spPr>
              <a:solidFill>
                <a:srgbClr val="C00000"/>
              </a:solidFill>
              <a:ln w="9525">
                <a:solidFill>
                  <a:srgbClr val="C00000"/>
                </a:solidFill>
              </a:ln>
              <a:effectLst/>
            </c:spPr>
          </c:marker>
          <c:trendline>
            <c:spPr>
              <a:ln w="19050" cap="rnd">
                <a:solidFill>
                  <a:srgbClr val="C00000"/>
                </a:solidFill>
                <a:prstDash val="sysDot"/>
              </a:ln>
              <a:effectLst/>
            </c:spPr>
            <c:trendlineType val="linear"/>
            <c:dispRSqr val="1"/>
            <c:dispEq val="1"/>
            <c:trendlineLbl>
              <c:layout>
                <c:manualLayout>
                  <c:x val="8.4911188427028023E-2"/>
                  <c:y val="-0.24783711990752288"/>
                </c:manualLayout>
              </c:layout>
              <c:numFmt formatCode="General" sourceLinked="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rendlineLbl>
          </c:trendline>
          <c:xVal>
            <c:numRef>
              <c:f>'% Sales vs. Trend Method'!$D$5:$D$27</c:f>
              <c:numCache>
                <c:formatCode>_(* #,##0_);_(* \(#,##0\);_(* "-"??_);_(@_)</c:formatCode>
                <c:ptCount val="23"/>
                <c:pt idx="0">
                  <c:v>9434</c:v>
                </c:pt>
                <c:pt idx="1">
                  <c:v>9930</c:v>
                </c:pt>
                <c:pt idx="2">
                  <c:v>10325</c:v>
                </c:pt>
                <c:pt idx="3">
                  <c:v>10433</c:v>
                </c:pt>
                <c:pt idx="4">
                  <c:v>10037</c:v>
                </c:pt>
                <c:pt idx="5">
                  <c:v>10465</c:v>
                </c:pt>
                <c:pt idx="6">
                  <c:v>10794</c:v>
                </c:pt>
                <c:pt idx="7">
                  <c:v>10998</c:v>
                </c:pt>
                <c:pt idx="8">
                  <c:v>10816</c:v>
                </c:pt>
                <c:pt idx="9">
                  <c:v>11760</c:v>
                </c:pt>
                <c:pt idx="10">
                  <c:v>12397</c:v>
                </c:pt>
                <c:pt idx="11">
                  <c:v>11867</c:v>
                </c:pt>
                <c:pt idx="12">
                  <c:v>12057</c:v>
                </c:pt>
                <c:pt idx="13">
                  <c:v>10872</c:v>
                </c:pt>
                <c:pt idx="14">
                  <c:v>12551</c:v>
                </c:pt>
                <c:pt idx="15">
                  <c:v>12514</c:v>
                </c:pt>
                <c:pt idx="16">
                  <c:v>12080</c:v>
                </c:pt>
                <c:pt idx="17">
                  <c:v>11402</c:v>
                </c:pt>
                <c:pt idx="18">
                  <c:v>13154</c:v>
                </c:pt>
                <c:pt idx="19">
                  <c:v>12068</c:v>
                </c:pt>
                <c:pt idx="20">
                  <c:v>15901</c:v>
                </c:pt>
                <c:pt idx="21">
                  <c:v>14593</c:v>
                </c:pt>
                <c:pt idx="22">
                  <c:v>14959</c:v>
                </c:pt>
              </c:numCache>
            </c:numRef>
          </c:xVal>
          <c:yVal>
            <c:numRef>
              <c:f>'% Sales vs. Trend Method'!$E$5:$E$27</c:f>
              <c:numCache>
                <c:formatCode>_(* #,##0_);_(* \(#,##0\);_(* "-"??_);_(@_)</c:formatCode>
                <c:ptCount val="23"/>
                <c:pt idx="0">
                  <c:v>3015</c:v>
                </c:pt>
                <c:pt idx="1">
                  <c:v>3080</c:v>
                </c:pt>
                <c:pt idx="2">
                  <c:v>3274</c:v>
                </c:pt>
                <c:pt idx="3">
                  <c:v>3406</c:v>
                </c:pt>
                <c:pt idx="4">
                  <c:v>3184</c:v>
                </c:pt>
                <c:pt idx="5">
                  <c:v>3417</c:v>
                </c:pt>
                <c:pt idx="6">
                  <c:v>3619</c:v>
                </c:pt>
                <c:pt idx="7">
                  <c:v>3289</c:v>
                </c:pt>
                <c:pt idx="8">
                  <c:v>3052</c:v>
                </c:pt>
                <c:pt idx="9">
                  <c:v>3401</c:v>
                </c:pt>
                <c:pt idx="10">
                  <c:v>3990</c:v>
                </c:pt>
                <c:pt idx="11">
                  <c:v>3669</c:v>
                </c:pt>
                <c:pt idx="12">
                  <c:v>3312</c:v>
                </c:pt>
                <c:pt idx="13">
                  <c:v>3159</c:v>
                </c:pt>
                <c:pt idx="14">
                  <c:v>3481</c:v>
                </c:pt>
                <c:pt idx="15">
                  <c:v>5533</c:v>
                </c:pt>
                <c:pt idx="16">
                  <c:v>3670</c:v>
                </c:pt>
                <c:pt idx="17">
                  <c:v>3104</c:v>
                </c:pt>
                <c:pt idx="18">
                  <c:v>3450</c:v>
                </c:pt>
                <c:pt idx="19">
                  <c:v>3402</c:v>
                </c:pt>
                <c:pt idx="20">
                  <c:v>5380</c:v>
                </c:pt>
                <c:pt idx="21">
                  <c:v>4216</c:v>
                </c:pt>
                <c:pt idx="22">
                  <c:v>3934</c:v>
                </c:pt>
              </c:numCache>
            </c:numRef>
          </c:yVal>
          <c:smooth val="0"/>
          <c:extLst>
            <c:ext xmlns:c16="http://schemas.microsoft.com/office/drawing/2014/chart" uri="{C3380CC4-5D6E-409C-BE32-E72D297353CC}">
              <c16:uniqueId val="{00000001-D534-094C-AA29-0A3E6E53116C}"/>
            </c:ext>
          </c:extLst>
        </c:ser>
        <c:dLbls>
          <c:showLegendKey val="0"/>
          <c:showVal val="0"/>
          <c:showCatName val="0"/>
          <c:showSerName val="0"/>
          <c:showPercent val="0"/>
          <c:showBubbleSize val="0"/>
        </c:dLbls>
        <c:axId val="508984592"/>
        <c:axId val="656322016"/>
      </c:scatterChart>
      <c:valAx>
        <c:axId val="508984592"/>
        <c:scaling>
          <c:orientation val="minMax"/>
        </c:scaling>
        <c:delete val="0"/>
        <c:axPos val="b"/>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56322016"/>
        <c:crosses val="autoZero"/>
        <c:crossBetween val="midCat"/>
      </c:valAx>
      <c:valAx>
        <c:axId val="656322016"/>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089845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sz="1200"/>
              <a:t>Q Sales vs COGS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tx>
            <c:strRef>
              <c:f>'% Sales vs. Trend Method'!$C$37</c:f>
              <c:strCache>
                <c:ptCount val="1"/>
                <c:pt idx="0">
                  <c:v>Cost of Sales</c:v>
                </c:pt>
              </c:strCache>
            </c:strRef>
          </c:tx>
          <c:spPr>
            <a:ln w="25400" cap="rnd">
              <a:noFill/>
              <a:round/>
            </a:ln>
            <a:effectLst/>
          </c:spPr>
          <c:marker>
            <c:symbol val="circle"/>
            <c:size val="5"/>
            <c:spPr>
              <a:solidFill>
                <a:srgbClr val="C00000"/>
              </a:solidFill>
              <a:ln w="9525">
                <a:solidFill>
                  <a:srgbClr val="C00000"/>
                </a:solidFill>
              </a:ln>
              <a:effectLst/>
            </c:spPr>
          </c:marker>
          <c:trendline>
            <c:spPr>
              <a:ln w="19050" cap="rnd">
                <a:solidFill>
                  <a:srgbClr val="C00000"/>
                </a:solidFill>
                <a:prstDash val="sysDot"/>
              </a:ln>
              <a:effectLst/>
            </c:spPr>
            <c:trendlineType val="linear"/>
            <c:dispRSqr val="1"/>
            <c:dispEq val="1"/>
            <c:trendlineLbl>
              <c:layout>
                <c:manualLayout>
                  <c:x val="7.3330586583653781E-2"/>
                  <c:y val="-0.16737053795877324"/>
                </c:manualLayout>
              </c:layout>
              <c:numFmt formatCode="General" sourceLinked="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rendlineLbl>
          </c:trendline>
          <c:xVal>
            <c:numRef>
              <c:f>'% Sales vs. Trend Method'!$B$38:$B$58</c:f>
              <c:numCache>
                <c:formatCode>_(* #,##0_);_(* \(#,##0\);_(* "-"??_);_(@_)</c:formatCode>
                <c:ptCount val="21"/>
                <c:pt idx="0">
                  <c:v>9434</c:v>
                </c:pt>
                <c:pt idx="1">
                  <c:v>9930</c:v>
                </c:pt>
                <c:pt idx="2">
                  <c:v>10325</c:v>
                </c:pt>
                <c:pt idx="3">
                  <c:v>10433</c:v>
                </c:pt>
                <c:pt idx="4">
                  <c:v>10037</c:v>
                </c:pt>
                <c:pt idx="5">
                  <c:v>10465</c:v>
                </c:pt>
                <c:pt idx="6">
                  <c:v>10794</c:v>
                </c:pt>
                <c:pt idx="7">
                  <c:v>10998</c:v>
                </c:pt>
                <c:pt idx="8">
                  <c:v>10816</c:v>
                </c:pt>
                <c:pt idx="9">
                  <c:v>11760</c:v>
                </c:pt>
                <c:pt idx="10">
                  <c:v>12397</c:v>
                </c:pt>
                <c:pt idx="11">
                  <c:v>11867</c:v>
                </c:pt>
                <c:pt idx="12">
                  <c:v>12057</c:v>
                </c:pt>
                <c:pt idx="13">
                  <c:v>10872</c:v>
                </c:pt>
                <c:pt idx="14">
                  <c:v>12551</c:v>
                </c:pt>
                <c:pt idx="15">
                  <c:v>12080</c:v>
                </c:pt>
                <c:pt idx="16">
                  <c:v>11402</c:v>
                </c:pt>
                <c:pt idx="17">
                  <c:v>13154</c:v>
                </c:pt>
                <c:pt idx="18">
                  <c:v>12068</c:v>
                </c:pt>
                <c:pt idx="19">
                  <c:v>14593</c:v>
                </c:pt>
                <c:pt idx="20">
                  <c:v>14959</c:v>
                </c:pt>
              </c:numCache>
            </c:numRef>
          </c:xVal>
          <c:yVal>
            <c:numRef>
              <c:f>'% Sales vs. Trend Method'!$C$38:$C$58</c:f>
              <c:numCache>
                <c:formatCode>_(* #,##0_);_(* \(#,##0\);_(* "-"??_);_(@_)</c:formatCode>
                <c:ptCount val="21"/>
                <c:pt idx="0">
                  <c:v>3015</c:v>
                </c:pt>
                <c:pt idx="1">
                  <c:v>3080</c:v>
                </c:pt>
                <c:pt idx="2">
                  <c:v>3274</c:v>
                </c:pt>
                <c:pt idx="3">
                  <c:v>3406</c:v>
                </c:pt>
                <c:pt idx="4">
                  <c:v>3184</c:v>
                </c:pt>
                <c:pt idx="5">
                  <c:v>3417</c:v>
                </c:pt>
                <c:pt idx="6">
                  <c:v>3619</c:v>
                </c:pt>
                <c:pt idx="7">
                  <c:v>3289</c:v>
                </c:pt>
                <c:pt idx="8">
                  <c:v>3052</c:v>
                </c:pt>
                <c:pt idx="9">
                  <c:v>3401</c:v>
                </c:pt>
                <c:pt idx="10">
                  <c:v>3990</c:v>
                </c:pt>
                <c:pt idx="11">
                  <c:v>3669</c:v>
                </c:pt>
                <c:pt idx="12">
                  <c:v>3312</c:v>
                </c:pt>
                <c:pt idx="13">
                  <c:v>3159</c:v>
                </c:pt>
                <c:pt idx="14">
                  <c:v>3481</c:v>
                </c:pt>
                <c:pt idx="15">
                  <c:v>3670</c:v>
                </c:pt>
                <c:pt idx="16">
                  <c:v>3104</c:v>
                </c:pt>
                <c:pt idx="17">
                  <c:v>3450</c:v>
                </c:pt>
                <c:pt idx="18">
                  <c:v>3402</c:v>
                </c:pt>
                <c:pt idx="19">
                  <c:v>4216</c:v>
                </c:pt>
                <c:pt idx="20">
                  <c:v>3934</c:v>
                </c:pt>
              </c:numCache>
            </c:numRef>
          </c:yVal>
          <c:smooth val="0"/>
          <c:extLst>
            <c:ext xmlns:c16="http://schemas.microsoft.com/office/drawing/2014/chart" uri="{C3380CC4-5D6E-409C-BE32-E72D297353CC}">
              <c16:uniqueId val="{00000001-4074-0446-B620-E8F1279A3476}"/>
            </c:ext>
          </c:extLst>
        </c:ser>
        <c:dLbls>
          <c:showLegendKey val="0"/>
          <c:showVal val="0"/>
          <c:showCatName val="0"/>
          <c:showSerName val="0"/>
          <c:showPercent val="0"/>
          <c:showBubbleSize val="0"/>
        </c:dLbls>
        <c:axId val="508984592"/>
        <c:axId val="656322016"/>
      </c:scatterChart>
      <c:valAx>
        <c:axId val="508984592"/>
        <c:scaling>
          <c:orientation val="minMax"/>
        </c:scaling>
        <c:delete val="0"/>
        <c:axPos val="b"/>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56322016"/>
        <c:crosses val="autoZero"/>
        <c:crossBetween val="midCat"/>
      </c:valAx>
      <c:valAx>
        <c:axId val="656322016"/>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089845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sz="1200"/>
              <a:t>Q Sales vs net PPE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 Sales vs. Trend Method'!$D$4</c:f>
              <c:strCache>
                <c:ptCount val="1"/>
                <c:pt idx="0">
                  <c:v>Q Sales</c:v>
                </c:pt>
              </c:strCache>
            </c:strRef>
          </c:tx>
          <c:spPr>
            <a:ln w="28575" cap="rnd">
              <a:solidFill>
                <a:schemeClr val="accent1"/>
              </a:solidFill>
              <a:round/>
            </a:ln>
            <a:effectLst/>
          </c:spPr>
          <c:marker>
            <c:symbol val="none"/>
          </c:marker>
          <c:cat>
            <c:numRef>
              <c:f>'% Sales vs. Trend Method'!$B$5:$B$31</c:f>
              <c:numCache>
                <c:formatCode>m/d/yy</c:formatCode>
                <c:ptCount val="27"/>
                <c:pt idx="0">
                  <c:v>42886</c:v>
                </c:pt>
                <c:pt idx="1">
                  <c:v>42916</c:v>
                </c:pt>
                <c:pt idx="2">
                  <c:v>43008</c:v>
                </c:pt>
                <c:pt idx="3">
                  <c:v>43100</c:v>
                </c:pt>
                <c:pt idx="4">
                  <c:v>43251</c:v>
                </c:pt>
                <c:pt idx="5">
                  <c:v>43281</c:v>
                </c:pt>
                <c:pt idx="6">
                  <c:v>43373</c:v>
                </c:pt>
                <c:pt idx="7">
                  <c:v>43465</c:v>
                </c:pt>
                <c:pt idx="8">
                  <c:v>43616</c:v>
                </c:pt>
                <c:pt idx="9">
                  <c:v>43646</c:v>
                </c:pt>
                <c:pt idx="10">
                  <c:v>43738</c:v>
                </c:pt>
                <c:pt idx="11">
                  <c:v>43830</c:v>
                </c:pt>
                <c:pt idx="12">
                  <c:v>43982</c:v>
                </c:pt>
                <c:pt idx="13">
                  <c:v>44012</c:v>
                </c:pt>
                <c:pt idx="14">
                  <c:v>44104</c:v>
                </c:pt>
                <c:pt idx="15">
                  <c:v>44196</c:v>
                </c:pt>
                <c:pt idx="16">
                  <c:v>44347</c:v>
                </c:pt>
                <c:pt idx="17">
                  <c:v>44377</c:v>
                </c:pt>
                <c:pt idx="18">
                  <c:v>44469</c:v>
                </c:pt>
                <c:pt idx="19">
                  <c:v>44561</c:v>
                </c:pt>
                <c:pt idx="20">
                  <c:v>44712</c:v>
                </c:pt>
                <c:pt idx="21">
                  <c:v>44742</c:v>
                </c:pt>
                <c:pt idx="22">
                  <c:v>44834</c:v>
                </c:pt>
                <c:pt idx="23">
                  <c:v>44926</c:v>
                </c:pt>
                <c:pt idx="24">
                  <c:v>45077</c:v>
                </c:pt>
                <c:pt idx="25">
                  <c:v>45107</c:v>
                </c:pt>
                <c:pt idx="26">
                  <c:v>45199</c:v>
                </c:pt>
              </c:numCache>
            </c:numRef>
          </c:cat>
          <c:val>
            <c:numRef>
              <c:f>'% Sales vs. Trend Method'!$D$5:$D$31</c:f>
              <c:numCache>
                <c:formatCode>_(* #,##0_);_(* \(#,##0\);_(* "-"??_);_(@_)</c:formatCode>
                <c:ptCount val="27"/>
                <c:pt idx="0">
                  <c:v>9434</c:v>
                </c:pt>
                <c:pt idx="1">
                  <c:v>9930</c:v>
                </c:pt>
                <c:pt idx="2">
                  <c:v>10325</c:v>
                </c:pt>
                <c:pt idx="3">
                  <c:v>10433</c:v>
                </c:pt>
                <c:pt idx="4">
                  <c:v>10037</c:v>
                </c:pt>
                <c:pt idx="5">
                  <c:v>10465</c:v>
                </c:pt>
                <c:pt idx="6">
                  <c:v>10794</c:v>
                </c:pt>
                <c:pt idx="7">
                  <c:v>10998</c:v>
                </c:pt>
                <c:pt idx="8">
                  <c:v>10816</c:v>
                </c:pt>
                <c:pt idx="9">
                  <c:v>11760</c:v>
                </c:pt>
                <c:pt idx="10">
                  <c:v>12397</c:v>
                </c:pt>
                <c:pt idx="11">
                  <c:v>11867</c:v>
                </c:pt>
                <c:pt idx="12">
                  <c:v>12057</c:v>
                </c:pt>
                <c:pt idx="13">
                  <c:v>10872</c:v>
                </c:pt>
                <c:pt idx="14">
                  <c:v>12551</c:v>
                </c:pt>
                <c:pt idx="15">
                  <c:v>12514</c:v>
                </c:pt>
                <c:pt idx="16">
                  <c:v>12080</c:v>
                </c:pt>
                <c:pt idx="17">
                  <c:v>11402</c:v>
                </c:pt>
                <c:pt idx="18">
                  <c:v>13154</c:v>
                </c:pt>
                <c:pt idx="19">
                  <c:v>12068</c:v>
                </c:pt>
                <c:pt idx="20">
                  <c:v>15901</c:v>
                </c:pt>
                <c:pt idx="21">
                  <c:v>14593</c:v>
                </c:pt>
                <c:pt idx="22">
                  <c:v>14959</c:v>
                </c:pt>
              </c:numCache>
            </c:numRef>
          </c:val>
          <c:smooth val="0"/>
          <c:extLst>
            <c:ext xmlns:c16="http://schemas.microsoft.com/office/drawing/2014/chart" uri="{C3380CC4-5D6E-409C-BE32-E72D297353CC}">
              <c16:uniqueId val="{00000000-85AA-E145-BB08-8F757F5AAB99}"/>
            </c:ext>
          </c:extLst>
        </c:ser>
        <c:ser>
          <c:idx val="1"/>
          <c:order val="1"/>
          <c:tx>
            <c:strRef>
              <c:f>'% Sales vs. Trend Method'!$F$4</c:f>
              <c:strCache>
                <c:ptCount val="1"/>
                <c:pt idx="0">
                  <c:v>net PPE</c:v>
                </c:pt>
              </c:strCache>
            </c:strRef>
          </c:tx>
          <c:spPr>
            <a:ln w="28575" cap="rnd">
              <a:solidFill>
                <a:schemeClr val="accent2">
                  <a:lumMod val="75000"/>
                </a:schemeClr>
              </a:solidFill>
              <a:round/>
            </a:ln>
            <a:effectLst/>
          </c:spPr>
          <c:marker>
            <c:symbol val="none"/>
          </c:marker>
          <c:dPt>
            <c:idx val="23"/>
            <c:marker>
              <c:symbol val="none"/>
            </c:marker>
            <c:bubble3D val="0"/>
            <c:spPr>
              <a:ln w="28575" cap="rnd">
                <a:solidFill>
                  <a:schemeClr val="accent6"/>
                </a:solidFill>
                <a:round/>
              </a:ln>
              <a:effectLst/>
            </c:spPr>
            <c:extLst>
              <c:ext xmlns:c16="http://schemas.microsoft.com/office/drawing/2014/chart" uri="{C3380CC4-5D6E-409C-BE32-E72D297353CC}">
                <c16:uniqueId val="{00000002-85AA-E145-BB08-8F757F5AAB99}"/>
              </c:ext>
            </c:extLst>
          </c:dPt>
          <c:dPt>
            <c:idx val="24"/>
            <c:marker>
              <c:symbol val="none"/>
            </c:marker>
            <c:bubble3D val="0"/>
            <c:spPr>
              <a:ln w="28575" cap="rnd">
                <a:solidFill>
                  <a:schemeClr val="accent6"/>
                </a:solidFill>
                <a:round/>
              </a:ln>
              <a:effectLst/>
            </c:spPr>
            <c:extLst>
              <c:ext xmlns:c16="http://schemas.microsoft.com/office/drawing/2014/chart" uri="{C3380CC4-5D6E-409C-BE32-E72D297353CC}">
                <c16:uniqueId val="{00000004-85AA-E145-BB08-8F757F5AAB99}"/>
              </c:ext>
            </c:extLst>
          </c:dPt>
          <c:dPt>
            <c:idx val="25"/>
            <c:marker>
              <c:symbol val="none"/>
            </c:marker>
            <c:bubble3D val="0"/>
            <c:spPr>
              <a:ln w="28575" cap="rnd">
                <a:solidFill>
                  <a:schemeClr val="accent6"/>
                </a:solidFill>
                <a:round/>
              </a:ln>
              <a:effectLst/>
            </c:spPr>
            <c:extLst>
              <c:ext xmlns:c16="http://schemas.microsoft.com/office/drawing/2014/chart" uri="{C3380CC4-5D6E-409C-BE32-E72D297353CC}">
                <c16:uniqueId val="{00000006-85AA-E145-BB08-8F757F5AAB99}"/>
              </c:ext>
            </c:extLst>
          </c:dPt>
          <c:dPt>
            <c:idx val="26"/>
            <c:marker>
              <c:symbol val="none"/>
            </c:marker>
            <c:bubble3D val="0"/>
            <c:spPr>
              <a:ln w="28575" cap="rnd">
                <a:solidFill>
                  <a:schemeClr val="accent6"/>
                </a:solidFill>
                <a:round/>
              </a:ln>
              <a:effectLst/>
            </c:spPr>
            <c:extLst>
              <c:ext xmlns:c16="http://schemas.microsoft.com/office/drawing/2014/chart" uri="{C3380CC4-5D6E-409C-BE32-E72D297353CC}">
                <c16:uniqueId val="{00000008-85AA-E145-BB08-8F757F5AAB99}"/>
              </c:ext>
            </c:extLst>
          </c:dPt>
          <c:cat>
            <c:numRef>
              <c:f>'% Sales vs. Trend Method'!$B$5:$B$31</c:f>
              <c:numCache>
                <c:formatCode>m/d/yy</c:formatCode>
                <c:ptCount val="27"/>
                <c:pt idx="0">
                  <c:v>42886</c:v>
                </c:pt>
                <c:pt idx="1">
                  <c:v>42916</c:v>
                </c:pt>
                <c:pt idx="2">
                  <c:v>43008</c:v>
                </c:pt>
                <c:pt idx="3">
                  <c:v>43100</c:v>
                </c:pt>
                <c:pt idx="4">
                  <c:v>43251</c:v>
                </c:pt>
                <c:pt idx="5">
                  <c:v>43281</c:v>
                </c:pt>
                <c:pt idx="6">
                  <c:v>43373</c:v>
                </c:pt>
                <c:pt idx="7">
                  <c:v>43465</c:v>
                </c:pt>
                <c:pt idx="8">
                  <c:v>43616</c:v>
                </c:pt>
                <c:pt idx="9">
                  <c:v>43646</c:v>
                </c:pt>
                <c:pt idx="10">
                  <c:v>43738</c:v>
                </c:pt>
                <c:pt idx="11">
                  <c:v>43830</c:v>
                </c:pt>
                <c:pt idx="12">
                  <c:v>43982</c:v>
                </c:pt>
                <c:pt idx="13">
                  <c:v>44012</c:v>
                </c:pt>
                <c:pt idx="14">
                  <c:v>44104</c:v>
                </c:pt>
                <c:pt idx="15">
                  <c:v>44196</c:v>
                </c:pt>
                <c:pt idx="16">
                  <c:v>44347</c:v>
                </c:pt>
                <c:pt idx="17">
                  <c:v>44377</c:v>
                </c:pt>
                <c:pt idx="18">
                  <c:v>44469</c:v>
                </c:pt>
                <c:pt idx="19">
                  <c:v>44561</c:v>
                </c:pt>
                <c:pt idx="20">
                  <c:v>44712</c:v>
                </c:pt>
                <c:pt idx="21">
                  <c:v>44742</c:v>
                </c:pt>
                <c:pt idx="22">
                  <c:v>44834</c:v>
                </c:pt>
                <c:pt idx="23">
                  <c:v>44926</c:v>
                </c:pt>
                <c:pt idx="24">
                  <c:v>45077</c:v>
                </c:pt>
                <c:pt idx="25">
                  <c:v>45107</c:v>
                </c:pt>
                <c:pt idx="26">
                  <c:v>45199</c:v>
                </c:pt>
              </c:numCache>
            </c:numRef>
          </c:cat>
          <c:val>
            <c:numRef>
              <c:f>'% Sales vs. Trend Method'!$F$5:$F$31</c:f>
              <c:numCache>
                <c:formatCode>_(* #,##0_);_(* \(#,##0\);_(* "-"??_);_(@_)</c:formatCode>
                <c:ptCount val="27"/>
                <c:pt idx="0">
                  <c:v>12042</c:v>
                </c:pt>
                <c:pt idx="1">
                  <c:v>12094</c:v>
                </c:pt>
                <c:pt idx="2">
                  <c:v>12189</c:v>
                </c:pt>
                <c:pt idx="3">
                  <c:v>12439</c:v>
                </c:pt>
                <c:pt idx="4">
                  <c:v>12561</c:v>
                </c:pt>
                <c:pt idx="5">
                  <c:v>12626</c:v>
                </c:pt>
                <c:pt idx="6">
                  <c:v>12755</c:v>
                </c:pt>
                <c:pt idx="7">
                  <c:v>13291</c:v>
                </c:pt>
                <c:pt idx="8">
                  <c:v>13506</c:v>
                </c:pt>
                <c:pt idx="9">
                  <c:v>13862</c:v>
                </c:pt>
                <c:pt idx="10">
                  <c:v>14287</c:v>
                </c:pt>
                <c:pt idx="11">
                  <c:v>15053</c:v>
                </c:pt>
                <c:pt idx="12">
                  <c:v>15269</c:v>
                </c:pt>
                <c:pt idx="13">
                  <c:v>15789</c:v>
                </c:pt>
                <c:pt idx="14">
                  <c:v>16919</c:v>
                </c:pt>
                <c:pt idx="15">
                  <c:v>17896</c:v>
                </c:pt>
                <c:pt idx="16">
                  <c:v>18295</c:v>
                </c:pt>
                <c:pt idx="17">
                  <c:v>18064</c:v>
                </c:pt>
                <c:pt idx="18">
                  <c:v>18565</c:v>
                </c:pt>
                <c:pt idx="19">
                  <c:v>19279</c:v>
                </c:pt>
                <c:pt idx="20">
                  <c:v>19747</c:v>
                </c:pt>
                <c:pt idx="21">
                  <c:v>20059</c:v>
                </c:pt>
                <c:pt idx="22">
                  <c:v>20424</c:v>
                </c:pt>
                <c:pt idx="23">
                  <c:v>20572.139986893104</c:v>
                </c:pt>
                <c:pt idx="24">
                  <c:v>21277.853055236919</c:v>
                </c:pt>
                <c:pt idx="25">
                  <c:v>21418.060949609848</c:v>
                </c:pt>
                <c:pt idx="26">
                  <c:v>21848.031825686863</c:v>
                </c:pt>
              </c:numCache>
            </c:numRef>
          </c:val>
          <c:smooth val="0"/>
          <c:extLst>
            <c:ext xmlns:c16="http://schemas.microsoft.com/office/drawing/2014/chart" uri="{C3380CC4-5D6E-409C-BE32-E72D297353CC}">
              <c16:uniqueId val="{00000009-85AA-E145-BB08-8F757F5AAB99}"/>
            </c:ext>
          </c:extLst>
        </c:ser>
        <c:dLbls>
          <c:showLegendKey val="0"/>
          <c:showVal val="0"/>
          <c:showCatName val="0"/>
          <c:showSerName val="0"/>
          <c:showPercent val="0"/>
          <c:showBubbleSize val="0"/>
        </c:dLbls>
        <c:smooth val="0"/>
        <c:axId val="656193296"/>
        <c:axId val="655744112"/>
      </c:lineChart>
      <c:dateAx>
        <c:axId val="656193296"/>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55744112"/>
        <c:crosses val="autoZero"/>
        <c:auto val="1"/>
        <c:lblOffset val="100"/>
        <c:baseTimeUnit val="months"/>
      </c:dateAx>
      <c:valAx>
        <c:axId val="655744112"/>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56193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35</Pages>
  <Words>8031</Words>
  <Characters>45781</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 Ventola Franch</dc:creator>
  <cp:keywords/>
  <dc:description/>
  <cp:lastModifiedBy>Tura Ventola Franch</cp:lastModifiedBy>
  <cp:revision>136</cp:revision>
  <dcterms:created xsi:type="dcterms:W3CDTF">2022-12-08T02:32:00Z</dcterms:created>
  <dcterms:modified xsi:type="dcterms:W3CDTF">2022-12-10T03:14:00Z</dcterms:modified>
</cp:coreProperties>
</file>