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4679B">
      <w:pPr>
        <w:spacing w:line="460" w:lineRule="exact"/>
        <w:jc w:val="center"/>
        <w:rPr>
          <w:rFonts w:ascii="宋体" w:hAnsi="宋体" w:cs="宋体"/>
          <w:b/>
          <w:bCs/>
          <w:sz w:val="44"/>
          <w:szCs w:val="44"/>
        </w:rPr>
      </w:pPr>
      <w:r>
        <w:rPr>
          <w:rFonts w:hint="eastAsia" w:ascii="宋体" w:hAnsi="宋体" w:cs="宋体"/>
          <w:b/>
          <w:bCs/>
          <w:sz w:val="44"/>
          <w:szCs w:val="44"/>
        </w:rPr>
        <w:t>技术交底书</w:t>
      </w:r>
    </w:p>
    <w:p w14:paraId="721583FB">
      <w:pPr>
        <w:spacing w:line="460" w:lineRule="exact"/>
        <w:jc w:val="center"/>
        <w:rPr>
          <w:rFonts w:ascii="宋体" w:hAnsi="宋体" w:cs="宋体"/>
          <w:b/>
          <w:bCs/>
          <w:sz w:val="44"/>
          <w:szCs w:val="44"/>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980"/>
        <w:gridCol w:w="6864"/>
      </w:tblGrid>
      <w:tr w14:paraId="44161B32">
        <w:trPr>
          <w:cantSplit/>
          <w:trHeight w:val="433" w:hRule="atLeast"/>
          <w:jc w:val="center"/>
        </w:trPr>
        <w:tc>
          <w:tcPr>
            <w:tcW w:w="1467" w:type="dxa"/>
            <w:vMerge w:val="restart"/>
            <w:tcBorders>
              <w:top w:val="single" w:color="auto" w:sz="4" w:space="0"/>
              <w:left w:val="single" w:color="auto" w:sz="4" w:space="0"/>
              <w:bottom w:val="single" w:color="auto" w:sz="4" w:space="0"/>
              <w:right w:val="single" w:color="auto" w:sz="4" w:space="0"/>
            </w:tcBorders>
            <w:shd w:val="clear" w:color="auto" w:fill="C6D9F1"/>
            <w:vAlign w:val="center"/>
          </w:tcPr>
          <w:p w14:paraId="00A48AAF">
            <w:pPr>
              <w:jc w:val="center"/>
              <w:rPr>
                <w:rFonts w:ascii="宋体" w:hAnsi="宋体"/>
                <w:sz w:val="24"/>
                <w:szCs w:val="20"/>
              </w:rPr>
            </w:pPr>
            <w:r>
              <w:rPr>
                <w:rFonts w:hint="eastAsia" w:ascii="宋体" w:hAnsi="宋体"/>
                <w:sz w:val="24"/>
              </w:rPr>
              <w:t>申</w:t>
            </w:r>
          </w:p>
          <w:p w14:paraId="1AEBA3E4">
            <w:pPr>
              <w:jc w:val="center"/>
              <w:rPr>
                <w:rFonts w:ascii="宋体" w:hAnsi="宋体"/>
                <w:sz w:val="24"/>
              </w:rPr>
            </w:pPr>
            <w:r>
              <w:rPr>
                <w:rFonts w:hint="eastAsia" w:ascii="宋体" w:hAnsi="宋体"/>
                <w:sz w:val="24"/>
              </w:rPr>
              <w:t>请</w:t>
            </w:r>
          </w:p>
          <w:p w14:paraId="56FEA109">
            <w:pPr>
              <w:jc w:val="center"/>
              <w:rPr>
                <w:rFonts w:ascii="宋体" w:hAnsi="宋体"/>
                <w:sz w:val="24"/>
              </w:rPr>
            </w:pPr>
            <w:r>
              <w:rPr>
                <w:rFonts w:hint="eastAsia" w:ascii="宋体" w:hAnsi="宋体"/>
                <w:sz w:val="24"/>
              </w:rPr>
              <w:t>类</w:t>
            </w:r>
          </w:p>
          <w:p w14:paraId="6AD84659">
            <w:pPr>
              <w:jc w:val="center"/>
              <w:rPr>
                <w:rFonts w:ascii="宋体" w:hAnsi="宋体"/>
                <w:sz w:val="24"/>
              </w:rPr>
            </w:pPr>
            <w:r>
              <w:rPr>
                <w:rFonts w:hint="eastAsia" w:ascii="宋体" w:hAnsi="宋体"/>
                <w:sz w:val="24"/>
              </w:rPr>
              <w:t>型</w:t>
            </w: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66C6EC2F">
            <w:pPr>
              <w:jc w:val="center"/>
              <w:rPr>
                <w:rFonts w:ascii="宋体" w:hAnsi="宋体"/>
                <w:sz w:val="24"/>
              </w:rPr>
            </w:pPr>
            <w:r>
              <w:rPr>
                <w:rFonts w:hint="eastAsia" w:ascii="宋体" w:hAnsi="宋体" w:cs="宋体"/>
                <w:sz w:val="24"/>
                <w:szCs w:val="24"/>
              </w:rPr>
              <w:t xml:space="preserve">☑ </w:t>
            </w:r>
            <w:r>
              <w:rPr>
                <w:rFonts w:hint="eastAsia" w:ascii="宋体" w:hAnsi="宋体"/>
                <w:sz w:val="24"/>
              </w:rPr>
              <w:t>发明</w:t>
            </w:r>
          </w:p>
        </w:tc>
        <w:tc>
          <w:tcPr>
            <w:tcW w:w="6864" w:type="dxa"/>
            <w:vMerge w:val="restart"/>
            <w:tcBorders>
              <w:top w:val="single" w:color="auto" w:sz="4" w:space="0"/>
              <w:left w:val="single" w:color="auto" w:sz="4" w:space="0"/>
              <w:bottom w:val="single" w:color="auto" w:sz="4" w:space="0"/>
              <w:right w:val="single" w:color="auto" w:sz="4" w:space="0"/>
            </w:tcBorders>
            <w:vAlign w:val="center"/>
          </w:tcPr>
          <w:p w14:paraId="2F1EC710">
            <w:pPr>
              <w:jc w:val="center"/>
              <w:rPr>
                <w:rFonts w:ascii="宋体" w:hAnsi="宋体"/>
                <w:b/>
                <w:sz w:val="24"/>
              </w:rPr>
            </w:pPr>
          </w:p>
        </w:tc>
      </w:tr>
      <w:tr w14:paraId="628ABA98">
        <w:trPr>
          <w:cantSplit/>
          <w:trHeight w:val="467" w:hRule="atLeast"/>
          <w:jc w:val="center"/>
        </w:trPr>
        <w:tc>
          <w:tcPr>
            <w:tcW w:w="1467" w:type="dxa"/>
            <w:vMerge w:val="continue"/>
            <w:tcBorders>
              <w:top w:val="single" w:color="auto" w:sz="4" w:space="0"/>
              <w:left w:val="single" w:color="auto" w:sz="4" w:space="0"/>
              <w:bottom w:val="single" w:color="auto" w:sz="4" w:space="0"/>
              <w:right w:val="single" w:color="auto" w:sz="4" w:space="0"/>
            </w:tcBorders>
            <w:shd w:val="clear" w:color="auto" w:fill="C6D9F1"/>
            <w:vAlign w:val="center"/>
          </w:tcPr>
          <w:p w14:paraId="3EE9BEA7">
            <w:pPr>
              <w:jc w:val="left"/>
              <w:rPr>
                <w:rFonts w:ascii="宋体" w:hAnsi="宋体"/>
                <w:sz w:val="24"/>
              </w:rPr>
            </w:pP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65B9F102">
            <w:pPr>
              <w:jc w:val="center"/>
              <w:rPr>
                <w:rFonts w:ascii="宋体" w:hAnsi="宋体"/>
                <w:sz w:val="24"/>
              </w:rPr>
            </w:pPr>
            <w:r>
              <w:rPr>
                <w:rFonts w:hint="eastAsia" w:ascii="宋体" w:hAnsi="宋体" w:cs="宋体"/>
                <w:sz w:val="24"/>
                <w:szCs w:val="24"/>
              </w:rPr>
              <w:t xml:space="preserve">☐ </w:t>
            </w:r>
            <w:r>
              <w:rPr>
                <w:rFonts w:hint="eastAsia" w:ascii="宋体" w:hAnsi="宋体"/>
                <w:sz w:val="24"/>
              </w:rPr>
              <w:t>实用新型</w:t>
            </w:r>
          </w:p>
        </w:tc>
        <w:tc>
          <w:tcPr>
            <w:tcW w:w="6864" w:type="dxa"/>
            <w:vMerge w:val="continue"/>
            <w:tcBorders>
              <w:top w:val="single" w:color="auto" w:sz="4" w:space="0"/>
              <w:left w:val="single" w:color="auto" w:sz="4" w:space="0"/>
              <w:bottom w:val="single" w:color="auto" w:sz="4" w:space="0"/>
              <w:right w:val="single" w:color="auto" w:sz="4" w:space="0"/>
            </w:tcBorders>
            <w:vAlign w:val="center"/>
          </w:tcPr>
          <w:p w14:paraId="528852B8">
            <w:pPr>
              <w:jc w:val="left"/>
              <w:rPr>
                <w:rFonts w:ascii="宋体" w:hAnsi="宋体"/>
                <w:b/>
                <w:sz w:val="24"/>
              </w:rPr>
            </w:pPr>
          </w:p>
        </w:tc>
      </w:tr>
      <w:tr w14:paraId="391E43A8">
        <w:trPr>
          <w:cantSplit/>
          <w:trHeight w:val="459" w:hRule="atLeast"/>
          <w:jc w:val="center"/>
        </w:trPr>
        <w:tc>
          <w:tcPr>
            <w:tcW w:w="1467" w:type="dxa"/>
            <w:vMerge w:val="continue"/>
            <w:tcBorders>
              <w:top w:val="single" w:color="auto" w:sz="4" w:space="0"/>
              <w:left w:val="single" w:color="auto" w:sz="4" w:space="0"/>
              <w:bottom w:val="single" w:color="auto" w:sz="4" w:space="0"/>
              <w:right w:val="single" w:color="auto" w:sz="4" w:space="0"/>
            </w:tcBorders>
            <w:shd w:val="clear" w:color="auto" w:fill="C6D9F1"/>
            <w:vAlign w:val="center"/>
          </w:tcPr>
          <w:p w14:paraId="4D40B7E5">
            <w:pPr>
              <w:jc w:val="left"/>
              <w:rPr>
                <w:rFonts w:ascii="宋体" w:hAnsi="宋体"/>
                <w:sz w:val="24"/>
              </w:rPr>
            </w:pP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4C0BF3F8">
            <w:pPr>
              <w:jc w:val="center"/>
              <w:rPr>
                <w:rFonts w:ascii="宋体" w:hAnsi="宋体"/>
                <w:sz w:val="24"/>
              </w:rPr>
            </w:pPr>
            <w:r>
              <w:rPr>
                <w:rFonts w:hint="eastAsia" w:ascii="宋体" w:hAnsi="宋体" w:cs="宋体"/>
                <w:sz w:val="24"/>
                <w:szCs w:val="24"/>
              </w:rPr>
              <w:t xml:space="preserve">☐ </w:t>
            </w:r>
            <w:r>
              <w:rPr>
                <w:rFonts w:hint="eastAsia" w:ascii="宋体" w:hAnsi="宋体"/>
                <w:sz w:val="24"/>
              </w:rPr>
              <w:t>外观</w:t>
            </w:r>
          </w:p>
        </w:tc>
        <w:tc>
          <w:tcPr>
            <w:tcW w:w="6864" w:type="dxa"/>
            <w:vMerge w:val="continue"/>
            <w:tcBorders>
              <w:top w:val="single" w:color="auto" w:sz="4" w:space="0"/>
              <w:left w:val="single" w:color="auto" w:sz="4" w:space="0"/>
              <w:bottom w:val="single" w:color="auto" w:sz="4" w:space="0"/>
              <w:right w:val="single" w:color="auto" w:sz="4" w:space="0"/>
            </w:tcBorders>
            <w:vAlign w:val="center"/>
          </w:tcPr>
          <w:p w14:paraId="7090EBA6">
            <w:pPr>
              <w:jc w:val="left"/>
              <w:rPr>
                <w:rFonts w:ascii="宋体" w:hAnsi="宋体"/>
                <w:b/>
                <w:sz w:val="24"/>
              </w:rPr>
            </w:pPr>
          </w:p>
        </w:tc>
      </w:tr>
      <w:tr w14:paraId="2AC16D0C">
        <w:trPr>
          <w:cantSplit/>
          <w:trHeight w:val="562"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4678419F">
            <w:pPr>
              <w:jc w:val="center"/>
              <w:rPr>
                <w:rFonts w:ascii="宋体" w:hAnsi="宋体"/>
                <w:sz w:val="24"/>
              </w:rPr>
            </w:pPr>
            <w:r>
              <w:rPr>
                <w:rFonts w:hint="eastAsia" w:ascii="宋体" w:hAnsi="宋体"/>
                <w:sz w:val="24"/>
              </w:rPr>
              <w:t>发明名称</w:t>
            </w:r>
          </w:p>
        </w:tc>
        <w:tc>
          <w:tcPr>
            <w:tcW w:w="6864" w:type="dxa"/>
            <w:tcBorders>
              <w:top w:val="single" w:color="auto" w:sz="4" w:space="0"/>
              <w:left w:val="single" w:color="auto" w:sz="4" w:space="0"/>
              <w:bottom w:val="single" w:color="auto" w:sz="4" w:space="0"/>
              <w:right w:val="single" w:color="auto" w:sz="4" w:space="0"/>
            </w:tcBorders>
            <w:vAlign w:val="center"/>
          </w:tcPr>
          <w:p w14:paraId="21621842">
            <w:pPr>
              <w:spacing w:line="360" w:lineRule="auto"/>
              <w:jc w:val="center"/>
              <w:rPr>
                <w:rFonts w:ascii="宋体" w:hAnsi="宋体" w:cs="宋体"/>
                <w:b/>
                <w:sz w:val="24"/>
              </w:rPr>
            </w:pPr>
            <w:r>
              <w:rPr>
                <w:rFonts w:hint="eastAsia" w:ascii="宋体" w:hAnsi="宋体" w:cs="宋体"/>
                <w:b/>
                <w:bCs/>
                <w:sz w:val="24"/>
                <w:szCs w:val="24"/>
              </w:rPr>
              <w:t>一种基于经验卡检索注入的大模型智能体经验学习系统及方法</w:t>
            </w:r>
          </w:p>
        </w:tc>
      </w:tr>
      <w:tr w14:paraId="7D35E8B1">
        <w:trPr>
          <w:cantSplit/>
          <w:trHeight w:val="456" w:hRule="atLeast"/>
          <w:jc w:val="center"/>
        </w:trPr>
        <w:tc>
          <w:tcPr>
            <w:tcW w:w="1467" w:type="dxa"/>
            <w:vMerge w:val="restart"/>
            <w:tcBorders>
              <w:top w:val="single" w:color="auto" w:sz="4" w:space="0"/>
              <w:left w:val="single" w:color="auto" w:sz="4" w:space="0"/>
              <w:bottom w:val="single" w:color="auto" w:sz="4" w:space="0"/>
              <w:right w:val="single" w:color="auto" w:sz="4" w:space="0"/>
            </w:tcBorders>
            <w:shd w:val="clear" w:color="auto" w:fill="C6D9F1"/>
            <w:textDirection w:val="tbRlV"/>
            <w:vAlign w:val="center"/>
          </w:tcPr>
          <w:p w14:paraId="06DD86C6">
            <w:pPr>
              <w:ind w:left="113" w:leftChars="54" w:right="113" w:firstLine="240" w:firstLineChars="100"/>
              <w:jc w:val="center"/>
              <w:rPr>
                <w:rFonts w:ascii="宋体" w:hAnsi="宋体"/>
                <w:sz w:val="24"/>
              </w:rPr>
            </w:pPr>
            <w:r>
              <w:rPr>
                <w:rFonts w:hint="eastAsia" w:ascii="宋体" w:hAnsi="宋体"/>
                <w:sz w:val="24"/>
              </w:rPr>
              <w:t>申  请  人</w:t>
            </w: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3D428913">
            <w:pPr>
              <w:jc w:val="center"/>
              <w:rPr>
                <w:rFonts w:ascii="宋体" w:hAnsi="宋体"/>
                <w:sz w:val="24"/>
              </w:rPr>
            </w:pPr>
            <w:r>
              <w:rPr>
                <w:rFonts w:hint="eastAsia" w:ascii="宋体" w:hAnsi="宋体"/>
                <w:sz w:val="24"/>
              </w:rPr>
              <w:t>名称或姓名</w:t>
            </w:r>
          </w:p>
        </w:tc>
        <w:tc>
          <w:tcPr>
            <w:tcW w:w="6864" w:type="dxa"/>
            <w:tcBorders>
              <w:top w:val="single" w:color="auto" w:sz="4" w:space="0"/>
              <w:left w:val="single" w:color="auto" w:sz="4" w:space="0"/>
              <w:bottom w:val="single" w:color="auto" w:sz="4" w:space="0"/>
              <w:right w:val="single" w:color="auto" w:sz="4" w:space="0"/>
            </w:tcBorders>
            <w:vAlign w:val="center"/>
          </w:tcPr>
          <w:p w14:paraId="36A87BF1">
            <w:pPr>
              <w:spacing w:before="100" w:beforeAutospacing="1" w:after="100" w:afterAutospacing="1"/>
              <w:jc w:val="center"/>
              <w:rPr>
                <w:color w:val="000000"/>
                <w:sz w:val="24"/>
              </w:rPr>
            </w:pPr>
            <w:r>
              <w:rPr>
                <w:rFonts w:hint="eastAsia"/>
                <w:color w:val="000000"/>
                <w:sz w:val="24"/>
              </w:rPr>
              <w:t>福建新大陆支付技术有限公司</w:t>
            </w:r>
          </w:p>
        </w:tc>
      </w:tr>
      <w:tr w14:paraId="1DC6AC06">
        <w:trPr>
          <w:cantSplit/>
          <w:trHeight w:val="443" w:hRule="atLeast"/>
          <w:jc w:val="center"/>
        </w:trPr>
        <w:tc>
          <w:tcPr>
            <w:tcW w:w="1467" w:type="dxa"/>
            <w:vMerge w:val="continue"/>
            <w:tcBorders>
              <w:top w:val="single" w:color="auto" w:sz="4" w:space="0"/>
              <w:left w:val="single" w:color="auto" w:sz="4" w:space="0"/>
              <w:bottom w:val="single" w:color="auto" w:sz="4" w:space="0"/>
              <w:right w:val="single" w:color="auto" w:sz="4" w:space="0"/>
            </w:tcBorders>
            <w:shd w:val="clear" w:color="auto" w:fill="C6D9F1"/>
            <w:vAlign w:val="center"/>
          </w:tcPr>
          <w:p w14:paraId="3A5FCEDF">
            <w:pPr>
              <w:jc w:val="left"/>
              <w:rPr>
                <w:rFonts w:ascii="宋体" w:hAnsi="宋体"/>
                <w:sz w:val="24"/>
              </w:rPr>
            </w:pP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5370CE08">
            <w:pPr>
              <w:jc w:val="center"/>
              <w:rPr>
                <w:rFonts w:ascii="宋体" w:hAnsi="宋体"/>
              </w:rPr>
            </w:pPr>
            <w:r>
              <w:rPr>
                <w:rFonts w:hint="eastAsia"/>
                <w:b/>
              </w:rPr>
              <w:t>统一社会信用代码</w:t>
            </w:r>
            <w:r>
              <w:rPr>
                <w:rFonts w:hint="eastAsia"/>
              </w:rPr>
              <w:t>（或</w:t>
            </w:r>
            <w:r>
              <w:rPr>
                <w:rFonts w:hint="eastAsia" w:ascii="宋体" w:hAnsi="宋体"/>
              </w:rPr>
              <w:t>三证合一代码号或身份证号码</w:t>
            </w:r>
            <w:r>
              <w:rPr>
                <w:rFonts w:hint="eastAsia"/>
              </w:rPr>
              <w:t>）</w:t>
            </w:r>
          </w:p>
        </w:tc>
        <w:tc>
          <w:tcPr>
            <w:tcW w:w="6864" w:type="dxa"/>
            <w:tcBorders>
              <w:top w:val="single" w:color="auto" w:sz="4" w:space="0"/>
              <w:left w:val="single" w:color="auto" w:sz="4" w:space="0"/>
              <w:bottom w:val="single" w:color="auto" w:sz="4" w:space="0"/>
              <w:right w:val="single" w:color="auto" w:sz="4" w:space="0"/>
            </w:tcBorders>
            <w:vAlign w:val="center"/>
          </w:tcPr>
          <w:p w14:paraId="594F560D">
            <w:pPr>
              <w:spacing w:before="100" w:beforeAutospacing="1" w:after="100" w:afterAutospacing="1" w:line="240" w:lineRule="atLeast"/>
              <w:jc w:val="center"/>
              <w:rPr>
                <w:color w:val="000000"/>
                <w:sz w:val="24"/>
                <w:szCs w:val="20"/>
              </w:rPr>
            </w:pPr>
            <w:r>
              <w:rPr>
                <w:color w:val="000000"/>
                <w:sz w:val="24"/>
              </w:rPr>
              <w:t>913501055978878972</w:t>
            </w:r>
          </w:p>
        </w:tc>
      </w:tr>
      <w:tr w14:paraId="13FB418E">
        <w:trPr>
          <w:cantSplit/>
          <w:trHeight w:val="443" w:hRule="atLeast"/>
          <w:jc w:val="center"/>
        </w:trPr>
        <w:tc>
          <w:tcPr>
            <w:tcW w:w="1467" w:type="dxa"/>
            <w:vMerge w:val="continue"/>
            <w:tcBorders>
              <w:top w:val="single" w:color="auto" w:sz="4" w:space="0"/>
              <w:left w:val="single" w:color="auto" w:sz="4" w:space="0"/>
              <w:bottom w:val="single" w:color="auto" w:sz="4" w:space="0"/>
              <w:right w:val="single" w:color="auto" w:sz="4" w:space="0"/>
            </w:tcBorders>
            <w:shd w:val="clear" w:color="auto" w:fill="C6D9F1"/>
            <w:vAlign w:val="center"/>
          </w:tcPr>
          <w:p w14:paraId="5B5DA988">
            <w:pPr>
              <w:jc w:val="left"/>
              <w:rPr>
                <w:rFonts w:ascii="宋体" w:hAnsi="宋体"/>
                <w:sz w:val="24"/>
              </w:rPr>
            </w:pP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345DA716">
            <w:pPr>
              <w:jc w:val="center"/>
              <w:rPr>
                <w:rFonts w:ascii="宋体" w:hAnsi="宋体"/>
                <w:sz w:val="24"/>
              </w:rPr>
            </w:pPr>
            <w:r>
              <w:rPr>
                <w:rFonts w:hint="eastAsia" w:ascii="宋体" w:hAnsi="宋体"/>
                <w:sz w:val="24"/>
              </w:rPr>
              <w:t>地址</w:t>
            </w:r>
          </w:p>
        </w:tc>
        <w:tc>
          <w:tcPr>
            <w:tcW w:w="6864" w:type="dxa"/>
            <w:tcBorders>
              <w:top w:val="single" w:color="auto" w:sz="4" w:space="0"/>
              <w:left w:val="single" w:color="auto" w:sz="4" w:space="0"/>
              <w:bottom w:val="single" w:color="auto" w:sz="4" w:space="0"/>
              <w:right w:val="single" w:color="auto" w:sz="4" w:space="0"/>
            </w:tcBorders>
            <w:vAlign w:val="center"/>
          </w:tcPr>
          <w:p w14:paraId="0475E114">
            <w:pPr>
              <w:spacing w:before="100" w:beforeAutospacing="1" w:after="100" w:afterAutospacing="1"/>
              <w:jc w:val="center"/>
              <w:rPr>
                <w:color w:val="000000"/>
                <w:sz w:val="24"/>
              </w:rPr>
            </w:pPr>
            <w:r>
              <w:rPr>
                <w:rFonts w:hint="eastAsia"/>
                <w:color w:val="000000"/>
                <w:sz w:val="24"/>
              </w:rPr>
              <w:t>福建省福州保税区海峡经贸广场</w:t>
            </w:r>
            <w:r>
              <w:rPr>
                <w:color w:val="000000"/>
                <w:sz w:val="24"/>
              </w:rPr>
              <w:t>1#</w:t>
            </w:r>
            <w:r>
              <w:rPr>
                <w:rFonts w:hint="eastAsia"/>
                <w:color w:val="000000"/>
                <w:sz w:val="24"/>
              </w:rPr>
              <w:t>楼</w:t>
            </w:r>
            <w:r>
              <w:rPr>
                <w:color w:val="000000"/>
                <w:sz w:val="24"/>
              </w:rPr>
              <w:t>B602</w:t>
            </w:r>
          </w:p>
        </w:tc>
      </w:tr>
      <w:tr w14:paraId="7207133A">
        <w:trPr>
          <w:cantSplit/>
          <w:trHeight w:val="451" w:hRule="atLeast"/>
          <w:jc w:val="center"/>
        </w:trPr>
        <w:tc>
          <w:tcPr>
            <w:tcW w:w="1467" w:type="dxa"/>
            <w:vMerge w:val="continue"/>
            <w:tcBorders>
              <w:top w:val="single" w:color="auto" w:sz="4" w:space="0"/>
              <w:left w:val="single" w:color="auto" w:sz="4" w:space="0"/>
              <w:bottom w:val="single" w:color="auto" w:sz="4" w:space="0"/>
              <w:right w:val="single" w:color="auto" w:sz="4" w:space="0"/>
            </w:tcBorders>
            <w:shd w:val="clear" w:color="auto" w:fill="C6D9F1"/>
            <w:vAlign w:val="center"/>
          </w:tcPr>
          <w:p w14:paraId="4DBAA041">
            <w:pPr>
              <w:jc w:val="left"/>
              <w:rPr>
                <w:rFonts w:ascii="宋体" w:hAnsi="宋体"/>
                <w:sz w:val="24"/>
              </w:rPr>
            </w:pPr>
          </w:p>
        </w:tc>
        <w:tc>
          <w:tcPr>
            <w:tcW w:w="1980" w:type="dxa"/>
            <w:tcBorders>
              <w:top w:val="single" w:color="auto" w:sz="4" w:space="0"/>
              <w:left w:val="single" w:color="auto" w:sz="4" w:space="0"/>
              <w:bottom w:val="single" w:color="auto" w:sz="4" w:space="0"/>
              <w:right w:val="single" w:color="auto" w:sz="4" w:space="0"/>
            </w:tcBorders>
            <w:shd w:val="clear" w:color="auto" w:fill="C6D9F1"/>
            <w:vAlign w:val="center"/>
          </w:tcPr>
          <w:p w14:paraId="21D197CB">
            <w:pPr>
              <w:jc w:val="center"/>
              <w:rPr>
                <w:rFonts w:ascii="宋体" w:hAnsi="宋体"/>
                <w:sz w:val="24"/>
              </w:rPr>
            </w:pPr>
            <w:r>
              <w:rPr>
                <w:rFonts w:hint="eastAsia" w:ascii="宋体" w:hAnsi="宋体"/>
                <w:sz w:val="24"/>
              </w:rPr>
              <w:t>邮编</w:t>
            </w:r>
          </w:p>
        </w:tc>
        <w:tc>
          <w:tcPr>
            <w:tcW w:w="6864" w:type="dxa"/>
            <w:tcBorders>
              <w:top w:val="single" w:color="auto" w:sz="4" w:space="0"/>
              <w:left w:val="single" w:color="auto" w:sz="4" w:space="0"/>
              <w:bottom w:val="single" w:color="auto" w:sz="4" w:space="0"/>
              <w:right w:val="single" w:color="auto" w:sz="4" w:space="0"/>
            </w:tcBorders>
            <w:vAlign w:val="center"/>
          </w:tcPr>
          <w:p w14:paraId="0E0FBBBF">
            <w:pPr>
              <w:spacing w:before="100" w:beforeAutospacing="1" w:after="100" w:afterAutospacing="1"/>
              <w:jc w:val="center"/>
              <w:rPr>
                <w:color w:val="000000"/>
                <w:sz w:val="24"/>
              </w:rPr>
            </w:pPr>
            <w:r>
              <w:rPr>
                <w:rFonts w:hint="eastAsia"/>
                <w:color w:val="000000"/>
                <w:sz w:val="24"/>
              </w:rPr>
              <w:t>350015</w:t>
            </w:r>
          </w:p>
        </w:tc>
      </w:tr>
      <w:tr w14:paraId="347F4DE7">
        <w:trPr>
          <w:cantSplit/>
          <w:trHeight w:val="456"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5AC6512B">
            <w:pPr>
              <w:jc w:val="center"/>
              <w:rPr>
                <w:rFonts w:ascii="宋体" w:hAnsi="宋体"/>
                <w:b/>
                <w:color w:val="C00000"/>
                <w:sz w:val="24"/>
              </w:rPr>
            </w:pPr>
            <w:r>
              <w:rPr>
                <w:rFonts w:hint="eastAsia" w:ascii="宋体" w:hAnsi="宋体"/>
                <w:b/>
                <w:color w:val="C00000"/>
                <w:sz w:val="24"/>
              </w:rPr>
              <w:t>发明人姓名及身份证号码</w:t>
            </w:r>
          </w:p>
        </w:tc>
        <w:tc>
          <w:tcPr>
            <w:tcW w:w="6864" w:type="dxa"/>
            <w:tcBorders>
              <w:top w:val="single" w:color="auto" w:sz="4" w:space="0"/>
              <w:left w:val="single" w:color="auto" w:sz="4" w:space="0"/>
              <w:bottom w:val="single" w:color="auto" w:sz="4" w:space="0"/>
              <w:right w:val="single" w:color="auto" w:sz="4" w:space="0"/>
            </w:tcBorders>
            <w:vAlign w:val="center"/>
          </w:tcPr>
          <w:p w14:paraId="28B74C8B">
            <w:pPr>
              <w:rPr>
                <w:b/>
                <w:color w:val="000000"/>
                <w:sz w:val="24"/>
              </w:rPr>
            </w:pPr>
          </w:p>
          <w:p w14:paraId="3A557DEA">
            <w:pPr>
              <w:rPr>
                <w:rFonts w:hint="default" w:eastAsia="宋体"/>
                <w:b/>
                <w:color w:val="000000"/>
                <w:sz w:val="24"/>
                <w:lang w:val="en-US" w:eastAsia="zh-CN"/>
              </w:rPr>
            </w:pPr>
            <w:r>
              <w:rPr>
                <w:rFonts w:hint="eastAsia"/>
                <w:b/>
                <w:color w:val="000000"/>
                <w:sz w:val="24"/>
                <w:lang w:val="en-US" w:eastAsia="zh-CN"/>
              </w:rPr>
              <w:t>严彬 350102198405122810</w:t>
            </w:r>
            <w:bookmarkStart w:id="0" w:name="_GoBack"/>
            <w:bookmarkEnd w:id="0"/>
          </w:p>
          <w:p w14:paraId="3ABBBE3F">
            <w:pPr>
              <w:rPr>
                <w:b/>
                <w:color w:val="000000"/>
                <w:sz w:val="24"/>
              </w:rPr>
            </w:pPr>
          </w:p>
          <w:p w14:paraId="16B152A8">
            <w:pPr>
              <w:rPr>
                <w:b/>
                <w:color w:val="000000"/>
                <w:sz w:val="24"/>
              </w:rPr>
            </w:pPr>
          </w:p>
          <w:p w14:paraId="19B9A3D5">
            <w:pPr>
              <w:rPr>
                <w:b/>
                <w:color w:val="000000"/>
                <w:sz w:val="24"/>
              </w:rPr>
            </w:pPr>
          </w:p>
          <w:p w14:paraId="18BE7A04">
            <w:pPr>
              <w:rPr>
                <w:rFonts w:hint="eastAsia"/>
                <w:b/>
                <w:color w:val="000000"/>
                <w:sz w:val="24"/>
              </w:rPr>
            </w:pPr>
          </w:p>
        </w:tc>
      </w:tr>
      <w:tr w14:paraId="36839632">
        <w:trPr>
          <w:cantSplit/>
          <w:trHeight w:val="456"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3A14FDF6">
            <w:pPr>
              <w:jc w:val="center"/>
              <w:rPr>
                <w:rFonts w:ascii="宋体" w:hAnsi="宋体"/>
                <w:sz w:val="24"/>
              </w:rPr>
            </w:pPr>
            <w:r>
              <w:rPr>
                <w:rFonts w:hint="eastAsia" w:ascii="宋体" w:hAnsi="宋体"/>
                <w:sz w:val="24"/>
              </w:rPr>
              <w:t>第一</w:t>
            </w:r>
            <w:r>
              <w:rPr>
                <w:rFonts w:ascii="宋体" w:hAnsi="宋体"/>
                <w:sz w:val="24"/>
              </w:rPr>
              <w:t>发明人联系方式</w:t>
            </w:r>
          </w:p>
        </w:tc>
        <w:tc>
          <w:tcPr>
            <w:tcW w:w="6864" w:type="dxa"/>
            <w:tcBorders>
              <w:top w:val="single" w:color="auto" w:sz="4" w:space="0"/>
              <w:left w:val="single" w:color="auto" w:sz="4" w:space="0"/>
              <w:bottom w:val="single" w:color="auto" w:sz="4" w:space="0"/>
              <w:right w:val="single" w:color="auto" w:sz="4" w:space="0"/>
            </w:tcBorders>
            <w:vAlign w:val="center"/>
          </w:tcPr>
          <w:p w14:paraId="11A9F3E0">
            <w:pPr>
              <w:jc w:val="center"/>
              <w:rPr>
                <w:b/>
                <w:color w:val="000000"/>
                <w:sz w:val="24"/>
              </w:rPr>
            </w:pPr>
          </w:p>
        </w:tc>
      </w:tr>
      <w:tr w14:paraId="3CF41C64">
        <w:trPr>
          <w:cantSplit/>
          <w:trHeight w:val="453"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1D1D67F1">
            <w:pPr>
              <w:jc w:val="center"/>
              <w:rPr>
                <w:rFonts w:ascii="宋体" w:hAnsi="宋体"/>
                <w:sz w:val="24"/>
              </w:rPr>
            </w:pPr>
            <w:r>
              <w:rPr>
                <w:rFonts w:hint="eastAsia" w:ascii="宋体" w:hAnsi="宋体"/>
                <w:sz w:val="24"/>
              </w:rPr>
              <w:t>联系人</w:t>
            </w:r>
          </w:p>
        </w:tc>
        <w:tc>
          <w:tcPr>
            <w:tcW w:w="6864" w:type="dxa"/>
            <w:tcBorders>
              <w:top w:val="single" w:color="auto" w:sz="4" w:space="0"/>
              <w:left w:val="single" w:color="auto" w:sz="4" w:space="0"/>
              <w:bottom w:val="single" w:color="auto" w:sz="4" w:space="0"/>
              <w:right w:val="single" w:color="auto" w:sz="4" w:space="0"/>
            </w:tcBorders>
            <w:vAlign w:val="center"/>
          </w:tcPr>
          <w:p w14:paraId="6C49A177">
            <w:pPr>
              <w:jc w:val="center"/>
              <w:rPr>
                <w:color w:val="000000"/>
                <w:sz w:val="24"/>
              </w:rPr>
            </w:pPr>
            <w:r>
              <w:rPr>
                <w:rFonts w:hint="eastAsia"/>
                <w:color w:val="000000"/>
                <w:sz w:val="24"/>
              </w:rPr>
              <w:t>张燕娜</w:t>
            </w:r>
          </w:p>
        </w:tc>
      </w:tr>
      <w:tr w14:paraId="27C98867">
        <w:trPr>
          <w:cantSplit/>
          <w:trHeight w:val="453"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248646D1">
            <w:pPr>
              <w:jc w:val="center"/>
              <w:rPr>
                <w:rFonts w:ascii="宋体" w:hAnsi="宋体"/>
                <w:sz w:val="24"/>
              </w:rPr>
            </w:pPr>
            <w:r>
              <w:rPr>
                <w:rFonts w:hint="eastAsia" w:ascii="宋体" w:hAnsi="宋体"/>
                <w:sz w:val="24"/>
              </w:rPr>
              <w:t>联系人电话</w:t>
            </w:r>
          </w:p>
        </w:tc>
        <w:tc>
          <w:tcPr>
            <w:tcW w:w="6864" w:type="dxa"/>
            <w:tcBorders>
              <w:top w:val="single" w:color="auto" w:sz="4" w:space="0"/>
              <w:left w:val="single" w:color="auto" w:sz="4" w:space="0"/>
              <w:bottom w:val="single" w:color="auto" w:sz="4" w:space="0"/>
              <w:right w:val="single" w:color="auto" w:sz="4" w:space="0"/>
            </w:tcBorders>
            <w:vAlign w:val="center"/>
          </w:tcPr>
          <w:p w14:paraId="2C7AB00F">
            <w:pPr>
              <w:jc w:val="center"/>
              <w:rPr>
                <w:color w:val="000000"/>
                <w:sz w:val="24"/>
              </w:rPr>
            </w:pPr>
            <w:r>
              <w:rPr>
                <w:rFonts w:hint="eastAsia"/>
                <w:color w:val="000000"/>
                <w:sz w:val="24"/>
              </w:rPr>
              <w:t>15394401</w:t>
            </w:r>
            <w:r>
              <w:rPr>
                <w:color w:val="000000"/>
                <w:sz w:val="24"/>
              </w:rPr>
              <w:t>486</w:t>
            </w:r>
          </w:p>
        </w:tc>
      </w:tr>
      <w:tr w14:paraId="32C6B856">
        <w:trPr>
          <w:cantSplit/>
          <w:trHeight w:val="583"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2F7809F3">
            <w:pPr>
              <w:jc w:val="center"/>
              <w:rPr>
                <w:rFonts w:ascii="宋体" w:hAnsi="宋体"/>
                <w:sz w:val="24"/>
              </w:rPr>
            </w:pPr>
            <w:r>
              <w:rPr>
                <w:rFonts w:hint="eastAsia" w:ascii="宋体" w:hAnsi="宋体"/>
                <w:sz w:val="24"/>
              </w:rPr>
              <w:t>联系人Email</w:t>
            </w:r>
          </w:p>
        </w:tc>
        <w:tc>
          <w:tcPr>
            <w:tcW w:w="6864" w:type="dxa"/>
            <w:tcBorders>
              <w:top w:val="single" w:color="auto" w:sz="4" w:space="0"/>
              <w:left w:val="single" w:color="auto" w:sz="4" w:space="0"/>
              <w:bottom w:val="single" w:color="auto" w:sz="4" w:space="0"/>
              <w:right w:val="single" w:color="auto" w:sz="4" w:space="0"/>
            </w:tcBorders>
            <w:vAlign w:val="center"/>
          </w:tcPr>
          <w:p w14:paraId="0899F626">
            <w:pPr>
              <w:jc w:val="center"/>
              <w:rPr>
                <w:color w:val="000000"/>
                <w:sz w:val="24"/>
              </w:rPr>
            </w:pPr>
            <w:r>
              <w:rPr>
                <w:color w:val="000000"/>
                <w:sz w:val="24"/>
              </w:rPr>
              <w:t>zhangyann@newlandnpt.com</w:t>
            </w:r>
          </w:p>
        </w:tc>
      </w:tr>
      <w:tr w14:paraId="71F788A0">
        <w:trPr>
          <w:cantSplit/>
          <w:trHeight w:val="511" w:hRule="atLeast"/>
          <w:jc w:val="center"/>
        </w:trPr>
        <w:tc>
          <w:tcPr>
            <w:tcW w:w="3447" w:type="dxa"/>
            <w:gridSpan w:val="2"/>
            <w:tcBorders>
              <w:top w:val="single" w:color="auto" w:sz="4" w:space="0"/>
              <w:left w:val="single" w:color="auto" w:sz="4" w:space="0"/>
              <w:bottom w:val="single" w:color="auto" w:sz="4" w:space="0"/>
              <w:right w:val="single" w:color="auto" w:sz="4" w:space="0"/>
            </w:tcBorders>
            <w:shd w:val="clear" w:color="auto" w:fill="C6D9F1"/>
            <w:vAlign w:val="center"/>
          </w:tcPr>
          <w:p w14:paraId="188880A8">
            <w:pPr>
              <w:ind w:firstLine="600" w:firstLineChars="250"/>
              <w:jc w:val="left"/>
              <w:rPr>
                <w:rFonts w:ascii="宋体" w:hAnsi="宋体"/>
                <w:sz w:val="24"/>
              </w:rPr>
            </w:pPr>
            <w:r>
              <w:rPr>
                <w:rFonts w:hint="eastAsia"/>
                <w:sz w:val="24"/>
              </w:rPr>
              <w:t>联系人地址</w:t>
            </w:r>
          </w:p>
        </w:tc>
        <w:tc>
          <w:tcPr>
            <w:tcW w:w="6864" w:type="dxa"/>
            <w:tcBorders>
              <w:top w:val="single" w:color="auto" w:sz="4" w:space="0"/>
              <w:left w:val="single" w:color="auto" w:sz="4" w:space="0"/>
              <w:bottom w:val="single" w:color="auto" w:sz="4" w:space="0"/>
              <w:right w:val="single" w:color="auto" w:sz="4" w:space="0"/>
            </w:tcBorders>
            <w:vAlign w:val="center"/>
          </w:tcPr>
          <w:p w14:paraId="4C0314C7">
            <w:pPr>
              <w:jc w:val="center"/>
              <w:rPr>
                <w:color w:val="000000"/>
                <w:sz w:val="24"/>
              </w:rPr>
            </w:pPr>
            <w:r>
              <w:rPr>
                <w:rFonts w:hint="eastAsia"/>
                <w:color w:val="000000"/>
                <w:sz w:val="24"/>
              </w:rPr>
              <w:t>福建省福州市马尾区</w:t>
            </w:r>
            <w:r>
              <w:rPr>
                <w:color w:val="000000"/>
                <w:sz w:val="24"/>
              </w:rPr>
              <w:t>儒江西路</w:t>
            </w:r>
            <w:r>
              <w:rPr>
                <w:rFonts w:hint="eastAsia"/>
                <w:color w:val="000000"/>
                <w:sz w:val="24"/>
              </w:rPr>
              <w:t>1号</w:t>
            </w:r>
            <w:r>
              <w:rPr>
                <w:color w:val="000000"/>
                <w:sz w:val="24"/>
              </w:rPr>
              <w:t>新大陆科技园</w:t>
            </w:r>
          </w:p>
        </w:tc>
      </w:tr>
    </w:tbl>
    <w:p w14:paraId="16199F42">
      <w:pPr>
        <w:spacing w:line="460" w:lineRule="exact"/>
        <w:jc w:val="center"/>
        <w:rPr>
          <w:rFonts w:ascii="宋体" w:hAnsi="宋体" w:cs="宋体"/>
          <w:b/>
          <w:bCs/>
          <w:sz w:val="44"/>
          <w:szCs w:val="44"/>
        </w:rPr>
      </w:pPr>
    </w:p>
    <w:p w14:paraId="4318D057">
      <w:pPr>
        <w:spacing w:line="460" w:lineRule="exact"/>
        <w:jc w:val="center"/>
        <w:rPr>
          <w:rFonts w:ascii="宋体" w:cs="宋体"/>
          <w:b/>
          <w:bCs/>
          <w:sz w:val="44"/>
          <w:szCs w:val="44"/>
        </w:rPr>
      </w:pPr>
    </w:p>
    <w:tbl>
      <w:tblPr>
        <w:tblStyle w:val="7"/>
        <w:tblW w:w="10740" w:type="dxa"/>
        <w:tblInd w:w="0" w:type="dxa"/>
        <w:tblBorders>
          <w:top w:val="single" w:color="1F497D" w:sz="12" w:space="0"/>
          <w:left w:val="single" w:color="1F497D" w:sz="12" w:space="0"/>
          <w:bottom w:val="single" w:color="1F497D" w:sz="12" w:space="0"/>
          <w:right w:val="single" w:color="1F497D" w:sz="12" w:space="0"/>
          <w:insideH w:val="single" w:color="1F497D" w:sz="12" w:space="0"/>
          <w:insideV w:val="single" w:color="1F497D" w:sz="12" w:space="0"/>
        </w:tblBorders>
        <w:tblLayout w:type="fixed"/>
        <w:tblCellMar>
          <w:top w:w="0" w:type="dxa"/>
          <w:left w:w="108" w:type="dxa"/>
          <w:bottom w:w="0" w:type="dxa"/>
          <w:right w:w="108" w:type="dxa"/>
        </w:tblCellMar>
      </w:tblPr>
      <w:tblGrid>
        <w:gridCol w:w="10740"/>
      </w:tblGrid>
      <w:tr w14:paraId="5F78A736">
        <w:tc>
          <w:tcPr>
            <w:tcW w:w="10740" w:type="dxa"/>
            <w:shd w:val="clear" w:color="auto" w:fill="auto"/>
          </w:tcPr>
          <w:p w14:paraId="379BBE87">
            <w:pPr>
              <w:shd w:val="clear" w:color="auto" w:fill="C6D9F1"/>
              <w:spacing w:line="420" w:lineRule="exact"/>
              <w:rPr>
                <w:rFonts w:ascii="宋体" w:hAnsi="宋体" w:cs="宋体"/>
                <w:b/>
                <w:bCs/>
                <w:color w:val="17365D"/>
                <w:sz w:val="24"/>
                <w:szCs w:val="24"/>
              </w:rPr>
            </w:pPr>
            <w:r>
              <w:rPr>
                <w:rFonts w:hint="eastAsia" w:ascii="宋体" w:hAnsi="宋体" w:cs="宋体"/>
                <w:b/>
                <w:bCs/>
                <w:color w:val="17365D"/>
                <w:sz w:val="24"/>
                <w:szCs w:val="24"/>
              </w:rPr>
              <w:t>一</w:t>
            </w:r>
            <w:r>
              <w:rPr>
                <w:rFonts w:ascii="宋体" w:hAnsi="宋体" w:cs="宋体"/>
                <w:b/>
                <w:bCs/>
                <w:color w:val="17365D"/>
                <w:sz w:val="24"/>
                <w:szCs w:val="24"/>
              </w:rPr>
              <w:t>、</w:t>
            </w:r>
            <w:r>
              <w:rPr>
                <w:rFonts w:hint="eastAsia" w:ascii="宋体" w:hAnsi="宋体" w:cs="宋体"/>
                <w:b/>
                <w:bCs/>
                <w:color w:val="17365D"/>
                <w:sz w:val="24"/>
                <w:szCs w:val="24"/>
              </w:rPr>
              <w:t>所属技术领域</w:t>
            </w:r>
          </w:p>
          <w:p w14:paraId="5C53AED8">
            <w:pPr>
              <w:spacing w:line="360" w:lineRule="auto"/>
              <w:ind w:firstLine="480" w:firstLineChars="200"/>
              <w:rPr>
                <w:rFonts w:hint="eastAsia" w:ascii="宋体" w:hAnsi="宋体" w:cs="宋体"/>
                <w:sz w:val="24"/>
                <w:szCs w:val="24"/>
              </w:rPr>
            </w:pPr>
            <w:r>
              <w:rPr>
                <w:rFonts w:hint="eastAsia" w:ascii="宋体" w:hAnsi="宋体" w:cs="宋体"/>
                <w:sz w:val="24"/>
                <w:szCs w:val="24"/>
              </w:rPr>
              <w:t>本发明属于人工智能技术领域，具体涉及大语言模型智能体的经验学习与记忆增强技术，尤其涉及一种在办公自动化任务场景下，通过结构化经验卡的离线蒸馏、在线检索注入、验证晋升与生命周期管理，使本地大语言模型智能体在云端教师模型少量指导下逐步独立完成任务的经验学习系统及方法。</w:t>
            </w:r>
          </w:p>
          <w:p w14:paraId="26B9A6CC">
            <w:pPr>
              <w:spacing w:line="460" w:lineRule="exact"/>
              <w:jc w:val="left"/>
              <w:rPr>
                <w:rFonts w:ascii="宋体" w:cs="宋体"/>
                <w:b/>
                <w:bCs/>
                <w:sz w:val="44"/>
                <w:szCs w:val="44"/>
              </w:rPr>
            </w:pPr>
          </w:p>
          <w:p w14:paraId="23A95A5F">
            <w:pPr>
              <w:spacing w:line="460" w:lineRule="exact"/>
              <w:jc w:val="left"/>
              <w:rPr>
                <w:rFonts w:ascii="宋体" w:cs="宋体"/>
                <w:b/>
                <w:bCs/>
                <w:sz w:val="44"/>
                <w:szCs w:val="44"/>
              </w:rPr>
            </w:pPr>
          </w:p>
          <w:p w14:paraId="351C99A6">
            <w:pPr>
              <w:spacing w:line="460" w:lineRule="exact"/>
              <w:jc w:val="left"/>
              <w:rPr>
                <w:rFonts w:ascii="宋体" w:cs="宋体"/>
                <w:b/>
                <w:bCs/>
                <w:sz w:val="44"/>
                <w:szCs w:val="44"/>
              </w:rPr>
            </w:pPr>
          </w:p>
        </w:tc>
      </w:tr>
      <w:tr w14:paraId="6A429EE0">
        <w:tc>
          <w:tcPr>
            <w:tcW w:w="10740" w:type="dxa"/>
            <w:shd w:val="clear" w:color="auto" w:fill="auto"/>
          </w:tcPr>
          <w:p w14:paraId="68F7E5AA">
            <w:pPr>
              <w:shd w:val="clear" w:color="auto" w:fill="C6D9F1"/>
              <w:spacing w:line="420" w:lineRule="exact"/>
              <w:rPr>
                <w:rFonts w:ascii="宋体" w:hAnsi="宋体" w:cs="宋体"/>
                <w:b/>
                <w:bCs/>
                <w:color w:val="17365D"/>
                <w:sz w:val="24"/>
                <w:szCs w:val="24"/>
              </w:rPr>
            </w:pPr>
            <w:r>
              <w:rPr>
                <w:rFonts w:hint="eastAsia" w:ascii="宋体" w:hAnsi="宋体" w:cs="宋体"/>
                <w:b/>
                <w:bCs/>
                <w:color w:val="17365D"/>
                <w:sz w:val="24"/>
                <w:szCs w:val="24"/>
              </w:rPr>
              <w:t>二</w:t>
            </w:r>
            <w:r>
              <w:rPr>
                <w:rFonts w:ascii="宋体" w:hAnsi="宋体" w:cs="宋体"/>
                <w:b/>
                <w:bCs/>
                <w:color w:val="17365D"/>
                <w:sz w:val="24"/>
                <w:szCs w:val="24"/>
              </w:rPr>
              <w:t>、</w:t>
            </w:r>
            <w:r>
              <w:rPr>
                <w:rFonts w:hint="eastAsia" w:ascii="宋体" w:hAnsi="宋体" w:cs="宋体"/>
                <w:b/>
                <w:bCs/>
                <w:color w:val="17365D"/>
                <w:sz w:val="24"/>
                <w:szCs w:val="24"/>
              </w:rPr>
              <w:t>背景技术（字数：</w:t>
            </w:r>
            <w:r>
              <w:rPr>
                <w:rFonts w:ascii="宋体" w:hAnsi="宋体" w:cs="宋体"/>
                <w:b/>
                <w:bCs/>
                <w:color w:val="17365D"/>
                <w:sz w:val="24"/>
                <w:szCs w:val="24"/>
              </w:rPr>
              <w:t>500</w:t>
            </w:r>
            <w:r>
              <w:rPr>
                <w:rFonts w:hint="eastAsia" w:ascii="宋体" w:hAnsi="宋体" w:cs="宋体"/>
                <w:b/>
                <w:bCs/>
                <w:color w:val="17365D"/>
                <w:sz w:val="24"/>
                <w:szCs w:val="24"/>
              </w:rPr>
              <w:t>以上）</w:t>
            </w:r>
          </w:p>
          <w:p w14:paraId="528F067A">
            <w:pPr>
              <w:spacing w:line="420" w:lineRule="exact"/>
              <w:rPr>
                <w:rFonts w:ascii="宋体" w:hAnsi="宋体" w:cs="宋体"/>
                <w:b/>
                <w:bCs/>
                <w:color w:val="17365D"/>
                <w:sz w:val="18"/>
                <w:szCs w:val="18"/>
              </w:rPr>
            </w:pPr>
            <w:r>
              <w:rPr>
                <w:rFonts w:hint="eastAsia" w:ascii="宋体" w:hAnsi="宋体" w:cs="宋体"/>
                <w:b/>
                <w:bCs/>
                <w:color w:val="17365D"/>
                <w:sz w:val="18"/>
                <w:szCs w:val="18"/>
              </w:rPr>
              <w:t>详细叙述与本发明有关的现有技术，就其目的、技术措施（或构成）和效果三方面进行叙述，其中效果部分需要将其缺点客观描述，并且这些不足在本发明中能够得以解决。</w:t>
            </w:r>
          </w:p>
          <w:p w14:paraId="7EB992A3">
            <w:pPr>
              <w:spacing w:line="360" w:lineRule="auto"/>
              <w:ind w:firstLine="480" w:firstLineChars="200"/>
              <w:rPr>
                <w:rFonts w:hint="eastAsia" w:ascii="宋体" w:hAnsi="宋体" w:cs="宋体"/>
                <w:sz w:val="24"/>
                <w:szCs w:val="24"/>
              </w:rPr>
            </w:pPr>
            <w:r>
              <w:rPr>
                <w:rFonts w:hint="eastAsia" w:ascii="宋体" w:hAnsi="宋体" w:cs="宋体"/>
                <w:sz w:val="24"/>
                <w:szCs w:val="24"/>
              </w:rPr>
              <w:t>大语言模型智能体在办公自动化领域的任务执行目前主要有两条技术路线。其一为直接调用云端大模型（如DeepSeek等）：任务成功率高，但每一次请求均产生推理费用，重复性任务长期成本高，且业务数据需出域传输，存在敏感信息泄露风险。其二为部署本地开源模型（如经4-bit量化的27B级模型）：成本低且数据不出域，但模型能力弱于云端大模型，在工具调用格式、输出完整性、长程规划等方面失败率高，难以独立完成任务。</w:t>
            </w:r>
          </w:p>
          <w:p w14:paraId="2C90C679">
            <w:pPr>
              <w:spacing w:line="360" w:lineRule="auto"/>
              <w:ind w:firstLine="480" w:firstLineChars="200"/>
              <w:rPr>
                <w:rFonts w:hint="eastAsia" w:ascii="宋体" w:hAnsi="宋体" w:cs="宋体"/>
                <w:sz w:val="24"/>
                <w:szCs w:val="24"/>
              </w:rPr>
            </w:pPr>
            <w:r>
              <w:rPr>
                <w:rFonts w:hint="eastAsia" w:ascii="宋体" w:hAnsi="宋体" w:cs="宋体"/>
                <w:sz w:val="24"/>
                <w:szCs w:val="24"/>
              </w:rPr>
              <w:t>为使本地模型能力逼近云端，现有技术主要包括：（1）参数微调或强化学习：需要权重更新的训练管线，与本地量化推理部署不兼容，训练成本高，且存在灾难性遗忘风险；（2）检索增强生成与对话记忆：将历史对话或原始任务轨迹直接拼接进提示词，其不足在于原始轨迹冗长、夹杂大量噪声与失败内容，未经任何验证即进入上下文，既挤占上下文窗口、抬高提示词token开销，又可能误导模型，且记忆只增不减、规模无界增长，检索质量随时间持续退化；（3）本地优先、云端兜底的混合路由：现有路由方案仅按请求复杂度或成本静态分流，缺乏对本地输出质量的在线门控，缺乏出域前的安全合规前置检查，且云端输出用完即弃，无法转化为本地模型可复用的经验，本地模型能力永远停留在原水平，重复任务每次都需付费升级。</w:t>
            </w:r>
          </w:p>
          <w:p w14:paraId="5C237DBC">
            <w:pPr>
              <w:spacing w:line="360" w:lineRule="auto"/>
              <w:ind w:firstLine="480" w:firstLineChars="200"/>
              <w:rPr>
                <w:rFonts w:hint="eastAsia" w:ascii="宋体" w:hAnsi="宋体" w:cs="宋体"/>
                <w:sz w:val="24"/>
                <w:szCs w:val="24"/>
              </w:rPr>
            </w:pPr>
            <w:r>
              <w:rPr>
                <w:rFonts w:hint="eastAsia" w:ascii="宋体" w:hAnsi="宋体" w:cs="宋体"/>
                <w:sz w:val="24"/>
                <w:szCs w:val="24"/>
              </w:rPr>
              <w:t>综上，现有技术的效果存在四项共同缺点：第一，经验以原始形态堆积，不可检索、不可计量、不可淘汰，也无法跨任务迁移复用；第二，未经验证的经验（包括失败经验）直接进入上下文，造成经验污染；第三，重复任务对云端模型的依赖不随时间下降，推理与token成本不收敛；第四，云端升级行为缺乏出域许可、敏感信息扫描与预算控制等安全合规机制，学习效果也缺乏可归因的测量手段。上述不足均可由本发明的技术方案加以解决。</w:t>
            </w:r>
          </w:p>
          <w:p w14:paraId="60E4BFD3">
            <w:pPr>
              <w:spacing w:line="420" w:lineRule="exact"/>
              <w:ind w:firstLine="405" w:firstLineChars="225"/>
              <w:rPr>
                <w:rFonts w:ascii="宋体" w:hAnsi="宋体"/>
                <w:sz w:val="18"/>
                <w:szCs w:val="18"/>
              </w:rPr>
            </w:pPr>
          </w:p>
          <w:p w14:paraId="70CBFDB1">
            <w:pPr>
              <w:spacing w:line="420" w:lineRule="exact"/>
              <w:ind w:firstLine="405" w:firstLineChars="225"/>
              <w:rPr>
                <w:rFonts w:ascii="宋体" w:hAnsi="宋体"/>
                <w:sz w:val="18"/>
                <w:szCs w:val="18"/>
              </w:rPr>
            </w:pPr>
          </w:p>
          <w:p w14:paraId="3585E4A3">
            <w:pPr>
              <w:spacing w:line="420" w:lineRule="exact"/>
              <w:ind w:firstLine="405" w:firstLineChars="225"/>
              <w:rPr>
                <w:rFonts w:ascii="宋体" w:hAnsi="宋体" w:cs="宋体"/>
                <w:b/>
                <w:bCs/>
                <w:color w:val="D99594"/>
                <w:sz w:val="18"/>
                <w:szCs w:val="18"/>
              </w:rPr>
            </w:pPr>
          </w:p>
          <w:p w14:paraId="0050B6A0">
            <w:pPr>
              <w:spacing w:line="420" w:lineRule="exact"/>
              <w:ind w:firstLine="405" w:firstLineChars="225"/>
              <w:rPr>
                <w:rFonts w:ascii="宋体" w:hAnsi="宋体" w:cs="宋体"/>
                <w:b/>
                <w:bCs/>
                <w:color w:val="D99594"/>
                <w:sz w:val="18"/>
                <w:szCs w:val="18"/>
              </w:rPr>
            </w:pPr>
          </w:p>
          <w:p w14:paraId="3A4E7497">
            <w:pPr>
              <w:spacing w:line="460" w:lineRule="exact"/>
              <w:jc w:val="left"/>
              <w:rPr>
                <w:rFonts w:ascii="宋体" w:cs="宋体"/>
                <w:b/>
                <w:bCs/>
                <w:sz w:val="44"/>
                <w:szCs w:val="44"/>
              </w:rPr>
            </w:pPr>
          </w:p>
        </w:tc>
      </w:tr>
      <w:tr w14:paraId="0E8BAE23">
        <w:tc>
          <w:tcPr>
            <w:tcW w:w="10740" w:type="dxa"/>
            <w:shd w:val="clear" w:color="auto" w:fill="auto"/>
          </w:tcPr>
          <w:p w14:paraId="6E614DF6">
            <w:pPr>
              <w:shd w:val="clear" w:color="auto" w:fill="C6D9F1"/>
              <w:spacing w:line="420" w:lineRule="exact"/>
              <w:rPr>
                <w:rFonts w:ascii="宋体" w:hAnsi="宋体" w:cs="宋体"/>
                <w:b/>
                <w:bCs/>
                <w:color w:val="17365D"/>
                <w:sz w:val="24"/>
                <w:szCs w:val="24"/>
              </w:rPr>
            </w:pPr>
            <w:r>
              <w:rPr>
                <w:rFonts w:hint="eastAsia" w:ascii="宋体" w:hAnsi="宋体" w:cs="宋体"/>
                <w:b/>
                <w:bCs/>
                <w:color w:val="17365D"/>
                <w:sz w:val="24"/>
                <w:szCs w:val="24"/>
              </w:rPr>
              <w:t>三</w:t>
            </w:r>
            <w:r>
              <w:rPr>
                <w:rFonts w:ascii="宋体" w:hAnsi="宋体" w:cs="宋体"/>
                <w:b/>
                <w:bCs/>
                <w:color w:val="17365D"/>
                <w:sz w:val="24"/>
                <w:szCs w:val="24"/>
              </w:rPr>
              <w:t>、</w:t>
            </w:r>
            <w:r>
              <w:rPr>
                <w:rFonts w:hint="eastAsia" w:ascii="宋体" w:hAnsi="宋体" w:cs="宋体"/>
                <w:b/>
                <w:bCs/>
                <w:color w:val="17365D"/>
                <w:sz w:val="24"/>
                <w:szCs w:val="24"/>
              </w:rPr>
              <w:t>本发明目的或要解决的技术问题</w:t>
            </w:r>
          </w:p>
          <w:p w14:paraId="12A0AC27">
            <w:pPr>
              <w:spacing w:line="420" w:lineRule="exact"/>
              <w:ind w:firstLine="405" w:firstLineChars="225"/>
              <w:rPr>
                <w:rFonts w:ascii="宋体" w:hAnsi="宋体" w:cs="宋体"/>
                <w:b/>
                <w:bCs/>
                <w:color w:val="17365D"/>
                <w:sz w:val="18"/>
                <w:szCs w:val="18"/>
              </w:rPr>
            </w:pPr>
            <w:r>
              <w:rPr>
                <w:rFonts w:hint="eastAsia" w:ascii="宋体" w:hAnsi="宋体" w:cs="宋体"/>
                <w:b/>
                <w:bCs/>
                <w:color w:val="17365D"/>
                <w:sz w:val="18"/>
                <w:szCs w:val="18"/>
              </w:rPr>
              <w:t>指本发明创造的技术方案要解决现有技术中存在的哪些问题。在分析已有技术不足之处的基础上，指出本发明的目的，或者说正是为了克服以上不足或者另有新意，才提出本发明创造的构思。</w:t>
            </w:r>
          </w:p>
          <w:p w14:paraId="45370206">
            <w:pPr>
              <w:spacing w:line="420" w:lineRule="exact"/>
              <w:rPr>
                <w:rFonts w:ascii="宋体" w:hAnsi="宋体" w:cs="宋体"/>
                <w:b/>
                <w:bCs/>
                <w:color w:val="17365D"/>
                <w:sz w:val="18"/>
                <w:szCs w:val="18"/>
              </w:rPr>
            </w:pPr>
            <w:r>
              <w:rPr>
                <w:rFonts w:hint="eastAsia" w:ascii="宋体" w:hAnsi="宋体" w:cs="宋体"/>
                <w:b/>
                <w:bCs/>
                <w:color w:val="17365D"/>
                <w:sz w:val="18"/>
                <w:szCs w:val="18"/>
              </w:rPr>
              <w:t>具体要求如下：</w:t>
            </w:r>
          </w:p>
          <w:p w14:paraId="4BE542F6">
            <w:pPr>
              <w:spacing w:line="420" w:lineRule="exact"/>
              <w:rPr>
                <w:rFonts w:ascii="宋体" w:hAnsi="宋体" w:cs="宋体"/>
                <w:b/>
                <w:bCs/>
                <w:color w:val="17365D"/>
                <w:sz w:val="18"/>
                <w:szCs w:val="18"/>
              </w:rPr>
            </w:pPr>
            <w:r>
              <w:rPr>
                <w:rFonts w:hint="eastAsia" w:ascii="宋体" w:hAnsi="宋体" w:cs="宋体"/>
                <w:b/>
                <w:bCs/>
                <w:color w:val="17365D"/>
                <w:sz w:val="18"/>
                <w:szCs w:val="18"/>
              </w:rPr>
              <w:t>（</w:t>
            </w:r>
            <w:r>
              <w:rPr>
                <w:rFonts w:ascii="宋体" w:hAnsi="宋体" w:cs="宋体"/>
                <w:b/>
                <w:bCs/>
                <w:color w:val="17365D"/>
                <w:sz w:val="18"/>
                <w:szCs w:val="18"/>
              </w:rPr>
              <w:t>1</w:t>
            </w:r>
            <w:r>
              <w:rPr>
                <w:rFonts w:hint="eastAsia" w:ascii="宋体" w:hAnsi="宋体" w:cs="宋体"/>
                <w:b/>
                <w:bCs/>
                <w:color w:val="17365D"/>
                <w:sz w:val="18"/>
                <w:szCs w:val="18"/>
              </w:rPr>
              <w:t>）应采用正面语句直接、清楚、客观地写明目的，明确说明要解决的问题；</w:t>
            </w:r>
          </w:p>
          <w:p w14:paraId="2DDF517E">
            <w:pPr>
              <w:spacing w:line="420" w:lineRule="exact"/>
              <w:rPr>
                <w:rFonts w:ascii="宋体" w:hAnsi="宋体" w:cs="宋体"/>
                <w:b/>
                <w:bCs/>
                <w:color w:val="17365D"/>
                <w:sz w:val="18"/>
                <w:szCs w:val="18"/>
              </w:rPr>
            </w:pPr>
            <w:r>
              <w:rPr>
                <w:rFonts w:hint="eastAsia" w:ascii="宋体" w:hAnsi="宋体" w:cs="宋体"/>
                <w:b/>
                <w:bCs/>
                <w:color w:val="17365D"/>
                <w:sz w:val="18"/>
                <w:szCs w:val="18"/>
              </w:rPr>
              <w:t>（</w:t>
            </w:r>
            <w:r>
              <w:rPr>
                <w:rFonts w:ascii="宋体" w:hAnsi="宋体" w:cs="宋体"/>
                <w:b/>
                <w:bCs/>
                <w:color w:val="17365D"/>
                <w:sz w:val="18"/>
                <w:szCs w:val="18"/>
              </w:rPr>
              <w:t>2</w:t>
            </w:r>
            <w:r>
              <w:rPr>
                <w:rFonts w:hint="eastAsia" w:ascii="宋体" w:hAnsi="宋体" w:cs="宋体"/>
                <w:b/>
                <w:bCs/>
                <w:color w:val="17365D"/>
                <w:sz w:val="18"/>
                <w:szCs w:val="18"/>
              </w:rPr>
              <w:t>）应具体体现出要解决的技术问题，避免直接采用“节省能源”、“提高质量”等笼统的提法。</w:t>
            </w:r>
          </w:p>
          <w:p w14:paraId="115B73D2">
            <w:pPr>
              <w:spacing w:line="420" w:lineRule="exact"/>
              <w:rPr>
                <w:rFonts w:ascii="宋体" w:hAnsi="宋体" w:cs="宋体"/>
                <w:b/>
                <w:bCs/>
                <w:color w:val="17365D"/>
                <w:sz w:val="18"/>
                <w:szCs w:val="18"/>
              </w:rPr>
            </w:pPr>
            <w:r>
              <w:rPr>
                <w:rFonts w:hint="eastAsia" w:ascii="宋体" w:hAnsi="宋体" w:cs="宋体"/>
                <w:b/>
                <w:bCs/>
                <w:color w:val="17365D"/>
                <w:sz w:val="18"/>
                <w:szCs w:val="18"/>
              </w:rPr>
              <w:t>（</w:t>
            </w:r>
            <w:r>
              <w:rPr>
                <w:rFonts w:ascii="宋体" w:hAnsi="宋体" w:cs="宋体"/>
                <w:b/>
                <w:bCs/>
                <w:color w:val="17365D"/>
                <w:sz w:val="18"/>
                <w:szCs w:val="18"/>
              </w:rPr>
              <w:t>3</w:t>
            </w:r>
            <w:r>
              <w:rPr>
                <w:rFonts w:hint="eastAsia" w:ascii="宋体" w:hAnsi="宋体" w:cs="宋体"/>
                <w:b/>
                <w:bCs/>
                <w:color w:val="17365D"/>
                <w:sz w:val="18"/>
                <w:szCs w:val="18"/>
              </w:rPr>
              <w:t>）不得采用广告性宣传用语。</w:t>
            </w:r>
          </w:p>
          <w:p w14:paraId="08B47684">
            <w:pPr>
              <w:spacing w:line="360" w:lineRule="auto"/>
              <w:ind w:firstLine="480" w:firstLineChars="200"/>
              <w:rPr>
                <w:rFonts w:hint="eastAsia" w:ascii="宋体" w:hAnsi="宋体" w:cs="宋体"/>
                <w:sz w:val="24"/>
                <w:szCs w:val="24"/>
              </w:rPr>
            </w:pPr>
            <w:r>
              <w:rPr>
                <w:rFonts w:hint="eastAsia" w:ascii="宋体" w:hAnsi="宋体" w:cs="宋体"/>
                <w:sz w:val="24"/>
                <w:szCs w:val="24"/>
              </w:rPr>
              <w:t>本发明的目的在于克服现有技术的上述不足，提供一种基于经验卡检索注入的大模型智能体经验学习系统及方法，具体解决以下技术问题：</w:t>
            </w:r>
          </w:p>
          <w:p w14:paraId="33A3B229">
            <w:pPr>
              <w:spacing w:line="360" w:lineRule="auto"/>
              <w:ind w:firstLine="480" w:firstLineChars="200"/>
              <w:rPr>
                <w:rFonts w:hint="eastAsia" w:ascii="宋体" w:hAnsi="宋体" w:cs="宋体"/>
                <w:sz w:val="24"/>
                <w:szCs w:val="24"/>
              </w:rPr>
            </w:pPr>
            <w:r>
              <w:rPr>
                <w:rFonts w:hint="eastAsia" w:ascii="宋体" w:hAnsi="宋体" w:cs="宋体"/>
                <w:sz w:val="24"/>
                <w:szCs w:val="24"/>
              </w:rPr>
              <w:t>（1）解决重复任务对云端教师模型的持续依赖问题：使重复任务的云端升级率随经验积累逐日下降并趋近于零，新任务升级率低于20%，从而降低推理成本、token成本与数据出域面；</w:t>
            </w:r>
          </w:p>
          <w:p w14:paraId="1C7CE581">
            <w:pPr>
              <w:spacing w:line="360" w:lineRule="auto"/>
              <w:ind w:firstLine="480" w:firstLineChars="200"/>
              <w:rPr>
                <w:rFonts w:hint="eastAsia" w:ascii="宋体" w:hAnsi="宋体" w:cs="宋体"/>
                <w:sz w:val="24"/>
                <w:szCs w:val="24"/>
              </w:rPr>
            </w:pPr>
            <w:r>
              <w:rPr>
                <w:rFonts w:hint="eastAsia" w:ascii="宋体" w:hAnsi="宋体" w:cs="宋体"/>
                <w:sz w:val="24"/>
                <w:szCs w:val="24"/>
              </w:rPr>
              <w:t>（2）解决经验不可检索、不可计量、不可淘汰、不可迁移的问题：将原始交互轨迹离线蒸馏为结构化经验卡，并建立留观、启用、移除的三态生命周期，使经验成为可检索、可计量、可淘汰、可跨任务复用的资产；</w:t>
            </w:r>
          </w:p>
          <w:p w14:paraId="7389805F">
            <w:pPr>
              <w:spacing w:line="360" w:lineRule="auto"/>
              <w:ind w:firstLine="480" w:firstLineChars="200"/>
              <w:rPr>
                <w:rFonts w:hint="eastAsia" w:ascii="宋体" w:hAnsi="宋体" w:cs="宋体"/>
                <w:sz w:val="24"/>
                <w:szCs w:val="24"/>
              </w:rPr>
            </w:pPr>
            <w:r>
              <w:rPr>
                <w:rFonts w:hint="eastAsia" w:ascii="宋体" w:hAnsi="宋体" w:cs="宋体"/>
                <w:sz w:val="24"/>
                <w:szCs w:val="24"/>
              </w:rPr>
              <w:t>（3）解决未经验证的经验污染在线上下文的问题：经验候选在留观态下对在线检索不可见，只有通过验证晋升的经验方可注入，原始轨迹永不直接注入；</w:t>
            </w:r>
          </w:p>
          <w:p w14:paraId="088D7378">
            <w:pPr>
              <w:spacing w:line="360" w:lineRule="auto"/>
              <w:ind w:firstLine="480" w:firstLineChars="200"/>
              <w:rPr>
                <w:rFonts w:hint="eastAsia" w:ascii="宋体" w:hAnsi="宋体" w:cs="宋体"/>
                <w:sz w:val="24"/>
                <w:szCs w:val="24"/>
              </w:rPr>
            </w:pPr>
            <w:r>
              <w:rPr>
                <w:rFonts w:hint="eastAsia" w:ascii="宋体" w:hAnsi="宋体" w:cs="宋体"/>
                <w:sz w:val="24"/>
                <w:szCs w:val="24"/>
              </w:rPr>
              <w:t>（4）解决云端升级行为的安全合规与成本不可控问题：升级前强制依次进行出域许可检查、敏感信息扫描与预算原子预留，且全程双侧落盘、可审计；</w:t>
            </w:r>
          </w:p>
          <w:p w14:paraId="3D3DF306">
            <w:pPr>
              <w:spacing w:line="360" w:lineRule="auto"/>
              <w:ind w:firstLine="480" w:firstLineChars="200"/>
              <w:rPr>
                <w:rFonts w:hint="eastAsia" w:ascii="宋体" w:hAnsi="宋体" w:cs="宋体"/>
                <w:sz w:val="24"/>
                <w:szCs w:val="24"/>
              </w:rPr>
            </w:pPr>
            <w:r>
              <w:rPr>
                <w:rFonts w:hint="eastAsia" w:ascii="宋体" w:hAnsi="宋体" w:cs="宋体"/>
                <w:sz w:val="24"/>
                <w:szCs w:val="24"/>
              </w:rPr>
              <w:t>（5）解决学习效果不可测量的问题：注入开关对照臂与实验臂走完全相同的代码路径且轨迹全量落盘，使经验注入的效应可被归因测量，而非依赖小样本外推。</w:t>
            </w:r>
          </w:p>
          <w:p w14:paraId="0CE4D4DA">
            <w:pPr>
              <w:spacing w:line="460" w:lineRule="exact"/>
              <w:ind w:firstLine="360" w:firstLineChars="200"/>
              <w:jc w:val="left"/>
              <w:rPr>
                <w:rFonts w:ascii="宋体" w:cs="宋体"/>
                <w:bCs/>
                <w:sz w:val="18"/>
                <w:szCs w:val="18"/>
              </w:rPr>
            </w:pPr>
          </w:p>
          <w:p w14:paraId="3B18DBFC">
            <w:pPr>
              <w:spacing w:line="460" w:lineRule="exact"/>
              <w:ind w:firstLine="360" w:firstLineChars="200"/>
              <w:jc w:val="left"/>
              <w:rPr>
                <w:rFonts w:ascii="宋体" w:cs="宋体"/>
                <w:bCs/>
                <w:sz w:val="18"/>
                <w:szCs w:val="18"/>
              </w:rPr>
            </w:pPr>
          </w:p>
          <w:p w14:paraId="1E6DE1F7">
            <w:pPr>
              <w:spacing w:line="460" w:lineRule="exact"/>
              <w:jc w:val="left"/>
              <w:rPr>
                <w:rFonts w:ascii="宋体" w:cs="宋体"/>
                <w:bCs/>
                <w:sz w:val="18"/>
                <w:szCs w:val="18"/>
              </w:rPr>
            </w:pPr>
          </w:p>
          <w:p w14:paraId="348CA1D0">
            <w:pPr>
              <w:spacing w:line="460" w:lineRule="exact"/>
              <w:jc w:val="left"/>
              <w:rPr>
                <w:rFonts w:ascii="宋体" w:cs="宋体"/>
                <w:b/>
                <w:bCs/>
                <w:sz w:val="44"/>
                <w:szCs w:val="44"/>
              </w:rPr>
            </w:pPr>
          </w:p>
          <w:p w14:paraId="2C09A1D3">
            <w:pPr>
              <w:spacing w:line="460" w:lineRule="exact"/>
              <w:jc w:val="left"/>
              <w:rPr>
                <w:rFonts w:ascii="宋体" w:cs="宋体"/>
                <w:b/>
                <w:bCs/>
                <w:sz w:val="44"/>
                <w:szCs w:val="44"/>
              </w:rPr>
            </w:pPr>
          </w:p>
          <w:p w14:paraId="330FE456">
            <w:pPr>
              <w:spacing w:line="460" w:lineRule="exact"/>
              <w:jc w:val="left"/>
              <w:rPr>
                <w:rFonts w:ascii="宋体" w:cs="宋体"/>
                <w:b/>
                <w:bCs/>
                <w:sz w:val="44"/>
                <w:szCs w:val="44"/>
              </w:rPr>
            </w:pPr>
          </w:p>
        </w:tc>
      </w:tr>
      <w:tr w14:paraId="43A23710">
        <w:tc>
          <w:tcPr>
            <w:tcW w:w="10740" w:type="dxa"/>
            <w:shd w:val="clear" w:color="auto" w:fill="auto"/>
          </w:tcPr>
          <w:p w14:paraId="4EF77739">
            <w:pPr>
              <w:shd w:val="clear" w:color="auto" w:fill="C6D9F1"/>
              <w:spacing w:line="420" w:lineRule="exact"/>
              <w:rPr>
                <w:rFonts w:ascii="宋体" w:cs="宋体"/>
                <w:b/>
                <w:bCs/>
                <w:color w:val="17365D"/>
                <w:sz w:val="24"/>
                <w:szCs w:val="24"/>
              </w:rPr>
            </w:pPr>
            <w:r>
              <w:rPr>
                <w:rFonts w:hint="eastAsia" w:ascii="宋体" w:hAnsi="宋体" w:cs="宋体"/>
                <w:b/>
                <w:bCs/>
                <w:color w:val="17365D"/>
                <w:sz w:val="24"/>
                <w:szCs w:val="24"/>
              </w:rPr>
              <w:t>四</w:t>
            </w:r>
            <w:r>
              <w:rPr>
                <w:rFonts w:ascii="宋体" w:hAnsi="宋体" w:cs="宋体"/>
                <w:b/>
                <w:bCs/>
                <w:color w:val="17365D"/>
                <w:sz w:val="24"/>
                <w:szCs w:val="24"/>
              </w:rPr>
              <w:t>、</w:t>
            </w:r>
            <w:r>
              <w:rPr>
                <w:rFonts w:hint="eastAsia" w:ascii="宋体" w:hAnsi="宋体" w:cs="宋体"/>
                <w:b/>
                <w:bCs/>
                <w:color w:val="17365D"/>
                <w:sz w:val="24"/>
                <w:szCs w:val="24"/>
              </w:rPr>
              <w:t>本</w:t>
            </w:r>
            <w:r>
              <w:rPr>
                <w:rFonts w:ascii="宋体" w:hAnsi="宋体" w:cs="宋体"/>
                <w:b/>
                <w:bCs/>
                <w:color w:val="17365D"/>
                <w:sz w:val="24"/>
                <w:szCs w:val="24"/>
              </w:rPr>
              <w:t>发明</w:t>
            </w:r>
            <w:r>
              <w:rPr>
                <w:rFonts w:hint="eastAsia" w:ascii="宋体" w:hAnsi="宋体" w:cs="宋体"/>
                <w:b/>
                <w:bCs/>
                <w:color w:val="17365D"/>
                <w:sz w:val="24"/>
                <w:szCs w:val="24"/>
              </w:rPr>
              <w:t>技术方案（字数：</w:t>
            </w:r>
            <w:r>
              <w:rPr>
                <w:rFonts w:ascii="宋体" w:hAnsi="宋体" w:cs="宋体"/>
                <w:b/>
                <w:bCs/>
                <w:color w:val="17365D"/>
                <w:sz w:val="24"/>
                <w:szCs w:val="24"/>
              </w:rPr>
              <w:t>800</w:t>
            </w:r>
            <w:r>
              <w:rPr>
                <w:rFonts w:hint="eastAsia" w:ascii="宋体" w:hAnsi="宋体" w:cs="宋体"/>
                <w:b/>
                <w:bCs/>
                <w:color w:val="17365D"/>
                <w:sz w:val="24"/>
                <w:szCs w:val="24"/>
              </w:rPr>
              <w:t>以上）</w:t>
            </w:r>
          </w:p>
          <w:p w14:paraId="4B0F42D6">
            <w:pPr>
              <w:spacing w:line="420" w:lineRule="exact"/>
              <w:ind w:firstLine="405" w:firstLineChars="225"/>
              <w:rPr>
                <w:rFonts w:ascii="宋体" w:cs="宋体"/>
                <w:b/>
                <w:bCs/>
                <w:color w:val="17365D"/>
                <w:sz w:val="18"/>
                <w:szCs w:val="18"/>
              </w:rPr>
            </w:pPr>
            <w:r>
              <w:rPr>
                <w:rFonts w:hint="eastAsia" w:ascii="宋体" w:hAnsi="宋体" w:cs="宋体"/>
                <w:b/>
                <w:bCs/>
                <w:color w:val="17365D"/>
                <w:sz w:val="18"/>
                <w:szCs w:val="18"/>
              </w:rPr>
              <w:t>（1</w:t>
            </w:r>
            <w:r>
              <w:rPr>
                <w:rFonts w:ascii="宋体" w:hAnsi="宋体" w:cs="宋体"/>
                <w:b/>
                <w:bCs/>
                <w:color w:val="17365D"/>
                <w:sz w:val="18"/>
                <w:szCs w:val="18"/>
              </w:rPr>
              <w:t>）</w:t>
            </w:r>
            <w:r>
              <w:rPr>
                <w:rFonts w:hint="eastAsia" w:ascii="宋体" w:hAnsi="宋体" w:cs="宋体"/>
                <w:b/>
                <w:bCs/>
                <w:color w:val="17365D"/>
                <w:sz w:val="18"/>
                <w:szCs w:val="18"/>
              </w:rPr>
              <w:t>详细说明所采用的总体技术方案和不同于现有技术的各个方面，并说明创新点。方法发明要指出工艺流程、步骤、原料组成和配方、工艺参数、产品标准、检测方法和实验结果等，</w:t>
            </w:r>
            <w:r>
              <w:rPr>
                <w:rFonts w:ascii="宋体" w:hAnsi="宋体" w:cs="宋体"/>
                <w:b/>
                <w:bCs/>
                <w:color w:val="17365D"/>
                <w:sz w:val="18"/>
                <w:szCs w:val="18"/>
              </w:rPr>
              <w:t>并结合附图详细说明本发明的技术方案</w:t>
            </w:r>
            <w:r>
              <w:rPr>
                <w:rFonts w:hint="eastAsia" w:ascii="宋体" w:hAnsi="宋体" w:cs="宋体"/>
                <w:b/>
                <w:bCs/>
                <w:color w:val="17365D"/>
                <w:sz w:val="18"/>
                <w:szCs w:val="18"/>
              </w:rPr>
              <w:t>；</w:t>
            </w:r>
          </w:p>
          <w:p w14:paraId="5CA4144A">
            <w:pPr>
              <w:spacing w:line="420" w:lineRule="exact"/>
              <w:ind w:firstLine="405" w:firstLineChars="225"/>
              <w:rPr>
                <w:rFonts w:ascii="宋体" w:hAnsi="宋体" w:cs="宋体"/>
                <w:b/>
                <w:bCs/>
                <w:color w:val="17365D"/>
                <w:sz w:val="18"/>
                <w:szCs w:val="18"/>
              </w:rPr>
            </w:pPr>
            <w:r>
              <w:rPr>
                <w:rFonts w:hint="eastAsia" w:ascii="宋体" w:hAnsi="宋体" w:cs="宋体"/>
                <w:b/>
                <w:bCs/>
                <w:color w:val="17365D"/>
                <w:sz w:val="18"/>
                <w:szCs w:val="18"/>
              </w:rPr>
              <w:t>（2</w:t>
            </w:r>
            <w:r>
              <w:rPr>
                <w:rFonts w:ascii="宋体" w:hAnsi="宋体" w:cs="宋体"/>
                <w:b/>
                <w:bCs/>
                <w:color w:val="17365D"/>
                <w:sz w:val="18"/>
                <w:szCs w:val="18"/>
              </w:rPr>
              <w:t>）</w:t>
            </w:r>
            <w:r>
              <w:rPr>
                <w:rFonts w:hint="eastAsia" w:ascii="宋体" w:hAnsi="宋体" w:cs="宋体"/>
                <w:b/>
                <w:bCs/>
                <w:color w:val="17365D"/>
                <w:sz w:val="18"/>
                <w:szCs w:val="18"/>
              </w:rPr>
              <w:t>产品发明要指出产品的组成或结构，指出其制备方法（制备方法要指出工艺流程、步骤、原料组成和配方、工艺参数、产品标准、检测方法和实验结果等），</w:t>
            </w:r>
            <w:r>
              <w:rPr>
                <w:rFonts w:ascii="宋体" w:hAnsi="宋体" w:cs="宋体"/>
                <w:b/>
                <w:bCs/>
                <w:color w:val="17365D"/>
                <w:sz w:val="18"/>
                <w:szCs w:val="18"/>
              </w:rPr>
              <w:t>并详细说明各个组成或者结构的工作</w:t>
            </w:r>
            <w:r>
              <w:rPr>
                <w:rFonts w:hint="eastAsia" w:ascii="宋体" w:hAnsi="宋体" w:cs="宋体"/>
                <w:b/>
                <w:bCs/>
                <w:color w:val="17365D"/>
                <w:sz w:val="18"/>
                <w:szCs w:val="18"/>
              </w:rPr>
              <w:t>、</w:t>
            </w:r>
            <w:r>
              <w:rPr>
                <w:rFonts w:ascii="宋体" w:hAnsi="宋体" w:cs="宋体"/>
                <w:b/>
                <w:bCs/>
                <w:color w:val="17365D"/>
                <w:sz w:val="18"/>
                <w:szCs w:val="18"/>
              </w:rPr>
              <w:t>运动方式从而</w:t>
            </w:r>
            <w:r>
              <w:rPr>
                <w:rFonts w:hint="eastAsia" w:ascii="宋体" w:hAnsi="宋体" w:cs="宋体"/>
                <w:b/>
                <w:bCs/>
                <w:color w:val="17365D"/>
                <w:sz w:val="18"/>
                <w:szCs w:val="18"/>
              </w:rPr>
              <w:t>实现</w:t>
            </w:r>
            <w:r>
              <w:rPr>
                <w:rFonts w:ascii="宋体" w:hAnsi="宋体" w:cs="宋体"/>
                <w:b/>
                <w:bCs/>
                <w:color w:val="17365D"/>
                <w:sz w:val="18"/>
                <w:szCs w:val="18"/>
              </w:rPr>
              <w:t>本发明的目的</w:t>
            </w:r>
            <w:r>
              <w:rPr>
                <w:rFonts w:hint="eastAsia" w:ascii="宋体" w:hAnsi="宋体" w:cs="宋体"/>
                <w:b/>
                <w:bCs/>
                <w:color w:val="17365D"/>
                <w:sz w:val="18"/>
                <w:szCs w:val="18"/>
              </w:rPr>
              <w:t>；</w:t>
            </w:r>
          </w:p>
          <w:p w14:paraId="1481FF51">
            <w:pPr>
              <w:spacing w:line="420" w:lineRule="exact"/>
              <w:ind w:firstLine="405" w:firstLineChars="225"/>
              <w:rPr>
                <w:rFonts w:ascii="宋体" w:hAnsi="宋体" w:cs="宋体"/>
                <w:b/>
                <w:bCs/>
                <w:color w:val="17365D"/>
                <w:sz w:val="18"/>
                <w:szCs w:val="18"/>
              </w:rPr>
            </w:pPr>
            <w:r>
              <w:rPr>
                <w:rFonts w:hint="eastAsia" w:ascii="宋体" w:hAnsi="宋体" w:cs="宋体"/>
                <w:b/>
                <w:bCs/>
                <w:color w:val="17365D"/>
                <w:sz w:val="18"/>
                <w:szCs w:val="18"/>
              </w:rPr>
              <w:t>（3</w:t>
            </w:r>
            <w:r>
              <w:rPr>
                <w:rFonts w:ascii="宋体" w:hAnsi="宋体" w:cs="宋体"/>
                <w:b/>
                <w:bCs/>
                <w:color w:val="17365D"/>
                <w:sz w:val="18"/>
                <w:szCs w:val="18"/>
              </w:rPr>
              <w:t>）</w:t>
            </w:r>
            <w:r>
              <w:rPr>
                <w:rFonts w:hint="eastAsia" w:ascii="宋体" w:hAnsi="宋体" w:cs="宋体"/>
                <w:b/>
                <w:bCs/>
                <w:color w:val="17365D"/>
                <w:sz w:val="18"/>
                <w:szCs w:val="18"/>
              </w:rPr>
              <w:t>列出</w:t>
            </w:r>
            <w:r>
              <w:rPr>
                <w:rFonts w:ascii="宋体" w:hAnsi="宋体" w:cs="宋体"/>
                <w:b/>
                <w:bCs/>
                <w:color w:val="17365D"/>
                <w:sz w:val="18"/>
                <w:szCs w:val="18"/>
              </w:rPr>
              <w:t>所有可行的实施方式</w:t>
            </w:r>
            <w:r>
              <w:rPr>
                <w:rFonts w:hint="eastAsia" w:ascii="宋体" w:hAnsi="宋体" w:cs="宋体"/>
                <w:b/>
                <w:bCs/>
                <w:color w:val="17365D"/>
                <w:sz w:val="18"/>
                <w:szCs w:val="18"/>
              </w:rPr>
              <w:t>：发明人</w:t>
            </w:r>
            <w:r>
              <w:rPr>
                <w:rFonts w:ascii="宋体" w:hAnsi="宋体" w:cs="宋体"/>
                <w:b/>
                <w:bCs/>
                <w:color w:val="17365D"/>
                <w:sz w:val="18"/>
                <w:szCs w:val="18"/>
              </w:rPr>
              <w:t>/</w:t>
            </w:r>
            <w:r>
              <w:rPr>
                <w:rFonts w:hint="eastAsia" w:ascii="宋体" w:hAnsi="宋体" w:cs="宋体"/>
                <w:b/>
                <w:bCs/>
                <w:color w:val="17365D"/>
                <w:sz w:val="18"/>
                <w:szCs w:val="18"/>
              </w:rPr>
              <w:t>设计人根据技术方案给出实施发明的具体工艺过程、条件参数等的实施例；</w:t>
            </w:r>
          </w:p>
          <w:p w14:paraId="74572D60">
            <w:pPr>
              <w:spacing w:line="360" w:lineRule="auto"/>
              <w:ind w:firstLine="480" w:firstLineChars="200"/>
              <w:rPr>
                <w:rFonts w:hint="eastAsia" w:ascii="宋体" w:hAnsi="宋体" w:cs="宋体"/>
                <w:b/>
                <w:bCs/>
                <w:sz w:val="24"/>
                <w:szCs w:val="24"/>
              </w:rPr>
            </w:pPr>
            <w:r>
              <w:rPr>
                <w:rFonts w:hint="eastAsia" w:ascii="宋体" w:hAnsi="宋体" w:cs="宋体"/>
                <w:b/>
                <w:bCs/>
                <w:sz w:val="24"/>
                <w:szCs w:val="24"/>
              </w:rPr>
              <w:t>（一）总体技术方案与系统架构</w:t>
            </w:r>
          </w:p>
          <w:p w14:paraId="1055E658">
            <w:pPr>
              <w:spacing w:line="360" w:lineRule="auto"/>
              <w:ind w:firstLine="480" w:firstLineChars="200"/>
              <w:rPr>
                <w:rFonts w:hint="eastAsia" w:ascii="宋体" w:hAnsi="宋体" w:cs="宋体"/>
                <w:sz w:val="24"/>
                <w:szCs w:val="24"/>
              </w:rPr>
            </w:pPr>
            <w:r>
              <w:rPr>
                <w:rFonts w:hint="eastAsia" w:ascii="宋体" w:hAnsi="宋体" w:cs="宋体"/>
                <w:sz w:val="24"/>
                <w:szCs w:val="24"/>
              </w:rPr>
              <w:t>如图1所示，本系统自下而上分为五层：L0模型层，包含本地学生模型（27B级4-bit量化）与云端教师模型（DeepSeek），仅提供模型能力，不含任何学习逻辑；L1路由层（gateway服务），决定每次回答由谁产出，并保证升级安全合规；L2经验层（agent-server服务），决定给模型看什么经验，并完整记录现场；L3离线进化层，决定哪些经验值得留下；L4运维层，保证整个系统可观测、批次可重跑、可归因。在线请求经L2检索注入后由L1门控路由至L0执行，执行现场全量落盘；离线每日循环将落盘轨迹蒸馏为经验卡并验证晋升，次日经快照换载回流在线检索，形成闭环。</w:t>
            </w:r>
          </w:p>
          <w:p w14:paraId="6A46FDE1">
            <w:pPr>
              <w:spacing w:line="360" w:lineRule="auto"/>
              <w:ind w:firstLine="480" w:firstLineChars="200"/>
              <w:rPr>
                <w:rFonts w:hint="eastAsia" w:ascii="宋体" w:hAnsi="宋体" w:cs="宋体"/>
                <w:b/>
                <w:bCs/>
                <w:sz w:val="24"/>
                <w:szCs w:val="24"/>
              </w:rPr>
            </w:pPr>
            <w:r>
              <w:rPr>
                <w:rFonts w:hint="eastAsia" w:ascii="宋体" w:hAnsi="宋体" w:cs="宋体"/>
                <w:b/>
                <w:bCs/>
                <w:sz w:val="24"/>
                <w:szCs w:val="24"/>
              </w:rPr>
              <w:t>（二）在线请求处理流程</w:t>
            </w:r>
          </w:p>
          <w:p w14:paraId="70DB7E34">
            <w:pPr>
              <w:spacing w:line="360" w:lineRule="auto"/>
              <w:ind w:firstLine="480" w:firstLineChars="200"/>
              <w:rPr>
                <w:rFonts w:hint="eastAsia" w:ascii="宋体" w:hAnsi="宋体" w:cs="宋体"/>
                <w:sz w:val="24"/>
                <w:szCs w:val="24"/>
              </w:rPr>
            </w:pPr>
            <w:r>
              <w:rPr>
                <w:rFonts w:hint="eastAsia" w:ascii="宋体" w:hAnsi="宋体" w:cs="宋体"/>
                <w:sz w:val="24"/>
                <w:szCs w:val="24"/>
              </w:rPr>
              <w:t>如图2、图4所示，在线链路包括如下步骤：S1，agent-server接收OpenAI兼容的对话请求；S2，query提取：取最后一条用户消息并跳过系统提醒，作为检索查询；S3，经验检索：在经验库只读快照中以SQLite FTS5全文索引的bm25算法召回前24条启用态经验卡，再以查询与卡片的余弦相似度重排取前8条；S4，注入组装：五类经验卡分通道进入上下文——EVIDENCE卡与Method/Guard卡（各上限5条）合成一条用户消息插入最后一条用户消息之前，SKILL目录（前10条）并入系统提示词，SOP卡（前15条）转换为工具schema并入工具列表；S5，请求转发至gateway；S6，质量门控：gateway对学生模型输出按invalid_tool_schema、finish_reason_length、empty_output、forced_tool_missing四条规则顺序判定，命中任一规则即触发升级且每次请求仅升级一次；S7，升级三重前置：依次执行出域许可检查（egress通道与provider启用）、敏感信息扫描（DLP）、预算原子预留，任一前置失败分别返回422/403/429错误，教师结果不再二次门控；S8，标记与落盘：gateway经响应头、响应体、SSE注释三种载体下发x-gateway标记（是否升级及原因），gateway侧model_runs表记录seq=1 primary与seq=2 escalation两次运行，agent-server侧request_traces与session JSONL无论命中与否、开关与否全量落盘；注入开关对照臂关闭注入但轨迹照录，双臂走完全相同代码路径，session以disabled:true字段区分“关”与“未命中”，保证A/B差值可归因于注入本身。</w:t>
            </w:r>
          </w:p>
          <w:p w14:paraId="7B97C300">
            <w:pPr>
              <w:spacing w:line="360" w:lineRule="auto"/>
              <w:ind w:firstLine="480" w:firstLineChars="200"/>
              <w:rPr>
                <w:rFonts w:hint="eastAsia" w:ascii="宋体" w:hAnsi="宋体" w:cs="宋体"/>
                <w:b/>
                <w:bCs/>
                <w:sz w:val="24"/>
                <w:szCs w:val="24"/>
              </w:rPr>
            </w:pPr>
            <w:r>
              <w:rPr>
                <w:rFonts w:hint="eastAsia" w:ascii="宋体" w:hAnsi="宋体" w:cs="宋体"/>
                <w:b/>
                <w:bCs/>
                <w:sz w:val="24"/>
                <w:szCs w:val="24"/>
              </w:rPr>
              <w:t>（三）经验卡机制</w:t>
            </w:r>
          </w:p>
          <w:p w14:paraId="308252F5">
            <w:pPr>
              <w:spacing w:line="360" w:lineRule="auto"/>
              <w:ind w:firstLine="480" w:firstLineChars="200"/>
              <w:rPr>
                <w:rFonts w:hint="eastAsia" w:ascii="宋体" w:hAnsi="宋体" w:cs="宋体"/>
                <w:sz w:val="24"/>
                <w:szCs w:val="24"/>
              </w:rPr>
            </w:pPr>
            <w:r>
              <w:rPr>
                <w:rFonts w:hint="eastAsia" w:ascii="宋体" w:hAnsi="宋体" w:cs="宋体"/>
                <w:sz w:val="24"/>
                <w:szCs w:val="24"/>
              </w:rPr>
              <w:t>经验卡为五类：EVIDENCE（证据碎片）、Method（方法）、Guard（教训护栏）、SKILL（技能）、SOP（标准作业流程）；卡片状态为三态：留观（dormant）、启用（active）、移除（removed）。仅启用态可被在线检索，留观态在SQL层不可见；原始轨迹永不直接注入；失败经验三层化处理——失败原文不入库，败局轨迹仅作离线归因输入，教训以程序化提取的Guard卡沉淀；新候选与留观复评适用统一的晋升阈值0.5，经sha256确定性去重后事务写入，保证入库内容永远经过验证。</w:t>
            </w:r>
          </w:p>
          <w:p w14:paraId="5FF68DEC">
            <w:pPr>
              <w:spacing w:line="360" w:lineRule="auto"/>
              <w:ind w:firstLine="480" w:firstLineChars="200"/>
              <w:rPr>
                <w:rFonts w:hint="eastAsia" w:ascii="宋体" w:hAnsi="宋体" w:cs="宋体"/>
                <w:b/>
                <w:bCs/>
                <w:sz w:val="24"/>
                <w:szCs w:val="24"/>
              </w:rPr>
            </w:pPr>
            <w:r>
              <w:rPr>
                <w:rFonts w:hint="eastAsia" w:ascii="宋体" w:hAnsi="宋体" w:cs="宋体"/>
                <w:b/>
                <w:bCs/>
                <w:sz w:val="24"/>
                <w:szCs w:val="24"/>
              </w:rPr>
              <w:t>（四）离线进化流程</w:t>
            </w:r>
          </w:p>
          <w:p w14:paraId="4071F109">
            <w:pPr>
              <w:spacing w:line="360" w:lineRule="auto"/>
              <w:ind w:firstLine="480" w:firstLineChars="200"/>
              <w:rPr>
                <w:rFonts w:hint="eastAsia" w:ascii="宋体" w:hAnsi="宋体" w:cs="宋体"/>
                <w:sz w:val="24"/>
                <w:szCs w:val="24"/>
              </w:rPr>
            </w:pPr>
            <w:r>
              <w:rPr>
                <w:rFonts w:hint="eastAsia" w:ascii="宋体" w:hAnsi="宋体" w:cs="宋体"/>
                <w:sz w:val="24"/>
                <w:szCs w:val="24"/>
              </w:rPr>
              <w:t>如图3、图5所示，离线每日循环由外部cron/launchd触发每日批次：首先ETL将当日session文件提炼为留观态EVIDENCE候选；随后进行任务级轨迹合成，将session合成为任务级轨迹；再经三条蒸馏管线（skill_evolution、sop_lifecycle、verification_selection）产出候选卡片；候选经双阈值验证晋升启用；每批次对最老的200条留观卡复评，过线原地晋升、不过线留待下批；留观卡按TTL 30天与容量上限10000条淘汰；批次末尾写入幂等checkpoint（标识为内容sha256前16位，批次失败可安全重跑，失败批次只写失败checkpoint）；最后进行快照换载——在线检索走只读快照、写入走live库，checkpoint后重启换载新快照，实现在线读写分离。</w:t>
            </w:r>
          </w:p>
          <w:p w14:paraId="661A27CD">
            <w:pPr>
              <w:spacing w:line="360" w:lineRule="auto"/>
              <w:ind w:firstLine="480" w:firstLineChars="200"/>
              <w:rPr>
                <w:rFonts w:hint="eastAsia" w:ascii="宋体" w:hAnsi="宋体" w:cs="宋体"/>
                <w:b/>
                <w:bCs/>
                <w:sz w:val="24"/>
                <w:szCs w:val="24"/>
              </w:rPr>
            </w:pPr>
            <w:r>
              <w:rPr>
                <w:rFonts w:hint="eastAsia" w:ascii="宋体" w:hAnsi="宋体" w:cs="宋体"/>
                <w:b/>
                <w:bCs/>
                <w:sz w:val="24"/>
                <w:szCs w:val="24"/>
              </w:rPr>
              <w:t>（五）实施例</w:t>
            </w:r>
          </w:p>
          <w:p w14:paraId="53C291E0">
            <w:pPr>
              <w:spacing w:line="360" w:lineRule="auto"/>
              <w:ind w:firstLine="480" w:firstLineChars="200"/>
              <w:rPr>
                <w:rFonts w:hint="eastAsia" w:ascii="宋体" w:hAnsi="宋体" w:cs="宋体"/>
                <w:sz w:val="24"/>
                <w:szCs w:val="24"/>
              </w:rPr>
            </w:pPr>
            <w:r>
              <w:rPr>
                <w:rFonts w:hint="eastAsia" w:ascii="宋体" w:hAnsi="宋体" w:cs="宋体"/>
                <w:sz w:val="24"/>
                <w:szCs w:val="24"/>
              </w:rPr>
              <w:t>实施环境：学生模型为Qwen3.5-27B-4bit（本地omlx推理），教师模型为DeepSeek云端（复用KimiProvider适配器）；agent-server为TypeScript/Fastify服务，gateway为Python/FastAPI服务；两侧各用独立SQLite库，物理隔离，评估库与生产库隔离。关键参数：晋升阈值0.5；bm25召回前24条、余弦重排前8条；Method/Guard各上限5条、SKILL前10条、SOP前15条；留观复评每批200条；TTL 30天；留观容量上限10000条；升级前置失败错误码依次为422（出域未许可）、403（DLP命中）、429（预算超限）。运维件包括依赖链探活拉起的preflight、每日快照冻结、Web监控与升级率批前门控。验证方案：执行7日对照campaign，任务集含20个重复任务与每日新任务，设注入开/关对照臂且双臂同代码路径；验收判据为第7日重复任务升级率不超过5%（趋近于0）、新任务升级率低于20%、升级率逐日下降。</w:t>
            </w:r>
          </w:p>
          <w:p w14:paraId="1B952F91">
            <w:pPr>
              <w:spacing w:line="420" w:lineRule="exact"/>
              <w:ind w:firstLine="405" w:firstLineChars="225"/>
              <w:rPr>
                <w:rFonts w:ascii="宋体" w:hAnsi="宋体" w:cs="宋体"/>
                <w:b/>
                <w:bCs/>
                <w:color w:val="17365D"/>
                <w:sz w:val="18"/>
                <w:szCs w:val="18"/>
              </w:rPr>
            </w:pPr>
          </w:p>
          <w:p w14:paraId="41B43024">
            <w:pPr>
              <w:spacing w:line="420" w:lineRule="exact"/>
              <w:ind w:firstLine="405" w:firstLineChars="225"/>
              <w:rPr>
                <w:rFonts w:ascii="宋体" w:hAnsi="宋体" w:cs="宋体"/>
                <w:b/>
                <w:bCs/>
                <w:color w:val="17365D"/>
                <w:sz w:val="18"/>
                <w:szCs w:val="18"/>
              </w:rPr>
            </w:pPr>
          </w:p>
          <w:p w14:paraId="00F5592F">
            <w:pPr>
              <w:spacing w:line="420" w:lineRule="exact"/>
              <w:ind w:firstLine="405" w:firstLineChars="225"/>
              <w:rPr>
                <w:rFonts w:ascii="宋体" w:hAnsi="宋体" w:cs="宋体"/>
                <w:b/>
                <w:bCs/>
                <w:color w:val="17365D"/>
                <w:sz w:val="18"/>
                <w:szCs w:val="18"/>
              </w:rPr>
            </w:pPr>
          </w:p>
          <w:p w14:paraId="2E5AF407">
            <w:pPr>
              <w:spacing w:line="420" w:lineRule="exact"/>
              <w:ind w:firstLine="405" w:firstLineChars="225"/>
              <w:rPr>
                <w:rFonts w:ascii="宋体" w:hAnsi="宋体" w:cs="宋体"/>
                <w:b/>
                <w:bCs/>
                <w:color w:val="17365D"/>
                <w:sz w:val="18"/>
                <w:szCs w:val="18"/>
              </w:rPr>
            </w:pPr>
          </w:p>
          <w:p w14:paraId="181854C6">
            <w:pPr>
              <w:spacing w:line="420" w:lineRule="exact"/>
              <w:ind w:firstLine="405" w:firstLineChars="225"/>
              <w:rPr>
                <w:rFonts w:ascii="宋体" w:hAnsi="宋体" w:cs="宋体"/>
                <w:b/>
                <w:bCs/>
                <w:color w:val="17365D"/>
                <w:sz w:val="18"/>
                <w:szCs w:val="18"/>
              </w:rPr>
            </w:pPr>
          </w:p>
          <w:p w14:paraId="50075787">
            <w:pPr>
              <w:spacing w:line="420" w:lineRule="exact"/>
              <w:ind w:firstLine="405" w:firstLineChars="225"/>
              <w:rPr>
                <w:rFonts w:ascii="宋体" w:hAnsi="宋体" w:cs="宋体"/>
                <w:b/>
                <w:bCs/>
                <w:color w:val="17365D"/>
                <w:sz w:val="18"/>
                <w:szCs w:val="18"/>
              </w:rPr>
            </w:pPr>
          </w:p>
          <w:p w14:paraId="479DF75F">
            <w:pPr>
              <w:spacing w:line="420" w:lineRule="exact"/>
              <w:ind w:firstLine="405" w:firstLineChars="225"/>
              <w:rPr>
                <w:rFonts w:ascii="宋体" w:hAnsi="宋体" w:cs="宋体"/>
                <w:b/>
                <w:bCs/>
                <w:color w:val="17365D"/>
                <w:sz w:val="18"/>
                <w:szCs w:val="18"/>
              </w:rPr>
            </w:pPr>
          </w:p>
          <w:p w14:paraId="2376920B">
            <w:pPr>
              <w:spacing w:line="420" w:lineRule="exact"/>
              <w:ind w:firstLine="405" w:firstLineChars="225"/>
              <w:rPr>
                <w:rFonts w:ascii="宋体" w:hAnsi="宋体" w:cs="宋体"/>
                <w:b/>
                <w:bCs/>
                <w:color w:val="17365D"/>
                <w:sz w:val="18"/>
                <w:szCs w:val="18"/>
              </w:rPr>
            </w:pPr>
          </w:p>
          <w:p w14:paraId="39582775">
            <w:pPr>
              <w:spacing w:line="420" w:lineRule="exact"/>
              <w:ind w:firstLine="405" w:firstLineChars="225"/>
              <w:rPr>
                <w:rFonts w:ascii="宋体" w:cs="宋体"/>
                <w:b/>
                <w:bCs/>
                <w:color w:val="17365D"/>
                <w:sz w:val="18"/>
                <w:szCs w:val="18"/>
              </w:rPr>
            </w:pPr>
          </w:p>
          <w:p w14:paraId="370DC1DA">
            <w:pPr>
              <w:spacing w:line="460" w:lineRule="exact"/>
              <w:jc w:val="left"/>
              <w:rPr>
                <w:rFonts w:ascii="宋体" w:cs="宋体"/>
                <w:b/>
                <w:bCs/>
                <w:sz w:val="44"/>
                <w:szCs w:val="44"/>
              </w:rPr>
            </w:pPr>
          </w:p>
        </w:tc>
      </w:tr>
      <w:tr w14:paraId="08798787">
        <w:tc>
          <w:tcPr>
            <w:tcW w:w="10740" w:type="dxa"/>
            <w:shd w:val="clear" w:color="auto" w:fill="auto"/>
          </w:tcPr>
          <w:p w14:paraId="4F766D8F">
            <w:pPr>
              <w:shd w:val="clear" w:color="auto" w:fill="C6D9F1"/>
              <w:spacing w:line="420" w:lineRule="exact"/>
              <w:rPr>
                <w:rFonts w:ascii="宋体" w:cs="宋体"/>
                <w:b/>
                <w:bCs/>
                <w:color w:val="17365D"/>
                <w:sz w:val="24"/>
                <w:szCs w:val="24"/>
              </w:rPr>
            </w:pPr>
            <w:r>
              <w:rPr>
                <w:rFonts w:hint="eastAsia" w:ascii="宋体" w:hAnsi="宋体" w:cs="宋体"/>
                <w:b/>
                <w:bCs/>
                <w:color w:val="17365D"/>
                <w:sz w:val="24"/>
                <w:szCs w:val="24"/>
              </w:rPr>
              <w:t>五</w:t>
            </w:r>
            <w:r>
              <w:rPr>
                <w:rFonts w:ascii="宋体" w:hAnsi="宋体" w:cs="宋体"/>
                <w:b/>
                <w:bCs/>
                <w:color w:val="17365D"/>
                <w:sz w:val="24"/>
                <w:szCs w:val="24"/>
              </w:rPr>
              <w:t>、</w:t>
            </w:r>
            <w:r>
              <w:rPr>
                <w:rFonts w:hint="eastAsia" w:ascii="宋体" w:hAnsi="宋体" w:cs="宋体"/>
                <w:b/>
                <w:bCs/>
                <w:color w:val="17365D"/>
                <w:sz w:val="24"/>
                <w:szCs w:val="24"/>
              </w:rPr>
              <w:t>有益技术效果</w:t>
            </w:r>
          </w:p>
          <w:p w14:paraId="4E7B7EEF">
            <w:pPr>
              <w:spacing w:line="420" w:lineRule="exact"/>
              <w:ind w:firstLine="405" w:firstLineChars="225"/>
              <w:rPr>
                <w:rFonts w:ascii="宋体" w:cs="宋体"/>
                <w:b/>
                <w:bCs/>
                <w:color w:val="17365D"/>
                <w:sz w:val="18"/>
                <w:szCs w:val="18"/>
              </w:rPr>
            </w:pPr>
            <w:r>
              <w:rPr>
                <w:rFonts w:hint="eastAsia" w:ascii="宋体" w:hAnsi="宋体" w:cs="宋体"/>
                <w:b/>
                <w:bCs/>
                <w:color w:val="17365D"/>
                <w:sz w:val="18"/>
                <w:szCs w:val="18"/>
              </w:rPr>
              <w:t>指出技术上的优点和效果，可以用例如，产量、品质、收率（产率）、质量、精度、效率、抗病性等提高的数据说明，也可以用节省能源原材料、有利于环保、降低劳动强度、缩短生育期等的数据说明。最好与现有技术比较来说明效果。指出区别和依据，依据可以是理论上的推导或结构特点的分析，也可以是具体的实验数据。当采用实验数据时，应给出必要的试验条件和方法。</w:t>
            </w:r>
          </w:p>
          <w:p w14:paraId="0751B743">
            <w:pPr>
              <w:spacing w:line="360" w:lineRule="auto"/>
              <w:ind w:firstLine="480" w:firstLineChars="200"/>
              <w:rPr>
                <w:rFonts w:hint="eastAsia" w:ascii="宋体" w:hAnsi="宋体" w:cs="宋体"/>
                <w:sz w:val="24"/>
                <w:szCs w:val="24"/>
              </w:rPr>
            </w:pPr>
            <w:r>
              <w:rPr>
                <w:rFonts w:hint="eastAsia" w:ascii="宋体" w:hAnsi="宋体" w:cs="宋体"/>
                <w:sz w:val="24"/>
                <w:szCs w:val="24"/>
              </w:rPr>
              <w:t>（1）推理与token成本收敛：本地优先、云端兜底的路由与经验复用相结合，重复任务的云端升级率随经验积累逐日下降并趋近于零，新任务升级率低于20%，云端token消耗随之减少，且每次请求仅允许升级一次，单次请求的token开销有界；同时经验卡为原始轨迹蒸馏压缩后的结构化内容，注入所占提示词token远小于原始轨迹回放类记忆方案，上下文窗口占用更低，单位任务的输入token成本随之下降；与纯云端调用相比，长期推理成本随经验库成熟而持续收敛，与纯本地调用相比，任务成功率经教师兜底得到保证。</w:t>
            </w:r>
          </w:p>
          <w:p w14:paraId="76F5A80B">
            <w:pPr>
              <w:spacing w:line="360" w:lineRule="auto"/>
              <w:ind w:firstLine="480" w:firstLineChars="200"/>
              <w:rPr>
                <w:rFonts w:hint="eastAsia" w:ascii="宋体" w:hAnsi="宋体" w:cs="宋体"/>
                <w:sz w:val="24"/>
                <w:szCs w:val="24"/>
              </w:rPr>
            </w:pPr>
            <w:r>
              <w:rPr>
                <w:rFonts w:hint="eastAsia" w:ascii="宋体" w:hAnsi="宋体" w:cs="宋体"/>
                <w:sz w:val="24"/>
                <w:szCs w:val="24"/>
              </w:rPr>
              <w:t>（2）经验跨任务迁移与泛化：Method、Guard、SKILL、SOP四类经验卡从原始轨迹中抽象出可复用的方法、教训与流程，脱离具体任务措辞即可被检索注入到新任务的上下文，其中SKILL目录与SOP工具作为通用能力全局注入，使在重复任务上积累的经验能够迁移至未见过的新任务，支撑新任务升级率低于20%的技术指标，学习效应不停留于记忆重复，而体现为能力泛化。</w:t>
            </w:r>
          </w:p>
          <w:p w14:paraId="7A436E81">
            <w:pPr>
              <w:spacing w:line="360" w:lineRule="auto"/>
              <w:ind w:firstLine="480" w:firstLineChars="200"/>
              <w:rPr>
                <w:rFonts w:hint="eastAsia" w:ascii="宋体" w:hAnsi="宋体" w:cs="宋体"/>
                <w:sz w:val="24"/>
                <w:szCs w:val="24"/>
              </w:rPr>
            </w:pPr>
            <w:r>
              <w:rPr>
                <w:rFonts w:hint="eastAsia" w:ascii="宋体" w:hAnsi="宋体" w:cs="宋体"/>
                <w:sz w:val="24"/>
                <w:szCs w:val="24"/>
              </w:rPr>
              <w:t>（3）安全合规：原始轨迹与失败文本永不注入、永不进入提示词；云端升级前强制依次经过出域许可、敏感信息扫描、预算原子预留三重前置，预算采用原子预留防止并发超支，使数据出域面最小化且成本可控。</w:t>
            </w:r>
          </w:p>
          <w:p w14:paraId="18CB1F3D">
            <w:pPr>
              <w:spacing w:line="360" w:lineRule="auto"/>
              <w:ind w:firstLine="480" w:firstLineChars="200"/>
              <w:rPr>
                <w:rFonts w:hint="eastAsia" w:ascii="宋体" w:hAnsi="宋体" w:cs="宋体"/>
                <w:sz w:val="24"/>
                <w:szCs w:val="24"/>
              </w:rPr>
            </w:pPr>
            <w:r>
              <w:rPr>
                <w:rFonts w:hint="eastAsia" w:ascii="宋体" w:hAnsi="宋体" w:cs="宋体"/>
                <w:sz w:val="24"/>
                <w:szCs w:val="24"/>
              </w:rPr>
              <w:t>（4）经验质量可控：双阈值验证与留观态不可见机制保证未验证经验零风险；留观复评、TTL与容量淘汰使经验库规模有界、质量单调向好；checkpoint幂等使批次失败可安全重跑，不产生重复晋升。</w:t>
            </w:r>
          </w:p>
          <w:p w14:paraId="0FE7EF91">
            <w:pPr>
              <w:spacing w:line="360" w:lineRule="auto"/>
              <w:ind w:firstLine="480" w:firstLineChars="200"/>
              <w:rPr>
                <w:rFonts w:hint="eastAsia" w:ascii="宋体" w:hAnsi="宋体" w:cs="宋体"/>
                <w:sz w:val="24"/>
                <w:szCs w:val="24"/>
              </w:rPr>
            </w:pPr>
            <w:r>
              <w:rPr>
                <w:rFonts w:hint="eastAsia" w:ascii="宋体" w:hAnsi="宋体" w:cs="宋体"/>
                <w:sz w:val="24"/>
                <w:szCs w:val="24"/>
              </w:rPr>
              <w:t>（5）可审计、可归因：x-gateway标记与model_runs、request_traces双侧全量落盘，核心指标以全量记录为准；对照臂与实验臂走完全相同代码路径，A/B差值可归因于注入本身而非代码分叉，学习效果具备可测量的归因手段。</w:t>
            </w:r>
          </w:p>
          <w:p w14:paraId="1DC55798">
            <w:pPr>
              <w:spacing w:line="360" w:lineRule="auto"/>
              <w:ind w:firstLine="480" w:firstLineChars="200"/>
              <w:rPr>
                <w:rFonts w:hint="eastAsia" w:ascii="宋体" w:hAnsi="宋体" w:cs="宋体"/>
                <w:sz w:val="24"/>
                <w:szCs w:val="24"/>
              </w:rPr>
            </w:pPr>
            <w:r>
              <w:rPr>
                <w:rFonts w:hint="eastAsia" w:ascii="宋体" w:hAnsi="宋体" w:cs="宋体"/>
                <w:sz w:val="24"/>
                <w:szCs w:val="24"/>
              </w:rPr>
              <w:t>（6）部署成本低、训练成本为零：检索采用SQLite内嵌FTS5全文索引加余弦相似度重排，无语义解析层，无需向量数据库与嵌入模型等额外基础设施；学生模型为本地4-bit量化推理，单节点即可运行；不更新权重，无需训练集群与权重更新管线，训练成本为零，且无灾难性遗忘风险。</w:t>
            </w:r>
          </w:p>
          <w:p w14:paraId="306EA024">
            <w:pPr>
              <w:spacing w:line="360" w:lineRule="auto"/>
              <w:ind w:firstLine="480" w:firstLineChars="200"/>
              <w:rPr>
                <w:rFonts w:hint="eastAsia" w:ascii="宋体" w:hAnsi="宋体" w:cs="宋体"/>
                <w:sz w:val="24"/>
                <w:szCs w:val="24"/>
              </w:rPr>
            </w:pPr>
            <w:r>
              <w:rPr>
                <w:rFonts w:hint="eastAsia" w:ascii="宋体" w:hAnsi="宋体" w:cs="宋体"/>
                <w:sz w:val="24"/>
                <w:szCs w:val="24"/>
              </w:rPr>
              <w:t>（7）与现有技术比较：相比原始轨迹回放类记忆方案，本发明的经验经蒸馏、验证与生命周期管理，噪声低、规模有界、token占用小；相比参数微调或强化学习，本发明不更新权重，与本地量化部署兼容，训练成本为零；相比纯云端调用，本发明推理与token成本随经验积累收敛，数据出域面最小化；相比静态混合路由，本发明使云端输出经蒸馏回流为本地可复用经验，本地模型能力随时间提升而非原地踏步。</w:t>
            </w:r>
          </w:p>
          <w:p w14:paraId="20BD93C5">
            <w:pPr>
              <w:spacing w:line="460" w:lineRule="exact"/>
              <w:jc w:val="left"/>
              <w:rPr>
                <w:rFonts w:ascii="宋体" w:cs="宋体"/>
                <w:b/>
                <w:bCs/>
                <w:sz w:val="44"/>
                <w:szCs w:val="44"/>
              </w:rPr>
            </w:pPr>
          </w:p>
          <w:p w14:paraId="61F47F28">
            <w:pPr>
              <w:spacing w:line="460" w:lineRule="exact"/>
              <w:jc w:val="left"/>
              <w:rPr>
                <w:rFonts w:ascii="宋体" w:cs="宋体"/>
                <w:b/>
                <w:bCs/>
                <w:sz w:val="44"/>
                <w:szCs w:val="44"/>
              </w:rPr>
            </w:pPr>
          </w:p>
          <w:p w14:paraId="710C8029">
            <w:pPr>
              <w:spacing w:line="460" w:lineRule="exact"/>
              <w:jc w:val="left"/>
              <w:rPr>
                <w:rFonts w:ascii="宋体" w:cs="宋体"/>
                <w:b/>
                <w:bCs/>
                <w:sz w:val="44"/>
                <w:szCs w:val="44"/>
              </w:rPr>
            </w:pPr>
          </w:p>
          <w:p w14:paraId="652EA5F2">
            <w:pPr>
              <w:spacing w:line="460" w:lineRule="exact"/>
              <w:jc w:val="left"/>
              <w:rPr>
                <w:rFonts w:ascii="宋体" w:cs="宋体"/>
                <w:b/>
                <w:bCs/>
                <w:sz w:val="44"/>
                <w:szCs w:val="44"/>
              </w:rPr>
            </w:pPr>
          </w:p>
          <w:p w14:paraId="34619A3B">
            <w:pPr>
              <w:spacing w:line="460" w:lineRule="exact"/>
              <w:jc w:val="left"/>
              <w:rPr>
                <w:rFonts w:ascii="宋体" w:cs="宋体"/>
                <w:b/>
                <w:bCs/>
                <w:sz w:val="44"/>
                <w:szCs w:val="44"/>
              </w:rPr>
            </w:pPr>
          </w:p>
          <w:p w14:paraId="2A52B4BB">
            <w:pPr>
              <w:spacing w:line="460" w:lineRule="exact"/>
              <w:jc w:val="left"/>
              <w:rPr>
                <w:rFonts w:ascii="宋体" w:cs="宋体"/>
                <w:b/>
                <w:bCs/>
                <w:sz w:val="44"/>
                <w:szCs w:val="44"/>
              </w:rPr>
            </w:pPr>
          </w:p>
          <w:p w14:paraId="38056EA3">
            <w:pPr>
              <w:spacing w:line="460" w:lineRule="exact"/>
              <w:jc w:val="left"/>
              <w:rPr>
                <w:rFonts w:ascii="宋体" w:cs="宋体"/>
                <w:b/>
                <w:bCs/>
                <w:sz w:val="44"/>
                <w:szCs w:val="44"/>
              </w:rPr>
            </w:pPr>
          </w:p>
          <w:p w14:paraId="461FA0F6">
            <w:pPr>
              <w:spacing w:line="460" w:lineRule="exact"/>
              <w:jc w:val="left"/>
              <w:rPr>
                <w:rFonts w:ascii="宋体" w:cs="宋体"/>
                <w:b/>
                <w:bCs/>
                <w:sz w:val="44"/>
                <w:szCs w:val="44"/>
              </w:rPr>
            </w:pPr>
          </w:p>
          <w:p w14:paraId="2B9F4289">
            <w:pPr>
              <w:spacing w:line="460" w:lineRule="exact"/>
              <w:jc w:val="left"/>
              <w:rPr>
                <w:rFonts w:ascii="宋体" w:cs="宋体"/>
                <w:b/>
                <w:bCs/>
                <w:sz w:val="44"/>
                <w:szCs w:val="44"/>
              </w:rPr>
            </w:pPr>
          </w:p>
          <w:p w14:paraId="76CE7882">
            <w:pPr>
              <w:spacing w:line="460" w:lineRule="exact"/>
              <w:jc w:val="left"/>
              <w:rPr>
                <w:rFonts w:ascii="宋体" w:cs="宋体"/>
                <w:b/>
                <w:bCs/>
                <w:sz w:val="44"/>
                <w:szCs w:val="44"/>
              </w:rPr>
            </w:pPr>
          </w:p>
          <w:p w14:paraId="77E36B64">
            <w:pPr>
              <w:spacing w:line="460" w:lineRule="exact"/>
              <w:jc w:val="left"/>
              <w:rPr>
                <w:rFonts w:ascii="宋体" w:cs="宋体"/>
                <w:b/>
                <w:bCs/>
                <w:sz w:val="44"/>
                <w:szCs w:val="44"/>
              </w:rPr>
            </w:pPr>
          </w:p>
        </w:tc>
      </w:tr>
      <w:tr w14:paraId="46C50FD2">
        <w:tc>
          <w:tcPr>
            <w:tcW w:w="10740" w:type="dxa"/>
            <w:shd w:val="clear" w:color="auto" w:fill="auto"/>
          </w:tcPr>
          <w:p w14:paraId="7794136E">
            <w:pPr>
              <w:shd w:val="clear" w:color="auto" w:fill="C6D9F1"/>
              <w:spacing w:line="420" w:lineRule="exact"/>
              <w:rPr>
                <w:rFonts w:ascii="宋体" w:hAnsi="宋体" w:cs="宋体"/>
                <w:b/>
                <w:bCs/>
                <w:color w:val="17365D"/>
                <w:sz w:val="24"/>
                <w:szCs w:val="24"/>
              </w:rPr>
            </w:pPr>
            <w:r>
              <w:rPr>
                <w:rFonts w:hint="eastAsia" w:ascii="宋体" w:hAnsi="宋体" w:cs="宋体"/>
                <w:b/>
                <w:bCs/>
                <w:color w:val="17365D"/>
                <w:sz w:val="24"/>
                <w:szCs w:val="24"/>
              </w:rPr>
              <w:t>六</w:t>
            </w:r>
            <w:r>
              <w:rPr>
                <w:rFonts w:ascii="宋体" w:hAnsi="宋体" w:cs="宋体"/>
                <w:b/>
                <w:bCs/>
                <w:color w:val="17365D"/>
                <w:sz w:val="24"/>
                <w:szCs w:val="24"/>
              </w:rPr>
              <w:t>、</w:t>
            </w:r>
            <w:r>
              <w:rPr>
                <w:rFonts w:hint="eastAsia" w:ascii="宋体" w:hAnsi="宋体" w:cs="宋体"/>
                <w:b/>
                <w:bCs/>
                <w:color w:val="17365D"/>
                <w:sz w:val="24"/>
                <w:szCs w:val="24"/>
              </w:rPr>
              <w:t>附图说明</w:t>
            </w:r>
          </w:p>
          <w:p w14:paraId="26E88461">
            <w:pPr>
              <w:spacing w:line="420" w:lineRule="exact"/>
              <w:ind w:firstLine="405" w:firstLineChars="225"/>
              <w:rPr>
                <w:rFonts w:ascii="宋体" w:hAnsi="宋体" w:cs="宋体"/>
                <w:b/>
                <w:bCs/>
                <w:color w:val="17365D"/>
                <w:sz w:val="18"/>
                <w:szCs w:val="18"/>
              </w:rPr>
            </w:pPr>
            <w:r>
              <w:rPr>
                <w:rFonts w:hint="eastAsia" w:ascii="宋体" w:hAnsi="宋体" w:cs="宋体"/>
                <w:b/>
                <w:bCs/>
                <w:color w:val="17365D"/>
                <w:sz w:val="18"/>
                <w:szCs w:val="18"/>
              </w:rPr>
              <w:t>附图是为了更直观地表述发明创造的内容，可采取多种绘图方式，诸如示意图、方块图、各向视图、局部剖视图、流程图等，以充分体现发明点，为此可能需要多种视图、剖视图来将本发明创造的结构特征描述清楚，并将主要部件用阿拉伯数字</w:t>
            </w:r>
            <w:r>
              <w:rPr>
                <w:rFonts w:ascii="宋体" w:hAnsi="宋体" w:cs="宋体"/>
                <w:b/>
                <w:bCs/>
                <w:color w:val="17365D"/>
                <w:sz w:val="18"/>
                <w:szCs w:val="18"/>
              </w:rPr>
              <w:t>1</w:t>
            </w:r>
            <w:r>
              <w:rPr>
                <w:rFonts w:hint="eastAsia" w:ascii="宋体" w:hAnsi="宋体" w:cs="宋体"/>
                <w:b/>
                <w:bCs/>
                <w:color w:val="17365D"/>
                <w:sz w:val="18"/>
                <w:szCs w:val="18"/>
              </w:rPr>
              <w:t>、</w:t>
            </w:r>
            <w:r>
              <w:rPr>
                <w:rFonts w:ascii="宋体" w:hAnsi="宋体" w:cs="宋体"/>
                <w:b/>
                <w:bCs/>
                <w:color w:val="17365D"/>
                <w:sz w:val="18"/>
                <w:szCs w:val="18"/>
              </w:rPr>
              <w:t>2</w:t>
            </w:r>
            <w:r>
              <w:rPr>
                <w:rFonts w:hint="eastAsia" w:ascii="宋体" w:hAnsi="宋体" w:cs="宋体"/>
                <w:b/>
                <w:bCs/>
                <w:color w:val="17365D"/>
                <w:sz w:val="18"/>
                <w:szCs w:val="18"/>
              </w:rPr>
              <w:t>、</w:t>
            </w:r>
            <w:r>
              <w:rPr>
                <w:rFonts w:ascii="宋体" w:hAnsi="宋体" w:cs="宋体"/>
                <w:b/>
                <w:bCs/>
                <w:color w:val="17365D"/>
                <w:sz w:val="18"/>
                <w:szCs w:val="18"/>
              </w:rPr>
              <w:t>3</w:t>
            </w:r>
            <w:r>
              <w:rPr>
                <w:rFonts w:hint="eastAsia" w:ascii="宋体" w:hAnsi="宋体" w:cs="宋体"/>
                <w:b/>
                <w:bCs/>
                <w:color w:val="17365D"/>
                <w:sz w:val="18"/>
                <w:szCs w:val="18"/>
              </w:rPr>
              <w:t>……统一编号</w:t>
            </w:r>
            <w:r>
              <w:rPr>
                <w:rFonts w:ascii="宋体" w:hAnsi="宋体" w:cs="宋体"/>
                <w:b/>
                <w:bCs/>
                <w:color w:val="17365D"/>
                <w:sz w:val="18"/>
                <w:szCs w:val="18"/>
              </w:rPr>
              <w:t>,</w:t>
            </w:r>
            <w:r>
              <w:rPr>
                <w:rFonts w:hint="eastAsia" w:ascii="宋体" w:hAnsi="宋体" w:cs="宋体"/>
                <w:b/>
                <w:bCs/>
                <w:color w:val="17365D"/>
                <w:sz w:val="18"/>
                <w:szCs w:val="18"/>
              </w:rPr>
              <w:t>必要时要提供有关现有技术的附图</w:t>
            </w:r>
            <w:r>
              <w:rPr>
                <w:rFonts w:ascii="宋体" w:hAnsi="宋体" w:cs="宋体"/>
                <w:b/>
                <w:bCs/>
                <w:color w:val="17365D"/>
                <w:sz w:val="18"/>
                <w:szCs w:val="18"/>
              </w:rPr>
              <w:t>,</w:t>
            </w:r>
            <w:r>
              <w:rPr>
                <w:rFonts w:hint="eastAsia" w:ascii="宋体" w:hAnsi="宋体" w:cs="宋体"/>
                <w:b/>
                <w:bCs/>
                <w:color w:val="17365D"/>
                <w:sz w:val="18"/>
                <w:szCs w:val="18"/>
              </w:rPr>
              <w:t>一般附图中不要出现文字、尺寸，有多幅附图时在每幅下方标明图</w:t>
            </w:r>
            <w:r>
              <w:rPr>
                <w:rFonts w:ascii="宋体" w:hAnsi="宋体" w:cs="宋体"/>
                <w:b/>
                <w:bCs/>
                <w:color w:val="17365D"/>
                <w:sz w:val="18"/>
                <w:szCs w:val="18"/>
              </w:rPr>
              <w:t>1</w:t>
            </w:r>
            <w:r>
              <w:rPr>
                <w:rFonts w:hint="eastAsia" w:ascii="宋体" w:hAnsi="宋体" w:cs="宋体"/>
                <w:b/>
                <w:bCs/>
                <w:color w:val="17365D"/>
                <w:sz w:val="18"/>
                <w:szCs w:val="18"/>
              </w:rPr>
              <w:t>，图</w:t>
            </w:r>
            <w:r>
              <w:rPr>
                <w:rFonts w:ascii="宋体" w:hAnsi="宋体" w:cs="宋体"/>
                <w:b/>
                <w:bCs/>
                <w:color w:val="17365D"/>
                <w:sz w:val="18"/>
                <w:szCs w:val="18"/>
              </w:rPr>
              <w:t>2</w:t>
            </w:r>
            <w:r>
              <w:rPr>
                <w:rFonts w:hint="eastAsia" w:ascii="宋体" w:hAnsi="宋体" w:cs="宋体"/>
                <w:b/>
                <w:bCs/>
                <w:color w:val="17365D"/>
                <w:sz w:val="18"/>
                <w:szCs w:val="18"/>
              </w:rPr>
              <w:t>……附图说明是另用文字标明各图名称，各标记名称，不要包含说明书中没有提到的</w:t>
            </w:r>
          </w:p>
          <w:p w14:paraId="48646909">
            <w:pPr>
              <w:spacing w:line="360" w:lineRule="auto"/>
              <w:ind w:firstLine="480" w:firstLineChars="200"/>
              <w:rPr>
                <w:rFonts w:hint="eastAsia" w:ascii="宋体" w:hAnsi="宋体" w:cs="宋体"/>
                <w:sz w:val="24"/>
                <w:szCs w:val="24"/>
              </w:rPr>
            </w:pPr>
            <w:r>
              <w:rPr>
                <w:rFonts w:hint="eastAsia" w:ascii="宋体" w:hAnsi="宋体" w:cs="宋体"/>
                <w:sz w:val="24"/>
                <w:szCs w:val="24"/>
              </w:rPr>
              <w:t>图1为本发明系统的模块分层架构图，示出L0模型层、L1路由层、L2经验层、L3离线进化层、L4运维层五层结构及其交互关系；</w:t>
            </w:r>
          </w:p>
          <w:p w14:paraId="6A989DC8">
            <w:pPr>
              <w:spacing w:line="360" w:lineRule="auto"/>
              <w:ind w:firstLine="480" w:firstLineChars="200"/>
              <w:rPr>
                <w:rFonts w:hint="eastAsia" w:ascii="宋体" w:hAnsi="宋体" w:cs="宋体"/>
                <w:sz w:val="24"/>
                <w:szCs w:val="24"/>
              </w:rPr>
            </w:pPr>
            <w:r>
              <w:rPr>
                <w:rFonts w:hint="eastAsia" w:ascii="宋体" w:hAnsi="宋体" w:cs="宋体"/>
                <w:sz w:val="24"/>
                <w:szCs w:val="24"/>
              </w:rPr>
              <w:t>图2为在线请求全链路时序图，示出query提取、快照检索、注入组装、质量门控、升级三重前置、标记与双侧落盘的完整时序；</w:t>
            </w:r>
          </w:p>
          <w:p w14:paraId="404AB6C9">
            <w:pPr>
              <w:spacing w:line="360" w:lineRule="auto"/>
              <w:ind w:firstLine="480" w:firstLineChars="200"/>
              <w:rPr>
                <w:rFonts w:hint="eastAsia" w:ascii="宋体" w:hAnsi="宋体" w:cs="宋体"/>
                <w:sz w:val="24"/>
                <w:szCs w:val="24"/>
              </w:rPr>
            </w:pPr>
            <w:r>
              <w:rPr>
                <w:rFonts w:hint="eastAsia" w:ascii="宋体" w:hAnsi="宋体" w:cs="宋体"/>
                <w:sz w:val="24"/>
                <w:szCs w:val="24"/>
              </w:rPr>
              <w:t>图3为数据流图，示出在线流（每请求）、离线每日循环与归因流三条数据流及其共用经验库的读写关系；</w:t>
            </w:r>
          </w:p>
          <w:p w14:paraId="43279E83">
            <w:pPr>
              <w:spacing w:line="360" w:lineRule="auto"/>
              <w:ind w:firstLine="480" w:firstLineChars="200"/>
              <w:rPr>
                <w:rFonts w:hint="eastAsia" w:ascii="宋体" w:hAnsi="宋体" w:cs="宋体"/>
                <w:sz w:val="24"/>
                <w:szCs w:val="24"/>
              </w:rPr>
            </w:pPr>
            <w:r>
              <w:rPr>
                <w:rFonts w:hint="eastAsia" w:ascii="宋体" w:hAnsi="宋体" w:cs="宋体"/>
                <w:sz w:val="24"/>
                <w:szCs w:val="24"/>
              </w:rPr>
              <w:t>图4为在线与升级链路的函数级调用图，示出agent-server与gateway两侧各模块的调用关系；</w:t>
            </w:r>
          </w:p>
          <w:p w14:paraId="2C99BAD0">
            <w:pPr>
              <w:spacing w:line="360" w:lineRule="auto"/>
              <w:ind w:firstLine="480" w:firstLineChars="200"/>
              <w:rPr>
                <w:rFonts w:hint="eastAsia" w:ascii="宋体" w:hAnsi="宋体" w:cs="宋体"/>
                <w:sz w:val="24"/>
                <w:szCs w:val="24"/>
              </w:rPr>
            </w:pPr>
            <w:r>
              <w:rPr>
                <w:rFonts w:hint="eastAsia" w:ascii="宋体" w:hAnsi="宋体" w:cs="宋体"/>
                <w:sz w:val="24"/>
                <w:szCs w:val="24"/>
              </w:rPr>
              <w:t>图5为离线进化链路的函数级调用图，示出每日批次各阶段（ETL、轨迹合成、三管线蒸馏、验证晋升、复评清理、checkpoint）的顺序调用关系。</w:t>
            </w:r>
          </w:p>
          <w:p w14:paraId="79124E48">
            <w:pPr>
              <w:jc w:val="center"/>
            </w:pPr>
            <w:r>
              <w:drawing>
                <wp:inline distT="0" distB="0" distL="0" distR="0">
                  <wp:extent cx="3796030" cy="6119495"/>
                  <wp:effectExtent l="0" t="0" r="0" b="0"/>
                  <wp:docPr id="100" name="图1  模块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1  模块分层架构图"/>
                          <pic:cNvPicPr>
                            <a:picLocks noChangeAspect="1"/>
                          </pic:cNvPicPr>
                        </pic:nvPicPr>
                        <pic:blipFill>
                          <a:blip r:embed="rId7"/>
                          <a:stretch>
                            <a:fillRect/>
                          </a:stretch>
                        </pic:blipFill>
                        <pic:spPr>
                          <a:xfrm>
                            <a:off x="0" y="0"/>
                            <a:ext cx="3796509" cy="6120000"/>
                          </a:xfrm>
                          <a:prstGeom prst="rect">
                            <a:avLst/>
                          </a:prstGeom>
                        </pic:spPr>
                      </pic:pic>
                    </a:graphicData>
                  </a:graphic>
                </wp:inline>
              </w:drawing>
            </w:r>
          </w:p>
          <w:p w14:paraId="319649B0">
            <w:pPr>
              <w:spacing w:line="360" w:lineRule="auto"/>
              <w:jc w:val="center"/>
              <w:rPr>
                <w:rFonts w:hint="eastAsia" w:ascii="宋体" w:hAnsi="宋体" w:cs="宋体"/>
                <w:sz w:val="24"/>
                <w:szCs w:val="24"/>
              </w:rPr>
            </w:pPr>
            <w:r>
              <w:rPr>
                <w:rFonts w:hint="eastAsia" w:ascii="宋体" w:hAnsi="宋体" w:cs="宋体"/>
                <w:sz w:val="24"/>
                <w:szCs w:val="24"/>
              </w:rPr>
              <w:t>图1  模块分层架构图</w:t>
            </w:r>
          </w:p>
          <w:p w14:paraId="7B04093B">
            <w:pPr>
              <w:jc w:val="center"/>
            </w:pPr>
            <w:r>
              <w:drawing>
                <wp:inline distT="0" distB="0" distL="0" distR="0">
                  <wp:extent cx="5039995" cy="3108325"/>
                  <wp:effectExtent l="0" t="0" r="0" b="0"/>
                  <wp:docPr id="101" name="图2  在线请求全链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2  在线请求全链路时序图"/>
                          <pic:cNvPicPr>
                            <a:picLocks noChangeAspect="1"/>
                          </pic:cNvPicPr>
                        </pic:nvPicPr>
                        <pic:blipFill>
                          <a:blip r:embed="rId8"/>
                          <a:stretch>
                            <a:fillRect/>
                          </a:stretch>
                        </pic:blipFill>
                        <pic:spPr>
                          <a:xfrm>
                            <a:off x="0" y="0"/>
                            <a:ext cx="5040000" cy="3108636"/>
                          </a:xfrm>
                          <a:prstGeom prst="rect">
                            <a:avLst/>
                          </a:prstGeom>
                        </pic:spPr>
                      </pic:pic>
                    </a:graphicData>
                  </a:graphic>
                </wp:inline>
              </w:drawing>
            </w:r>
          </w:p>
          <w:p w14:paraId="74ADA7F4">
            <w:pPr>
              <w:spacing w:line="360" w:lineRule="auto"/>
              <w:jc w:val="center"/>
              <w:rPr>
                <w:rFonts w:hint="eastAsia" w:ascii="宋体" w:hAnsi="宋体" w:cs="宋体"/>
                <w:sz w:val="24"/>
                <w:szCs w:val="24"/>
              </w:rPr>
            </w:pPr>
            <w:r>
              <w:rPr>
                <w:rFonts w:hint="eastAsia" w:ascii="宋体" w:hAnsi="宋体" w:cs="宋体"/>
                <w:sz w:val="24"/>
                <w:szCs w:val="24"/>
              </w:rPr>
              <w:t>图2  在线请求全链路时序图</w:t>
            </w:r>
          </w:p>
          <w:p w14:paraId="640D332E">
            <w:pPr>
              <w:jc w:val="center"/>
            </w:pPr>
            <w:r>
              <w:drawing>
                <wp:inline distT="0" distB="0" distL="0" distR="0">
                  <wp:extent cx="5039995" cy="741045"/>
                  <wp:effectExtent l="0" t="0" r="0" b="0"/>
                  <wp:docPr id="102" name="图3  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3  数据流图"/>
                          <pic:cNvPicPr>
                            <a:picLocks noChangeAspect="1"/>
                          </pic:cNvPicPr>
                        </pic:nvPicPr>
                        <pic:blipFill>
                          <a:blip r:embed="rId9"/>
                          <a:stretch>
                            <a:fillRect/>
                          </a:stretch>
                        </pic:blipFill>
                        <pic:spPr>
                          <a:xfrm>
                            <a:off x="0" y="0"/>
                            <a:ext cx="5040000" cy="741363"/>
                          </a:xfrm>
                          <a:prstGeom prst="rect">
                            <a:avLst/>
                          </a:prstGeom>
                        </pic:spPr>
                      </pic:pic>
                    </a:graphicData>
                  </a:graphic>
                </wp:inline>
              </w:drawing>
            </w:r>
          </w:p>
          <w:p w14:paraId="00F925F4">
            <w:pPr>
              <w:spacing w:line="360" w:lineRule="auto"/>
              <w:jc w:val="center"/>
              <w:rPr>
                <w:rFonts w:hint="eastAsia" w:ascii="宋体" w:hAnsi="宋体" w:cs="宋体"/>
                <w:sz w:val="24"/>
                <w:szCs w:val="24"/>
              </w:rPr>
            </w:pPr>
            <w:r>
              <w:rPr>
                <w:rFonts w:hint="eastAsia" w:ascii="宋体" w:hAnsi="宋体" w:cs="宋体"/>
                <w:sz w:val="24"/>
                <w:szCs w:val="24"/>
              </w:rPr>
              <w:t>图3  数据流图</w:t>
            </w:r>
          </w:p>
          <w:p w14:paraId="1E2F42C1">
            <w:pPr>
              <w:jc w:val="center"/>
            </w:pPr>
            <w:r>
              <w:drawing>
                <wp:inline distT="0" distB="0" distL="0" distR="0">
                  <wp:extent cx="5039995" cy="1749425"/>
                  <wp:effectExtent l="0" t="0" r="0" b="0"/>
                  <wp:docPr id="103" name="图4  在线与升级链路调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4  在线与升级链路调用图"/>
                          <pic:cNvPicPr>
                            <a:picLocks noChangeAspect="1"/>
                          </pic:cNvPicPr>
                        </pic:nvPicPr>
                        <pic:blipFill>
                          <a:blip r:embed="rId10"/>
                          <a:stretch>
                            <a:fillRect/>
                          </a:stretch>
                        </pic:blipFill>
                        <pic:spPr>
                          <a:xfrm>
                            <a:off x="0" y="0"/>
                            <a:ext cx="5040000" cy="1749999"/>
                          </a:xfrm>
                          <a:prstGeom prst="rect">
                            <a:avLst/>
                          </a:prstGeom>
                        </pic:spPr>
                      </pic:pic>
                    </a:graphicData>
                  </a:graphic>
                </wp:inline>
              </w:drawing>
            </w:r>
          </w:p>
          <w:p w14:paraId="513FBB94">
            <w:pPr>
              <w:spacing w:line="360" w:lineRule="auto"/>
              <w:jc w:val="center"/>
              <w:rPr>
                <w:rFonts w:hint="eastAsia" w:ascii="宋体" w:hAnsi="宋体" w:cs="宋体"/>
                <w:sz w:val="24"/>
                <w:szCs w:val="24"/>
              </w:rPr>
            </w:pPr>
            <w:r>
              <w:rPr>
                <w:rFonts w:hint="eastAsia" w:ascii="宋体" w:hAnsi="宋体" w:cs="宋体"/>
                <w:sz w:val="24"/>
                <w:szCs w:val="24"/>
              </w:rPr>
              <w:t>图4  在线与升级链路调用图</w:t>
            </w:r>
          </w:p>
          <w:p w14:paraId="025420EE">
            <w:pPr>
              <w:jc w:val="center"/>
            </w:pPr>
            <w:r>
              <w:drawing>
                <wp:inline distT="0" distB="0" distL="0" distR="0">
                  <wp:extent cx="5039995" cy="1562100"/>
                  <wp:effectExtent l="0" t="0" r="0" b="0"/>
                  <wp:docPr id="104" name="图5  离线进化链路调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5  离线进化链路调用图"/>
                          <pic:cNvPicPr>
                            <a:picLocks noChangeAspect="1"/>
                          </pic:cNvPicPr>
                        </pic:nvPicPr>
                        <pic:blipFill>
                          <a:blip r:embed="rId11"/>
                          <a:stretch>
                            <a:fillRect/>
                          </a:stretch>
                        </pic:blipFill>
                        <pic:spPr>
                          <a:xfrm>
                            <a:off x="0" y="0"/>
                            <a:ext cx="5040000" cy="1562272"/>
                          </a:xfrm>
                          <a:prstGeom prst="rect">
                            <a:avLst/>
                          </a:prstGeom>
                        </pic:spPr>
                      </pic:pic>
                    </a:graphicData>
                  </a:graphic>
                </wp:inline>
              </w:drawing>
            </w:r>
          </w:p>
          <w:p w14:paraId="6DCA749F">
            <w:pPr>
              <w:spacing w:line="360" w:lineRule="auto"/>
              <w:jc w:val="center"/>
              <w:rPr>
                <w:rFonts w:hint="eastAsia" w:ascii="宋体" w:hAnsi="宋体" w:cs="宋体"/>
                <w:sz w:val="24"/>
                <w:szCs w:val="24"/>
              </w:rPr>
            </w:pPr>
            <w:r>
              <w:rPr>
                <w:rFonts w:hint="eastAsia" w:ascii="宋体" w:hAnsi="宋体" w:cs="宋体"/>
                <w:sz w:val="24"/>
                <w:szCs w:val="24"/>
              </w:rPr>
              <w:t>图5  离线进化链路调用图</w:t>
            </w:r>
          </w:p>
          <w:p w14:paraId="658B5648">
            <w:pPr>
              <w:spacing w:line="420" w:lineRule="exact"/>
              <w:ind w:firstLine="405" w:firstLineChars="225"/>
              <w:rPr>
                <w:rFonts w:ascii="宋体" w:hAnsi="宋体" w:cs="宋体"/>
                <w:b/>
                <w:bCs/>
                <w:color w:val="D99594"/>
                <w:sz w:val="18"/>
                <w:szCs w:val="18"/>
              </w:rPr>
            </w:pPr>
          </w:p>
          <w:p w14:paraId="6BD46372">
            <w:pPr>
              <w:spacing w:line="420" w:lineRule="exact"/>
              <w:ind w:firstLine="405" w:firstLineChars="225"/>
              <w:rPr>
                <w:rFonts w:ascii="宋体" w:hAnsi="宋体" w:cs="宋体"/>
                <w:b/>
                <w:bCs/>
                <w:color w:val="D99594"/>
                <w:sz w:val="18"/>
                <w:szCs w:val="18"/>
              </w:rPr>
            </w:pPr>
          </w:p>
          <w:p w14:paraId="55A95379">
            <w:pPr>
              <w:spacing w:line="420" w:lineRule="exact"/>
              <w:ind w:firstLine="405" w:firstLineChars="225"/>
              <w:rPr>
                <w:rFonts w:ascii="宋体" w:hAnsi="宋体" w:cs="宋体"/>
                <w:b/>
                <w:bCs/>
                <w:color w:val="D99594"/>
                <w:sz w:val="18"/>
                <w:szCs w:val="18"/>
              </w:rPr>
            </w:pPr>
          </w:p>
          <w:p w14:paraId="292F3C9A">
            <w:pPr>
              <w:spacing w:line="420" w:lineRule="exact"/>
              <w:rPr>
                <w:rFonts w:ascii="宋体" w:hAnsi="宋体" w:cs="宋体"/>
                <w:b/>
                <w:bCs/>
                <w:color w:val="D99594"/>
                <w:sz w:val="18"/>
                <w:szCs w:val="18"/>
              </w:rPr>
            </w:pPr>
          </w:p>
          <w:p w14:paraId="16D9A714">
            <w:pPr>
              <w:spacing w:line="240" w:lineRule="atLeast"/>
              <w:ind w:firstLine="405" w:firstLineChars="225"/>
              <w:rPr>
                <w:rFonts w:ascii="宋体" w:hAnsi="宋体" w:cs="宋体"/>
                <w:b/>
                <w:bCs/>
                <w:color w:val="D99594"/>
                <w:sz w:val="18"/>
                <w:szCs w:val="18"/>
              </w:rPr>
            </w:pPr>
          </w:p>
          <w:p w14:paraId="48FC7055">
            <w:pPr>
              <w:spacing w:line="420" w:lineRule="exact"/>
              <w:ind w:firstLine="405" w:firstLineChars="225"/>
              <w:rPr>
                <w:rFonts w:ascii="宋体" w:hAnsi="宋体" w:cs="宋体"/>
                <w:b/>
                <w:bCs/>
                <w:color w:val="D99594"/>
                <w:sz w:val="18"/>
                <w:szCs w:val="18"/>
              </w:rPr>
            </w:pPr>
          </w:p>
          <w:p w14:paraId="644B0393">
            <w:pPr>
              <w:spacing w:line="420" w:lineRule="exact"/>
              <w:ind w:firstLine="405" w:firstLineChars="225"/>
              <w:rPr>
                <w:rFonts w:ascii="宋体" w:hAnsi="宋体" w:cs="宋体"/>
                <w:b/>
                <w:bCs/>
                <w:color w:val="D99594"/>
                <w:sz w:val="18"/>
                <w:szCs w:val="18"/>
              </w:rPr>
            </w:pPr>
          </w:p>
          <w:p w14:paraId="7E482A3D">
            <w:pPr>
              <w:spacing w:line="420" w:lineRule="exact"/>
              <w:ind w:firstLine="405" w:firstLineChars="225"/>
              <w:rPr>
                <w:rFonts w:ascii="宋体" w:hAnsi="宋体" w:cs="宋体"/>
                <w:b/>
                <w:bCs/>
                <w:color w:val="D99594"/>
                <w:sz w:val="18"/>
                <w:szCs w:val="18"/>
              </w:rPr>
            </w:pPr>
          </w:p>
          <w:p w14:paraId="0EFBD2C0">
            <w:pPr>
              <w:spacing w:line="420" w:lineRule="exact"/>
              <w:ind w:firstLine="405" w:firstLineChars="225"/>
              <w:rPr>
                <w:rFonts w:ascii="宋体" w:hAnsi="宋体" w:cs="宋体"/>
                <w:b/>
                <w:bCs/>
                <w:sz w:val="18"/>
                <w:szCs w:val="18"/>
              </w:rPr>
            </w:pPr>
          </w:p>
          <w:p w14:paraId="3D9D7C7F">
            <w:pPr>
              <w:spacing w:line="460" w:lineRule="exact"/>
              <w:jc w:val="left"/>
              <w:rPr>
                <w:rFonts w:ascii="宋体" w:cs="宋体"/>
                <w:b/>
                <w:bCs/>
                <w:sz w:val="44"/>
                <w:szCs w:val="44"/>
              </w:rPr>
            </w:pPr>
          </w:p>
        </w:tc>
      </w:tr>
      <w:tr w14:paraId="3A12AAA5">
        <w:tc>
          <w:tcPr>
            <w:tcW w:w="10740" w:type="dxa"/>
            <w:shd w:val="clear" w:color="auto" w:fill="auto"/>
          </w:tcPr>
          <w:p w14:paraId="7185DDC8">
            <w:pPr>
              <w:shd w:val="clear" w:color="auto" w:fill="C6D9F1"/>
              <w:spacing w:line="420" w:lineRule="exact"/>
              <w:rPr>
                <w:rFonts w:ascii="宋体" w:cs="宋体"/>
                <w:b/>
                <w:bCs/>
                <w:color w:val="17365D"/>
                <w:sz w:val="24"/>
                <w:szCs w:val="24"/>
              </w:rPr>
            </w:pPr>
            <w:r>
              <w:rPr>
                <w:rFonts w:hint="eastAsia" w:ascii="宋体" w:hAnsi="宋体" w:cs="宋体"/>
                <w:b/>
                <w:bCs/>
                <w:color w:val="17365D"/>
                <w:sz w:val="24"/>
                <w:szCs w:val="24"/>
              </w:rPr>
              <w:t>七</w:t>
            </w:r>
            <w:r>
              <w:rPr>
                <w:rFonts w:ascii="宋体" w:hAnsi="宋体" w:cs="宋体"/>
                <w:b/>
                <w:bCs/>
                <w:color w:val="17365D"/>
                <w:sz w:val="24"/>
                <w:szCs w:val="24"/>
              </w:rPr>
              <w:t>、</w:t>
            </w:r>
            <w:r>
              <w:rPr>
                <w:rFonts w:hint="eastAsia" w:ascii="宋体" w:hAnsi="宋体" w:cs="宋体"/>
                <w:b/>
                <w:bCs/>
                <w:color w:val="17365D"/>
                <w:sz w:val="24"/>
                <w:szCs w:val="24"/>
              </w:rPr>
              <w:t>本发明创造拟保护的关键创新点（字数：</w:t>
            </w:r>
            <w:r>
              <w:rPr>
                <w:rFonts w:ascii="宋体" w:hAnsi="宋体" w:cs="宋体"/>
                <w:b/>
                <w:bCs/>
                <w:color w:val="17365D"/>
                <w:sz w:val="24"/>
                <w:szCs w:val="24"/>
              </w:rPr>
              <w:t>400</w:t>
            </w:r>
            <w:r>
              <w:rPr>
                <w:rFonts w:hint="eastAsia" w:ascii="宋体" w:hAnsi="宋体" w:cs="宋体"/>
                <w:b/>
                <w:bCs/>
                <w:color w:val="17365D"/>
                <w:sz w:val="24"/>
                <w:szCs w:val="24"/>
              </w:rPr>
              <w:t>左右）</w:t>
            </w:r>
          </w:p>
          <w:p w14:paraId="090CAF82">
            <w:pPr>
              <w:spacing w:line="420" w:lineRule="exact"/>
              <w:ind w:firstLine="405" w:firstLineChars="225"/>
              <w:rPr>
                <w:rFonts w:ascii="宋体" w:cs="宋体"/>
                <w:b/>
                <w:bCs/>
                <w:color w:val="17365D"/>
                <w:sz w:val="18"/>
                <w:szCs w:val="18"/>
              </w:rPr>
            </w:pPr>
            <w:r>
              <w:rPr>
                <w:rFonts w:hint="eastAsia" w:ascii="宋体" w:hAnsi="宋体" w:cs="宋体"/>
                <w:b/>
                <w:bCs/>
                <w:color w:val="17365D"/>
                <w:sz w:val="18"/>
                <w:szCs w:val="18"/>
              </w:rPr>
              <w:t>写明本技术方案中应予以保护的技术点，这部分是撰写专利申请文件的权利要求书的关键，也就是确定本发明创造的保护范围。</w:t>
            </w:r>
          </w:p>
          <w:p w14:paraId="570A0810">
            <w:pPr>
              <w:spacing w:line="360" w:lineRule="auto"/>
              <w:ind w:firstLine="480" w:firstLineChars="200"/>
              <w:rPr>
                <w:rFonts w:hint="eastAsia" w:ascii="宋体" w:hAnsi="宋体" w:cs="宋体"/>
                <w:sz w:val="24"/>
                <w:szCs w:val="24"/>
              </w:rPr>
            </w:pPr>
            <w:r>
              <w:rPr>
                <w:rFonts w:hint="eastAsia" w:ascii="宋体" w:hAnsi="宋体" w:cs="宋体"/>
                <w:sz w:val="24"/>
                <w:szCs w:val="24"/>
              </w:rPr>
              <w:t>（1）经验学习闭环系统架构：在线请求经经验检索注入与质量门控路由执行并全量落盘，离线每日循环将落盘轨迹经任务级轨迹合成与多条蒸馏管线压缩提炼、双阈值验证晋升为结构化经验卡，再经快照换载回流在线检索；学生模型权重不更新，仅经经验卡的积累与汰换实现能力增长，训练成本为零；</w:t>
            </w:r>
          </w:p>
          <w:p w14:paraId="4AEC0CEA">
            <w:pPr>
              <w:spacing w:line="360" w:lineRule="auto"/>
              <w:ind w:firstLine="480" w:firstLineChars="200"/>
              <w:rPr>
                <w:rFonts w:hint="eastAsia" w:ascii="宋体" w:hAnsi="宋体" w:cs="宋体"/>
                <w:sz w:val="24"/>
                <w:szCs w:val="24"/>
              </w:rPr>
            </w:pPr>
            <w:r>
              <w:rPr>
                <w:rFonts w:hint="eastAsia" w:ascii="宋体" w:hAnsi="宋体" w:cs="宋体"/>
                <w:sz w:val="24"/>
                <w:szCs w:val="24"/>
              </w:rPr>
              <w:t>（2）教师-学生非权重经验迁移机制：教师模型兼具在线兜底、离线裁判与离线蒸馏三重角色——在线作为升级兜底执行学生不合格的回答，离线作为裁判对经验候选验证打分、作为蒸馏器将任务级轨迹提炼为结构化经验卡；教师的知识不经权重蒸馏，而经“轨迹→经验卡→检索注入提示词”的路径迁移至学生模型上下文，实现上下文级知识迁移；并以云端升级率作为学生独立性的量化度量，重复任务升级率趋近于零、新任务升级率低于20%作为学生独立的验收判据；</w:t>
            </w:r>
          </w:p>
          <w:p w14:paraId="1E5E1112">
            <w:pPr>
              <w:spacing w:line="360" w:lineRule="auto"/>
              <w:ind w:firstLine="480" w:firstLineChars="200"/>
              <w:rPr>
                <w:rFonts w:hint="eastAsia" w:ascii="宋体" w:hAnsi="宋体" w:cs="宋体"/>
                <w:sz w:val="24"/>
                <w:szCs w:val="24"/>
              </w:rPr>
            </w:pPr>
            <w:r>
              <w:rPr>
                <w:rFonts w:hint="eastAsia" w:ascii="宋体" w:hAnsi="宋体" w:cs="宋体"/>
                <w:sz w:val="24"/>
                <w:szCs w:val="24"/>
              </w:rPr>
              <w:t>（3）经验卡的三态生命周期与双阈值验证晋升机制：经验候选（留观态）在SQL层对在线检索不可见，经统一阈值0.5验证并sha256确定性去重后以事务写入晋升启用，留观复评、TTL与容量淘汰构成有进有出的生命周期，幂等checkpoint保证批次失败可安全重跑；</w:t>
            </w:r>
          </w:p>
          <w:p w14:paraId="0421CDB5">
            <w:pPr>
              <w:spacing w:line="360" w:lineRule="auto"/>
              <w:ind w:firstLine="480" w:firstLineChars="200"/>
              <w:rPr>
                <w:rFonts w:hint="eastAsia" w:ascii="宋体" w:hAnsi="宋体" w:cs="宋体"/>
                <w:sz w:val="24"/>
                <w:szCs w:val="24"/>
              </w:rPr>
            </w:pPr>
            <w:r>
              <w:rPr>
                <w:rFonts w:hint="eastAsia" w:ascii="宋体" w:hAnsi="宋体" w:cs="宋体"/>
                <w:sz w:val="24"/>
                <w:szCs w:val="24"/>
              </w:rPr>
              <w:t>（4）两阶段经验检索与五类经验卡分通道注入结构：以FTS5全文索引bm25算法召回候选、再经余弦相似度重排的两阶段检索，无语义解析层；EVIDENCE与Method/Guard卡合成用户消息插入最后用户消息之前、SKILL目录并入系统提示词、SOP卡转换为工具schema并入工具列表；SKILL与SOP作为通用能力全局注入，使在重复任务积累的经验可迁移至新任务；</w:t>
            </w:r>
          </w:p>
          <w:p w14:paraId="4D41A79B">
            <w:pPr>
              <w:spacing w:line="360" w:lineRule="auto"/>
              <w:ind w:firstLine="480" w:firstLineChars="200"/>
              <w:rPr>
                <w:rFonts w:hint="eastAsia" w:ascii="宋体" w:hAnsi="宋体" w:cs="宋体"/>
                <w:sz w:val="24"/>
                <w:szCs w:val="24"/>
              </w:rPr>
            </w:pPr>
            <w:r>
              <w:rPr>
                <w:rFonts w:hint="eastAsia" w:ascii="宋体" w:hAnsi="宋体" w:cs="宋体"/>
                <w:sz w:val="24"/>
                <w:szCs w:val="24"/>
              </w:rPr>
              <w:t>（5）质量门控四规则顺序判定与升级三重前置：按invalid_tool_schema、finish_reason_length、empty_output、forced_tool_missing顺序判定且每次请求仅升级一次；升级前依次执行出域许可、敏感信息扫描、预算原子预留；x-gateway标记经三种载体下发并与model_runs双侧落盘印证；</w:t>
            </w:r>
          </w:p>
          <w:p w14:paraId="17B3DC6C">
            <w:pPr>
              <w:spacing w:line="360" w:lineRule="auto"/>
              <w:ind w:firstLine="480" w:firstLineChars="200"/>
              <w:rPr>
                <w:rFonts w:hint="eastAsia" w:ascii="宋体" w:hAnsi="宋体" w:cs="宋体"/>
                <w:sz w:val="24"/>
                <w:szCs w:val="24"/>
              </w:rPr>
            </w:pPr>
            <w:r>
              <w:rPr>
                <w:rFonts w:hint="eastAsia" w:ascii="宋体" w:hAnsi="宋体" w:cs="宋体"/>
                <w:sz w:val="24"/>
                <w:szCs w:val="24"/>
              </w:rPr>
              <w:t>（6）在线只读快照与离线写库分离的经验库存取结构：在线检索走只读快照、离线写入走live库、checkpoint后换载新快照，实现在线读写隔离与批次原子换载；</w:t>
            </w:r>
          </w:p>
          <w:p w14:paraId="2CF0596F">
            <w:pPr>
              <w:spacing w:line="360" w:lineRule="auto"/>
              <w:ind w:firstLine="480" w:firstLineChars="200"/>
              <w:rPr>
                <w:rFonts w:hint="eastAsia" w:ascii="宋体" w:hAnsi="宋体" w:cs="宋体"/>
                <w:sz w:val="24"/>
                <w:szCs w:val="24"/>
              </w:rPr>
            </w:pPr>
            <w:r>
              <w:rPr>
                <w:rFonts w:hint="eastAsia" w:ascii="宋体" w:hAnsi="宋体" w:cs="宋体"/>
                <w:sz w:val="24"/>
                <w:szCs w:val="24"/>
              </w:rPr>
              <w:t>（7）失败经验三层化与对照臂同路径测量结构：失败原文不入库、败局仅作离线归因输入、教训以程序化提取的Guard卡沉淀；对照臂关闭注入但轨迹全量照录且与实验臂走完全相同代码路径。</w:t>
            </w:r>
          </w:p>
          <w:p w14:paraId="5A5EE165">
            <w:pPr>
              <w:spacing w:line="460" w:lineRule="exact"/>
              <w:jc w:val="left"/>
              <w:rPr>
                <w:rFonts w:ascii="宋体" w:cs="宋体"/>
                <w:b/>
                <w:bCs/>
                <w:sz w:val="44"/>
                <w:szCs w:val="44"/>
              </w:rPr>
            </w:pPr>
          </w:p>
          <w:p w14:paraId="682B49E1">
            <w:pPr>
              <w:spacing w:line="460" w:lineRule="exact"/>
              <w:jc w:val="left"/>
              <w:rPr>
                <w:rFonts w:ascii="宋体" w:cs="宋体"/>
                <w:b/>
                <w:bCs/>
                <w:sz w:val="44"/>
                <w:szCs w:val="44"/>
              </w:rPr>
            </w:pPr>
          </w:p>
          <w:p w14:paraId="70AAE401">
            <w:pPr>
              <w:spacing w:line="460" w:lineRule="exact"/>
              <w:jc w:val="left"/>
              <w:rPr>
                <w:rFonts w:ascii="宋体" w:cs="宋体"/>
                <w:b/>
                <w:bCs/>
                <w:sz w:val="44"/>
                <w:szCs w:val="44"/>
              </w:rPr>
            </w:pPr>
          </w:p>
          <w:p w14:paraId="2865DCA1">
            <w:pPr>
              <w:spacing w:line="460" w:lineRule="exact"/>
              <w:jc w:val="left"/>
              <w:rPr>
                <w:rFonts w:ascii="宋体" w:cs="宋体"/>
                <w:b/>
                <w:bCs/>
                <w:sz w:val="44"/>
                <w:szCs w:val="44"/>
              </w:rPr>
            </w:pPr>
          </w:p>
          <w:p w14:paraId="10630DAE">
            <w:pPr>
              <w:spacing w:line="460" w:lineRule="exact"/>
              <w:jc w:val="left"/>
              <w:rPr>
                <w:rFonts w:ascii="宋体" w:cs="宋体"/>
                <w:b/>
                <w:bCs/>
                <w:sz w:val="44"/>
                <w:szCs w:val="44"/>
              </w:rPr>
            </w:pPr>
          </w:p>
          <w:p w14:paraId="711B429D">
            <w:pPr>
              <w:spacing w:line="460" w:lineRule="exact"/>
              <w:jc w:val="left"/>
              <w:rPr>
                <w:rFonts w:ascii="宋体" w:cs="宋体"/>
                <w:b/>
                <w:bCs/>
                <w:sz w:val="44"/>
                <w:szCs w:val="44"/>
              </w:rPr>
            </w:pPr>
          </w:p>
          <w:p w14:paraId="320D2170">
            <w:pPr>
              <w:spacing w:line="460" w:lineRule="exact"/>
              <w:jc w:val="left"/>
              <w:rPr>
                <w:rFonts w:ascii="宋体" w:cs="宋体"/>
                <w:b/>
                <w:bCs/>
                <w:sz w:val="44"/>
                <w:szCs w:val="44"/>
              </w:rPr>
            </w:pPr>
          </w:p>
          <w:p w14:paraId="2C632381">
            <w:pPr>
              <w:spacing w:line="460" w:lineRule="exact"/>
              <w:jc w:val="left"/>
              <w:rPr>
                <w:rFonts w:ascii="宋体" w:cs="宋体"/>
                <w:b/>
                <w:bCs/>
                <w:sz w:val="44"/>
                <w:szCs w:val="44"/>
              </w:rPr>
            </w:pPr>
          </w:p>
        </w:tc>
      </w:tr>
      <w:tr w14:paraId="5ACF1528">
        <w:tc>
          <w:tcPr>
            <w:tcW w:w="10740" w:type="dxa"/>
            <w:shd w:val="clear" w:color="auto" w:fill="auto"/>
          </w:tcPr>
          <w:p w14:paraId="7AD15172">
            <w:pPr>
              <w:spacing w:line="460" w:lineRule="exact"/>
              <w:jc w:val="left"/>
              <w:rPr>
                <w:rFonts w:ascii="宋体" w:cs="宋体"/>
                <w:b/>
                <w:bCs/>
                <w:sz w:val="44"/>
                <w:szCs w:val="44"/>
              </w:rPr>
            </w:pPr>
          </w:p>
        </w:tc>
      </w:tr>
    </w:tbl>
    <w:p w14:paraId="01CE28C2">
      <w:pPr>
        <w:spacing w:line="460" w:lineRule="exact"/>
        <w:jc w:val="center"/>
        <w:rPr>
          <w:rFonts w:ascii="宋体" w:cs="宋体"/>
          <w:b/>
          <w:bCs/>
          <w:sz w:val="44"/>
          <w:szCs w:val="44"/>
        </w:rPr>
      </w:pPr>
    </w:p>
    <w:p w14:paraId="7AA06068">
      <w:pPr>
        <w:pStyle w:val="14"/>
        <w:spacing w:line="420" w:lineRule="exact"/>
        <w:ind w:left="1260" w:firstLine="0" w:firstLineChars="0"/>
        <w:rPr>
          <w:rFonts w:ascii="宋体" w:cs="宋体"/>
          <w:sz w:val="18"/>
          <w:szCs w:val="18"/>
        </w:rPr>
      </w:pPr>
    </w:p>
    <w:p w14:paraId="4787FC64">
      <w:pPr>
        <w:spacing w:line="420" w:lineRule="exact"/>
        <w:ind w:left="561" w:leftChars="267" w:firstLine="225" w:firstLineChars="125"/>
        <w:rPr>
          <w:rFonts w:ascii="宋体" w:hAnsi="宋体" w:cs="宋体"/>
          <w:sz w:val="18"/>
          <w:szCs w:val="18"/>
        </w:rPr>
      </w:pPr>
    </w:p>
    <w:p w14:paraId="22F7D32F">
      <w:pPr>
        <w:spacing w:line="420" w:lineRule="exact"/>
        <w:ind w:firstLine="405" w:firstLineChars="225"/>
        <w:rPr>
          <w:rFonts w:ascii="宋体" w:cs="宋体"/>
          <w:b/>
          <w:bCs/>
          <w:color w:val="D99594"/>
          <w:sz w:val="18"/>
          <w:szCs w:val="18"/>
        </w:rPr>
      </w:pPr>
    </w:p>
    <w:p w14:paraId="3C25FAF4">
      <w:pPr>
        <w:spacing w:line="420" w:lineRule="exact"/>
        <w:rPr>
          <w:rFonts w:ascii="宋体" w:cs="宋体"/>
          <w:b/>
          <w:bCs/>
          <w:sz w:val="18"/>
          <w:szCs w:val="18"/>
        </w:rPr>
      </w:pPr>
    </w:p>
    <w:p w14:paraId="3F49CC88">
      <w:pPr>
        <w:spacing w:line="420" w:lineRule="exact"/>
        <w:rPr>
          <w:rFonts w:ascii="宋体" w:hAnsi="宋体" w:cs="宋体"/>
          <w:sz w:val="18"/>
          <w:szCs w:val="18"/>
        </w:rPr>
      </w:pPr>
    </w:p>
    <w:p w14:paraId="1952D51D">
      <w:pPr>
        <w:spacing w:line="420" w:lineRule="exact"/>
        <w:rPr>
          <w:rFonts w:ascii="宋体" w:cs="宋体"/>
          <w:b/>
          <w:bCs/>
          <w:sz w:val="18"/>
          <w:szCs w:val="18"/>
        </w:rPr>
      </w:pPr>
    </w:p>
    <w:p w14:paraId="353FCD0F">
      <w:pPr>
        <w:spacing w:line="420" w:lineRule="exact"/>
        <w:ind w:left="141" w:leftChars="67" w:firstLine="315" w:firstLineChars="175"/>
        <w:rPr>
          <w:rFonts w:ascii="宋体" w:hAnsi="宋体" w:cs="宋体"/>
          <w:sz w:val="18"/>
          <w:szCs w:val="18"/>
        </w:rPr>
      </w:pPr>
    </w:p>
    <w:p w14:paraId="5FA8A316">
      <w:pPr>
        <w:spacing w:line="420" w:lineRule="exact"/>
        <w:ind w:left="141" w:leftChars="67" w:firstLine="315" w:firstLineChars="175"/>
        <w:rPr>
          <w:rFonts w:ascii="宋体" w:cs="宋体"/>
          <w:sz w:val="18"/>
          <w:szCs w:val="18"/>
        </w:rPr>
      </w:pPr>
    </w:p>
    <w:p w14:paraId="713C76BE">
      <w:pPr>
        <w:spacing w:line="420" w:lineRule="exact"/>
        <w:ind w:left="141" w:leftChars="67" w:firstLine="315" w:firstLineChars="175"/>
        <w:rPr>
          <w:rFonts w:ascii="宋体" w:hAnsi="宋体" w:cs="宋体"/>
          <w:sz w:val="18"/>
          <w:szCs w:val="18"/>
        </w:rPr>
      </w:pPr>
    </w:p>
    <w:p w14:paraId="2529B218">
      <w:pPr>
        <w:spacing w:line="420" w:lineRule="exact"/>
        <w:ind w:firstLine="405" w:firstLineChars="225"/>
        <w:rPr>
          <w:rFonts w:ascii="宋体" w:cs="宋体"/>
          <w:b/>
          <w:bCs/>
          <w:sz w:val="18"/>
          <w:szCs w:val="18"/>
        </w:rPr>
      </w:pPr>
    </w:p>
    <w:p w14:paraId="5C0C6630">
      <w:pPr>
        <w:spacing w:line="420" w:lineRule="exact"/>
        <w:rPr>
          <w:rFonts w:ascii="宋体" w:cs="宋体"/>
          <w:b/>
          <w:bCs/>
          <w:sz w:val="24"/>
          <w:szCs w:val="24"/>
        </w:rPr>
      </w:pPr>
    </w:p>
    <w:p w14:paraId="789BE18C">
      <w:pPr>
        <w:spacing w:line="420" w:lineRule="exact"/>
        <w:rPr>
          <w:rFonts w:ascii="宋体" w:cs="宋体"/>
          <w:b/>
          <w:bCs/>
          <w:sz w:val="24"/>
          <w:szCs w:val="24"/>
        </w:rPr>
      </w:pPr>
    </w:p>
    <w:p w14:paraId="3D8608E4">
      <w:pPr>
        <w:spacing w:line="420" w:lineRule="exact"/>
        <w:rPr>
          <w:rFonts w:ascii="宋体" w:cs="宋体"/>
          <w:b/>
          <w:bCs/>
          <w:sz w:val="24"/>
          <w:szCs w:val="24"/>
        </w:rPr>
      </w:pPr>
    </w:p>
    <w:p w14:paraId="5F32D695">
      <w:pPr>
        <w:pStyle w:val="14"/>
        <w:spacing w:line="420" w:lineRule="exact"/>
        <w:ind w:left="630" w:firstLine="0" w:firstLineChars="0"/>
        <w:rPr>
          <w:rFonts w:ascii="宋体" w:cs="宋体"/>
          <w:sz w:val="18"/>
          <w:szCs w:val="18"/>
        </w:rPr>
      </w:pPr>
    </w:p>
    <w:p w14:paraId="67ABEFF0">
      <w:pPr>
        <w:spacing w:line="420" w:lineRule="exact"/>
        <w:rPr>
          <w:rFonts w:ascii="宋体" w:cs="宋体"/>
          <w:b/>
          <w:bCs/>
          <w:sz w:val="18"/>
          <w:szCs w:val="18"/>
        </w:rPr>
      </w:pPr>
    </w:p>
    <w:p w14:paraId="147F1EBA">
      <w:pPr>
        <w:spacing w:line="420" w:lineRule="exact"/>
        <w:ind w:firstLine="405" w:firstLineChars="225"/>
        <w:rPr>
          <w:rFonts w:ascii="宋体" w:cs="宋体"/>
          <w:sz w:val="18"/>
          <w:szCs w:val="18"/>
        </w:rPr>
      </w:pPr>
    </w:p>
    <w:p w14:paraId="5DC6DDBF">
      <w:pPr>
        <w:spacing w:line="420" w:lineRule="exact"/>
        <w:ind w:firstLine="405" w:firstLineChars="225"/>
        <w:rPr>
          <w:rFonts w:ascii="宋体" w:cs="宋体"/>
          <w:sz w:val="18"/>
          <w:szCs w:val="18"/>
        </w:rPr>
      </w:pPr>
    </w:p>
    <w:p w14:paraId="4BE1AC11">
      <w:pPr>
        <w:spacing w:line="420" w:lineRule="exact"/>
        <w:ind w:firstLine="405" w:firstLineChars="225"/>
        <w:rPr>
          <w:rFonts w:ascii="宋体" w:cs="宋体"/>
          <w:sz w:val="18"/>
          <w:szCs w:val="18"/>
        </w:rPr>
      </w:pPr>
    </w:p>
    <w:p w14:paraId="656F9117">
      <w:pPr>
        <w:spacing w:line="420" w:lineRule="exact"/>
        <w:ind w:firstLine="405" w:firstLineChars="225"/>
        <w:rPr>
          <w:rFonts w:ascii="宋体" w:cs="宋体"/>
          <w:sz w:val="18"/>
          <w:szCs w:val="18"/>
        </w:rPr>
      </w:pPr>
    </w:p>
    <w:p w14:paraId="4CC778C7">
      <w:pPr>
        <w:spacing w:line="420" w:lineRule="exact"/>
        <w:ind w:firstLine="405" w:firstLineChars="225"/>
        <w:rPr>
          <w:rFonts w:ascii="宋体" w:cs="宋体"/>
          <w:sz w:val="18"/>
          <w:szCs w:val="18"/>
        </w:rPr>
      </w:pPr>
    </w:p>
    <w:p w14:paraId="242ADBB3">
      <w:pPr>
        <w:spacing w:line="420" w:lineRule="exact"/>
        <w:ind w:firstLine="405" w:firstLineChars="225"/>
        <w:rPr>
          <w:rFonts w:ascii="宋体" w:cs="宋体"/>
          <w:sz w:val="18"/>
          <w:szCs w:val="18"/>
        </w:rPr>
      </w:pPr>
    </w:p>
    <w:p w14:paraId="263070DC">
      <w:pPr>
        <w:spacing w:line="420" w:lineRule="exact"/>
        <w:ind w:firstLine="405" w:firstLineChars="225"/>
        <w:rPr>
          <w:rFonts w:ascii="宋体" w:cs="宋体"/>
          <w:sz w:val="18"/>
          <w:szCs w:val="18"/>
        </w:rPr>
      </w:pPr>
    </w:p>
    <w:p w14:paraId="21076937">
      <w:pPr>
        <w:spacing w:line="420" w:lineRule="exact"/>
        <w:ind w:firstLine="405" w:firstLineChars="225"/>
        <w:rPr>
          <w:rFonts w:ascii="宋体" w:cs="宋体"/>
          <w:sz w:val="18"/>
          <w:szCs w:val="18"/>
        </w:rPr>
      </w:pPr>
    </w:p>
    <w:p w14:paraId="2C80E014">
      <w:pPr>
        <w:rPr>
          <w:rFonts w:ascii="宋体" w:hAnsi="宋体" w:cs="宋体"/>
          <w:sz w:val="18"/>
          <w:szCs w:val="18"/>
        </w:rPr>
      </w:pPr>
      <w:r>
        <w:rPr>
          <w:rFonts w:ascii="宋体" w:hAnsi="宋体" w:cs="宋体"/>
          <w:sz w:val="18"/>
          <w:szCs w:val="18"/>
        </w:rPr>
        <w:t xml:space="preserve">             </w:t>
      </w:r>
    </w:p>
    <w:sectPr>
      <w:headerReference r:id="rId5" w:type="first"/>
      <w:headerReference r:id="rId3" w:type="default"/>
      <w:headerReference r: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628E">
    <w:pPr>
      <w:pStyle w:val="5"/>
      <w:jc w:val="both"/>
    </w:pPr>
    <w:r>
      <w:pict>
        <v:shape id="_x0000_i1025" o:spt="75" type="#_x0000_t75" style="height:26.25pt;width:123.75pt;" filled="f" o:preferrelative="t" stroked="f" coordsize="21600,21600">
          <v:path/>
          <v:fill on="f" focussize="0,0"/>
          <v:stroke on="f" joinstyle="miter"/>
          <v:imagedata r:id="rId1" o:title="蓝色-图形+newland+NPT"/>
          <o:lock v:ext="edit" aspectratio="t"/>
          <w10:wrap type="none"/>
          <w10:anchorlock/>
        </v:shape>
      </w:pict>
    </w:r>
    <w:r>
      <w:pict>
        <v:shape id="PowerPlusWaterMarkObject718498299" o:spid="_x0000_s3074" o:spt="136" type="#_x0000_t136" style="position:absolute;left:0pt;height:44.25pt;width:156pt;mso-position-horizontal:center;mso-position-horizontal-relative:margin;mso-position-vertical:center;mso-position-vertical-relative:margin;rotation:20643840f;z-index:-251657216;mso-width-relative:page;mso-height-relative:page;" fillcolor="#C00000" filled="t" stroked="f" coordsize="21600,21600" o:allowincell="f">
          <v:path/>
          <v:fill on="t" opacity="32768f" focussize="0,0"/>
          <v:stroke on="f"/>
          <v:imagedata o:title=""/>
          <o:lock v:ext="edit"/>
          <v:textpath on="t" fitshape="t" fitpath="t" trim="f" xscale="f" string=" 保  密" style="font-family:宋体;font-size:44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AF783">
    <w:pPr>
      <w:pStyle w:val="5"/>
    </w:pPr>
    <w:r>
      <w:pict>
        <v:shape id="PowerPlusWaterMarkObject718498298" o:spid="_x0000_s3075" o:spt="136" type="#_x0000_t136" style="position:absolute;left:0pt;height:44.25pt;width:156pt;mso-position-horizontal:center;mso-position-horizontal-relative:margin;mso-position-vertical:center;mso-position-vertical-relative:margin;rotation:20643840f;z-index:-251657216;mso-width-relative:page;mso-height-relative:page;" fillcolor="#C00000" filled="t" stroked="f" coordsize="21600,21600" o:allowincell="f">
          <v:path/>
          <v:fill on="t" opacity="32768f" focussize="0,0"/>
          <v:stroke on="f"/>
          <v:imagedata o:title=""/>
          <o:lock v:ext="edit"/>
          <v:textpath on="t" fitshape="t" fitpath="t" trim="f" xscale="f" string=" 保  密" style="font-family:宋体;font-size:44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F83E9">
    <w:pPr>
      <w:pStyle w:val="5"/>
    </w:pPr>
    <w:r>
      <w:pict>
        <v:shape id="PowerPlusWaterMarkObject718498297" o:spid="_x0000_s3073" o:spt="136" type="#_x0000_t136" style="position:absolute;left:0pt;height:44.25pt;width:156pt;mso-position-horizontal:center;mso-position-horizontal-relative:margin;mso-position-vertical:center;mso-position-vertical-relative:margin;rotation:20643840f;z-index:-251657216;mso-width-relative:page;mso-height-relative:page;" fillcolor="#C00000" filled="t" stroked="f" coordsize="21600,21600" o:allowincell="f">
          <v:path/>
          <v:fill on="t" opacity="32768f" focussize="0,0"/>
          <v:stroke on="f"/>
          <v:imagedata o:title=""/>
          <o:lock v:ext="edit"/>
          <v:textpath on="t" fitshape="t" fitpath="t" trim="f" xscale="f" string=" 保  密" style="font-family:宋体;font-size:44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NotTrackMoves/>
  <w:documentProtection w:enforcement="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layout v:ext="edit">
      <o:idmap v:ext="edit" data="2,3"/>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68C4"/>
    <w:rsid w:val="00002DE5"/>
    <w:rsid w:val="000067F8"/>
    <w:rsid w:val="00010AE6"/>
    <w:rsid w:val="00012210"/>
    <w:rsid w:val="00014519"/>
    <w:rsid w:val="00016ED2"/>
    <w:rsid w:val="00022DE2"/>
    <w:rsid w:val="00026923"/>
    <w:rsid w:val="0003030A"/>
    <w:rsid w:val="000303EC"/>
    <w:rsid w:val="00030EBD"/>
    <w:rsid w:val="00033E99"/>
    <w:rsid w:val="00037EE5"/>
    <w:rsid w:val="00040DE9"/>
    <w:rsid w:val="00040E26"/>
    <w:rsid w:val="0004351D"/>
    <w:rsid w:val="00045ECE"/>
    <w:rsid w:val="00060770"/>
    <w:rsid w:val="00061770"/>
    <w:rsid w:val="000634C1"/>
    <w:rsid w:val="00072ECD"/>
    <w:rsid w:val="000778B1"/>
    <w:rsid w:val="00082A0B"/>
    <w:rsid w:val="000834DC"/>
    <w:rsid w:val="00084DF8"/>
    <w:rsid w:val="00092251"/>
    <w:rsid w:val="000922CC"/>
    <w:rsid w:val="00092498"/>
    <w:rsid w:val="000A126B"/>
    <w:rsid w:val="000A3F66"/>
    <w:rsid w:val="000A6762"/>
    <w:rsid w:val="000B4C6D"/>
    <w:rsid w:val="000B7E6B"/>
    <w:rsid w:val="000C116B"/>
    <w:rsid w:val="000C6ADA"/>
    <w:rsid w:val="000C7EDA"/>
    <w:rsid w:val="000D020A"/>
    <w:rsid w:val="000D1692"/>
    <w:rsid w:val="000D4508"/>
    <w:rsid w:val="000D49D5"/>
    <w:rsid w:val="000E6E44"/>
    <w:rsid w:val="000F21C2"/>
    <w:rsid w:val="00102582"/>
    <w:rsid w:val="0010614E"/>
    <w:rsid w:val="00106465"/>
    <w:rsid w:val="00113D13"/>
    <w:rsid w:val="001205FC"/>
    <w:rsid w:val="001220F1"/>
    <w:rsid w:val="001246DD"/>
    <w:rsid w:val="00131A6F"/>
    <w:rsid w:val="0013433C"/>
    <w:rsid w:val="0013468A"/>
    <w:rsid w:val="001367D1"/>
    <w:rsid w:val="00141F3E"/>
    <w:rsid w:val="00146A22"/>
    <w:rsid w:val="00151E96"/>
    <w:rsid w:val="00161125"/>
    <w:rsid w:val="0016152C"/>
    <w:rsid w:val="001647CA"/>
    <w:rsid w:val="00164D7A"/>
    <w:rsid w:val="00166600"/>
    <w:rsid w:val="001712A3"/>
    <w:rsid w:val="00174052"/>
    <w:rsid w:val="001754CD"/>
    <w:rsid w:val="0017679A"/>
    <w:rsid w:val="00176C70"/>
    <w:rsid w:val="001801C4"/>
    <w:rsid w:val="00181809"/>
    <w:rsid w:val="001827BF"/>
    <w:rsid w:val="00187644"/>
    <w:rsid w:val="00190DE1"/>
    <w:rsid w:val="00191D7D"/>
    <w:rsid w:val="00191DAF"/>
    <w:rsid w:val="001B245D"/>
    <w:rsid w:val="001B771B"/>
    <w:rsid w:val="001C600C"/>
    <w:rsid w:val="001C6B97"/>
    <w:rsid w:val="001D1803"/>
    <w:rsid w:val="001E39B6"/>
    <w:rsid w:val="001E6FE8"/>
    <w:rsid w:val="001E75E6"/>
    <w:rsid w:val="001F0524"/>
    <w:rsid w:val="001F19D3"/>
    <w:rsid w:val="001F481A"/>
    <w:rsid w:val="001F4A4D"/>
    <w:rsid w:val="001F6505"/>
    <w:rsid w:val="002006FA"/>
    <w:rsid w:val="00202ABA"/>
    <w:rsid w:val="00204F9F"/>
    <w:rsid w:val="002050D7"/>
    <w:rsid w:val="0020611E"/>
    <w:rsid w:val="00206BEE"/>
    <w:rsid w:val="00211D04"/>
    <w:rsid w:val="00217B33"/>
    <w:rsid w:val="00220EDC"/>
    <w:rsid w:val="002322B8"/>
    <w:rsid w:val="00232A77"/>
    <w:rsid w:val="0023329A"/>
    <w:rsid w:val="0023487A"/>
    <w:rsid w:val="00242AE0"/>
    <w:rsid w:val="00245136"/>
    <w:rsid w:val="0024624A"/>
    <w:rsid w:val="0024715A"/>
    <w:rsid w:val="002517E4"/>
    <w:rsid w:val="002536CC"/>
    <w:rsid w:val="00265B3F"/>
    <w:rsid w:val="002778D4"/>
    <w:rsid w:val="002779DA"/>
    <w:rsid w:val="00282893"/>
    <w:rsid w:val="00283C83"/>
    <w:rsid w:val="00290208"/>
    <w:rsid w:val="00290877"/>
    <w:rsid w:val="00292F04"/>
    <w:rsid w:val="002A6219"/>
    <w:rsid w:val="002B1925"/>
    <w:rsid w:val="002B59B7"/>
    <w:rsid w:val="002B5FA6"/>
    <w:rsid w:val="002B71B5"/>
    <w:rsid w:val="002D1123"/>
    <w:rsid w:val="002D64CE"/>
    <w:rsid w:val="002E09D1"/>
    <w:rsid w:val="002E4032"/>
    <w:rsid w:val="002F0921"/>
    <w:rsid w:val="002F3230"/>
    <w:rsid w:val="002F3F7C"/>
    <w:rsid w:val="002F6A8C"/>
    <w:rsid w:val="002F7507"/>
    <w:rsid w:val="00300588"/>
    <w:rsid w:val="00300E17"/>
    <w:rsid w:val="00304A7E"/>
    <w:rsid w:val="003055CB"/>
    <w:rsid w:val="00323E1B"/>
    <w:rsid w:val="003252A9"/>
    <w:rsid w:val="00325965"/>
    <w:rsid w:val="00326555"/>
    <w:rsid w:val="00326989"/>
    <w:rsid w:val="00326E60"/>
    <w:rsid w:val="003274F5"/>
    <w:rsid w:val="003344BC"/>
    <w:rsid w:val="00341EAB"/>
    <w:rsid w:val="00341ED0"/>
    <w:rsid w:val="003530B4"/>
    <w:rsid w:val="003571F6"/>
    <w:rsid w:val="00367332"/>
    <w:rsid w:val="00370CE1"/>
    <w:rsid w:val="0037671A"/>
    <w:rsid w:val="00376A74"/>
    <w:rsid w:val="0037701F"/>
    <w:rsid w:val="00382C73"/>
    <w:rsid w:val="00385EA4"/>
    <w:rsid w:val="0039326F"/>
    <w:rsid w:val="003A04BB"/>
    <w:rsid w:val="003A0BCE"/>
    <w:rsid w:val="003A149C"/>
    <w:rsid w:val="003A639A"/>
    <w:rsid w:val="003A6DEC"/>
    <w:rsid w:val="003B31C4"/>
    <w:rsid w:val="003B59C8"/>
    <w:rsid w:val="003B7202"/>
    <w:rsid w:val="003C2029"/>
    <w:rsid w:val="003C71EA"/>
    <w:rsid w:val="003D073D"/>
    <w:rsid w:val="003D5EB3"/>
    <w:rsid w:val="003E3E8D"/>
    <w:rsid w:val="003E5847"/>
    <w:rsid w:val="003F396B"/>
    <w:rsid w:val="004110D9"/>
    <w:rsid w:val="00415161"/>
    <w:rsid w:val="00416F73"/>
    <w:rsid w:val="00423489"/>
    <w:rsid w:val="00423C6D"/>
    <w:rsid w:val="00425EB8"/>
    <w:rsid w:val="004269FE"/>
    <w:rsid w:val="004319F0"/>
    <w:rsid w:val="00436856"/>
    <w:rsid w:val="004372BB"/>
    <w:rsid w:val="004413A7"/>
    <w:rsid w:val="00441E99"/>
    <w:rsid w:val="00442D03"/>
    <w:rsid w:val="00444516"/>
    <w:rsid w:val="004503CD"/>
    <w:rsid w:val="00462B6A"/>
    <w:rsid w:val="0048466B"/>
    <w:rsid w:val="00486898"/>
    <w:rsid w:val="00486FA8"/>
    <w:rsid w:val="00491537"/>
    <w:rsid w:val="004925F7"/>
    <w:rsid w:val="00492CCD"/>
    <w:rsid w:val="00493053"/>
    <w:rsid w:val="004A10E5"/>
    <w:rsid w:val="004A5CE6"/>
    <w:rsid w:val="004A68DF"/>
    <w:rsid w:val="004A6CA9"/>
    <w:rsid w:val="004B36F7"/>
    <w:rsid w:val="004B3910"/>
    <w:rsid w:val="004B4210"/>
    <w:rsid w:val="004B7156"/>
    <w:rsid w:val="004C061C"/>
    <w:rsid w:val="004C06B5"/>
    <w:rsid w:val="004C3007"/>
    <w:rsid w:val="004D1C5B"/>
    <w:rsid w:val="004D234B"/>
    <w:rsid w:val="004D499D"/>
    <w:rsid w:val="004E57DF"/>
    <w:rsid w:val="004E5E2A"/>
    <w:rsid w:val="004F3574"/>
    <w:rsid w:val="004F36F9"/>
    <w:rsid w:val="004F6415"/>
    <w:rsid w:val="00500F73"/>
    <w:rsid w:val="005042EC"/>
    <w:rsid w:val="00507438"/>
    <w:rsid w:val="00513906"/>
    <w:rsid w:val="00515F1D"/>
    <w:rsid w:val="00517877"/>
    <w:rsid w:val="005209B2"/>
    <w:rsid w:val="005259FD"/>
    <w:rsid w:val="00530EF1"/>
    <w:rsid w:val="00531A32"/>
    <w:rsid w:val="00545A69"/>
    <w:rsid w:val="00550428"/>
    <w:rsid w:val="0055337E"/>
    <w:rsid w:val="00553697"/>
    <w:rsid w:val="005578CA"/>
    <w:rsid w:val="0056199B"/>
    <w:rsid w:val="005632B2"/>
    <w:rsid w:val="00566585"/>
    <w:rsid w:val="0057056D"/>
    <w:rsid w:val="005730A2"/>
    <w:rsid w:val="00574461"/>
    <w:rsid w:val="00576ED9"/>
    <w:rsid w:val="00580392"/>
    <w:rsid w:val="00582AE9"/>
    <w:rsid w:val="00582E6E"/>
    <w:rsid w:val="00583733"/>
    <w:rsid w:val="00583E25"/>
    <w:rsid w:val="00587D10"/>
    <w:rsid w:val="00590368"/>
    <w:rsid w:val="00591446"/>
    <w:rsid w:val="005953D5"/>
    <w:rsid w:val="00597938"/>
    <w:rsid w:val="005B1EF7"/>
    <w:rsid w:val="005B21EA"/>
    <w:rsid w:val="005C3BB6"/>
    <w:rsid w:val="005D0347"/>
    <w:rsid w:val="005D163E"/>
    <w:rsid w:val="005D288D"/>
    <w:rsid w:val="005E1B3B"/>
    <w:rsid w:val="005E3067"/>
    <w:rsid w:val="005E446F"/>
    <w:rsid w:val="005F00D1"/>
    <w:rsid w:val="005F36CD"/>
    <w:rsid w:val="005F66E3"/>
    <w:rsid w:val="006076D7"/>
    <w:rsid w:val="006152E0"/>
    <w:rsid w:val="006208D2"/>
    <w:rsid w:val="006303C2"/>
    <w:rsid w:val="0063518B"/>
    <w:rsid w:val="00645844"/>
    <w:rsid w:val="006512ED"/>
    <w:rsid w:val="00651D58"/>
    <w:rsid w:val="006571BA"/>
    <w:rsid w:val="00660C1C"/>
    <w:rsid w:val="00660E63"/>
    <w:rsid w:val="0066360D"/>
    <w:rsid w:val="00666C8D"/>
    <w:rsid w:val="00673A16"/>
    <w:rsid w:val="006764F0"/>
    <w:rsid w:val="00677DA4"/>
    <w:rsid w:val="00683C54"/>
    <w:rsid w:val="006847EA"/>
    <w:rsid w:val="0069231B"/>
    <w:rsid w:val="00692489"/>
    <w:rsid w:val="006A0196"/>
    <w:rsid w:val="006A2492"/>
    <w:rsid w:val="006A35A3"/>
    <w:rsid w:val="006A3E90"/>
    <w:rsid w:val="006C5115"/>
    <w:rsid w:val="006C6C61"/>
    <w:rsid w:val="006D6004"/>
    <w:rsid w:val="006D6799"/>
    <w:rsid w:val="006D7A48"/>
    <w:rsid w:val="006E17FA"/>
    <w:rsid w:val="006E6F65"/>
    <w:rsid w:val="006E7059"/>
    <w:rsid w:val="006F0C93"/>
    <w:rsid w:val="006F631D"/>
    <w:rsid w:val="007014A3"/>
    <w:rsid w:val="00707237"/>
    <w:rsid w:val="00714A70"/>
    <w:rsid w:val="00716362"/>
    <w:rsid w:val="0071721E"/>
    <w:rsid w:val="007215F8"/>
    <w:rsid w:val="00727EB8"/>
    <w:rsid w:val="00736AEC"/>
    <w:rsid w:val="0074180F"/>
    <w:rsid w:val="00741DD7"/>
    <w:rsid w:val="00741EE0"/>
    <w:rsid w:val="007473E7"/>
    <w:rsid w:val="0075018E"/>
    <w:rsid w:val="00750FB3"/>
    <w:rsid w:val="00753588"/>
    <w:rsid w:val="00754CC2"/>
    <w:rsid w:val="00762B43"/>
    <w:rsid w:val="0076416A"/>
    <w:rsid w:val="00765C2F"/>
    <w:rsid w:val="00765F27"/>
    <w:rsid w:val="007668AB"/>
    <w:rsid w:val="00766D6F"/>
    <w:rsid w:val="007702E8"/>
    <w:rsid w:val="00770EEC"/>
    <w:rsid w:val="0077114E"/>
    <w:rsid w:val="00775CCA"/>
    <w:rsid w:val="007800CB"/>
    <w:rsid w:val="00786F3F"/>
    <w:rsid w:val="00797048"/>
    <w:rsid w:val="007A164E"/>
    <w:rsid w:val="007A4EBF"/>
    <w:rsid w:val="007A4F6C"/>
    <w:rsid w:val="007B3965"/>
    <w:rsid w:val="007B5397"/>
    <w:rsid w:val="007C548B"/>
    <w:rsid w:val="007C5D75"/>
    <w:rsid w:val="007D277F"/>
    <w:rsid w:val="007E24F5"/>
    <w:rsid w:val="007E56CE"/>
    <w:rsid w:val="007E6280"/>
    <w:rsid w:val="007F1722"/>
    <w:rsid w:val="007F2567"/>
    <w:rsid w:val="007F3165"/>
    <w:rsid w:val="007F486C"/>
    <w:rsid w:val="007F78D0"/>
    <w:rsid w:val="00801079"/>
    <w:rsid w:val="00803B22"/>
    <w:rsid w:val="008077A5"/>
    <w:rsid w:val="00811AC8"/>
    <w:rsid w:val="00821308"/>
    <w:rsid w:val="00821D1F"/>
    <w:rsid w:val="00822CDA"/>
    <w:rsid w:val="00824CA7"/>
    <w:rsid w:val="008260B8"/>
    <w:rsid w:val="00826120"/>
    <w:rsid w:val="008272CB"/>
    <w:rsid w:val="00832918"/>
    <w:rsid w:val="008403F2"/>
    <w:rsid w:val="00842DB5"/>
    <w:rsid w:val="00843AB7"/>
    <w:rsid w:val="00843B86"/>
    <w:rsid w:val="008442C8"/>
    <w:rsid w:val="0085092A"/>
    <w:rsid w:val="00853FAC"/>
    <w:rsid w:val="00862A50"/>
    <w:rsid w:val="008658DE"/>
    <w:rsid w:val="008705FC"/>
    <w:rsid w:val="00871A94"/>
    <w:rsid w:val="00881E28"/>
    <w:rsid w:val="00882F53"/>
    <w:rsid w:val="00885925"/>
    <w:rsid w:val="00885929"/>
    <w:rsid w:val="00887983"/>
    <w:rsid w:val="008901A1"/>
    <w:rsid w:val="00892906"/>
    <w:rsid w:val="008932D9"/>
    <w:rsid w:val="00895049"/>
    <w:rsid w:val="008A00D0"/>
    <w:rsid w:val="008A162D"/>
    <w:rsid w:val="008A17AD"/>
    <w:rsid w:val="008A48D4"/>
    <w:rsid w:val="008A7DE0"/>
    <w:rsid w:val="008C46DD"/>
    <w:rsid w:val="008C4B77"/>
    <w:rsid w:val="008C6DA7"/>
    <w:rsid w:val="008D067B"/>
    <w:rsid w:val="008D18B0"/>
    <w:rsid w:val="008D3418"/>
    <w:rsid w:val="008D6003"/>
    <w:rsid w:val="008E0139"/>
    <w:rsid w:val="008E16EC"/>
    <w:rsid w:val="008E6717"/>
    <w:rsid w:val="008F6F5D"/>
    <w:rsid w:val="008F74FA"/>
    <w:rsid w:val="008F78CE"/>
    <w:rsid w:val="00902193"/>
    <w:rsid w:val="00904B6B"/>
    <w:rsid w:val="00905263"/>
    <w:rsid w:val="00905946"/>
    <w:rsid w:val="009078F8"/>
    <w:rsid w:val="00907C13"/>
    <w:rsid w:val="00910A22"/>
    <w:rsid w:val="00910CEE"/>
    <w:rsid w:val="009113B4"/>
    <w:rsid w:val="00911941"/>
    <w:rsid w:val="00914404"/>
    <w:rsid w:val="00923276"/>
    <w:rsid w:val="00930D7A"/>
    <w:rsid w:val="00932B73"/>
    <w:rsid w:val="00935577"/>
    <w:rsid w:val="00940131"/>
    <w:rsid w:val="0094023A"/>
    <w:rsid w:val="0095067B"/>
    <w:rsid w:val="0096081E"/>
    <w:rsid w:val="009608E3"/>
    <w:rsid w:val="0096660F"/>
    <w:rsid w:val="0097443E"/>
    <w:rsid w:val="0097716D"/>
    <w:rsid w:val="0098524E"/>
    <w:rsid w:val="00991D52"/>
    <w:rsid w:val="00992CA8"/>
    <w:rsid w:val="00993AB7"/>
    <w:rsid w:val="009A5AC9"/>
    <w:rsid w:val="009A68C4"/>
    <w:rsid w:val="009A6D76"/>
    <w:rsid w:val="009B03EA"/>
    <w:rsid w:val="009B1A20"/>
    <w:rsid w:val="009B7689"/>
    <w:rsid w:val="009D3E78"/>
    <w:rsid w:val="009F7082"/>
    <w:rsid w:val="00A03B63"/>
    <w:rsid w:val="00A05366"/>
    <w:rsid w:val="00A11536"/>
    <w:rsid w:val="00A11555"/>
    <w:rsid w:val="00A12954"/>
    <w:rsid w:val="00A14585"/>
    <w:rsid w:val="00A2157C"/>
    <w:rsid w:val="00A23BB4"/>
    <w:rsid w:val="00A2688E"/>
    <w:rsid w:val="00A3292A"/>
    <w:rsid w:val="00A452A3"/>
    <w:rsid w:val="00A531EB"/>
    <w:rsid w:val="00A561CC"/>
    <w:rsid w:val="00A576E1"/>
    <w:rsid w:val="00A60DE4"/>
    <w:rsid w:val="00A6200B"/>
    <w:rsid w:val="00A625BB"/>
    <w:rsid w:val="00A62F8A"/>
    <w:rsid w:val="00A64074"/>
    <w:rsid w:val="00A64BFD"/>
    <w:rsid w:val="00A71444"/>
    <w:rsid w:val="00A81D21"/>
    <w:rsid w:val="00A823D7"/>
    <w:rsid w:val="00A83A5D"/>
    <w:rsid w:val="00A86DE2"/>
    <w:rsid w:val="00A91FCD"/>
    <w:rsid w:val="00A94550"/>
    <w:rsid w:val="00AA7A1B"/>
    <w:rsid w:val="00AB1A88"/>
    <w:rsid w:val="00AB1D26"/>
    <w:rsid w:val="00AC18B5"/>
    <w:rsid w:val="00AC4E4E"/>
    <w:rsid w:val="00AC61DC"/>
    <w:rsid w:val="00AC6F7C"/>
    <w:rsid w:val="00AD1862"/>
    <w:rsid w:val="00AD327B"/>
    <w:rsid w:val="00AE1DFC"/>
    <w:rsid w:val="00AE293C"/>
    <w:rsid w:val="00AE45BE"/>
    <w:rsid w:val="00AE4D9E"/>
    <w:rsid w:val="00B00F3C"/>
    <w:rsid w:val="00B0745D"/>
    <w:rsid w:val="00B112B5"/>
    <w:rsid w:val="00B11504"/>
    <w:rsid w:val="00B12348"/>
    <w:rsid w:val="00B13B63"/>
    <w:rsid w:val="00B163DF"/>
    <w:rsid w:val="00B21911"/>
    <w:rsid w:val="00B26390"/>
    <w:rsid w:val="00B26B37"/>
    <w:rsid w:val="00B2788D"/>
    <w:rsid w:val="00B3172A"/>
    <w:rsid w:val="00B40D9D"/>
    <w:rsid w:val="00B462B0"/>
    <w:rsid w:val="00B50001"/>
    <w:rsid w:val="00B501D7"/>
    <w:rsid w:val="00B50BCB"/>
    <w:rsid w:val="00B52CD3"/>
    <w:rsid w:val="00B53545"/>
    <w:rsid w:val="00B57807"/>
    <w:rsid w:val="00B6110B"/>
    <w:rsid w:val="00B62F5B"/>
    <w:rsid w:val="00B63140"/>
    <w:rsid w:val="00B65894"/>
    <w:rsid w:val="00B6589B"/>
    <w:rsid w:val="00B65BDA"/>
    <w:rsid w:val="00B728FD"/>
    <w:rsid w:val="00B72BB8"/>
    <w:rsid w:val="00B83190"/>
    <w:rsid w:val="00B8683A"/>
    <w:rsid w:val="00B9202B"/>
    <w:rsid w:val="00B96813"/>
    <w:rsid w:val="00B97125"/>
    <w:rsid w:val="00BA10ED"/>
    <w:rsid w:val="00BA4B34"/>
    <w:rsid w:val="00BA64AC"/>
    <w:rsid w:val="00BB76EA"/>
    <w:rsid w:val="00BC0638"/>
    <w:rsid w:val="00BC2DBB"/>
    <w:rsid w:val="00BC4744"/>
    <w:rsid w:val="00BC7E64"/>
    <w:rsid w:val="00BD1B17"/>
    <w:rsid w:val="00BD4C89"/>
    <w:rsid w:val="00BD5ED5"/>
    <w:rsid w:val="00BE3069"/>
    <w:rsid w:val="00BF0D25"/>
    <w:rsid w:val="00BF3664"/>
    <w:rsid w:val="00C01CE3"/>
    <w:rsid w:val="00C058DD"/>
    <w:rsid w:val="00C075F6"/>
    <w:rsid w:val="00C158D3"/>
    <w:rsid w:val="00C17670"/>
    <w:rsid w:val="00C23967"/>
    <w:rsid w:val="00C317D8"/>
    <w:rsid w:val="00C515CA"/>
    <w:rsid w:val="00C5506B"/>
    <w:rsid w:val="00C634FE"/>
    <w:rsid w:val="00C678F5"/>
    <w:rsid w:val="00C71810"/>
    <w:rsid w:val="00C71E8D"/>
    <w:rsid w:val="00C73D5E"/>
    <w:rsid w:val="00C749BC"/>
    <w:rsid w:val="00C74E5D"/>
    <w:rsid w:val="00C806C1"/>
    <w:rsid w:val="00C83A89"/>
    <w:rsid w:val="00C84567"/>
    <w:rsid w:val="00C8799D"/>
    <w:rsid w:val="00C87DE7"/>
    <w:rsid w:val="00C92F42"/>
    <w:rsid w:val="00CA110E"/>
    <w:rsid w:val="00CA7C76"/>
    <w:rsid w:val="00CB05A8"/>
    <w:rsid w:val="00CB1C6D"/>
    <w:rsid w:val="00CB24B8"/>
    <w:rsid w:val="00CB3E89"/>
    <w:rsid w:val="00CB4461"/>
    <w:rsid w:val="00CB7B91"/>
    <w:rsid w:val="00CD022C"/>
    <w:rsid w:val="00CD5457"/>
    <w:rsid w:val="00CD6BB7"/>
    <w:rsid w:val="00CE0693"/>
    <w:rsid w:val="00CE1DEE"/>
    <w:rsid w:val="00CE28DC"/>
    <w:rsid w:val="00CE77A0"/>
    <w:rsid w:val="00CF0026"/>
    <w:rsid w:val="00CF3238"/>
    <w:rsid w:val="00CF5981"/>
    <w:rsid w:val="00D01939"/>
    <w:rsid w:val="00D02FFD"/>
    <w:rsid w:val="00D0584C"/>
    <w:rsid w:val="00D06706"/>
    <w:rsid w:val="00D10971"/>
    <w:rsid w:val="00D17D77"/>
    <w:rsid w:val="00D2231B"/>
    <w:rsid w:val="00D277E2"/>
    <w:rsid w:val="00D3462D"/>
    <w:rsid w:val="00D431ED"/>
    <w:rsid w:val="00D43F43"/>
    <w:rsid w:val="00D50D11"/>
    <w:rsid w:val="00D51F85"/>
    <w:rsid w:val="00D61244"/>
    <w:rsid w:val="00D64574"/>
    <w:rsid w:val="00D7073B"/>
    <w:rsid w:val="00D732F7"/>
    <w:rsid w:val="00D738E4"/>
    <w:rsid w:val="00D73B72"/>
    <w:rsid w:val="00D74233"/>
    <w:rsid w:val="00D859DC"/>
    <w:rsid w:val="00D90401"/>
    <w:rsid w:val="00D9059C"/>
    <w:rsid w:val="00D90CAF"/>
    <w:rsid w:val="00D9773A"/>
    <w:rsid w:val="00DA5187"/>
    <w:rsid w:val="00DA5983"/>
    <w:rsid w:val="00DB093B"/>
    <w:rsid w:val="00DB41B8"/>
    <w:rsid w:val="00DC0CD6"/>
    <w:rsid w:val="00DC1284"/>
    <w:rsid w:val="00DC2228"/>
    <w:rsid w:val="00DC5CB6"/>
    <w:rsid w:val="00DD2BD2"/>
    <w:rsid w:val="00DD5B75"/>
    <w:rsid w:val="00DD5CFF"/>
    <w:rsid w:val="00DE7BBC"/>
    <w:rsid w:val="00DF52CD"/>
    <w:rsid w:val="00DF75DC"/>
    <w:rsid w:val="00E00218"/>
    <w:rsid w:val="00E00543"/>
    <w:rsid w:val="00E04702"/>
    <w:rsid w:val="00E07015"/>
    <w:rsid w:val="00E10B74"/>
    <w:rsid w:val="00E16E10"/>
    <w:rsid w:val="00E21796"/>
    <w:rsid w:val="00E2477C"/>
    <w:rsid w:val="00E260F4"/>
    <w:rsid w:val="00E3007C"/>
    <w:rsid w:val="00E31B40"/>
    <w:rsid w:val="00E31DB2"/>
    <w:rsid w:val="00E36230"/>
    <w:rsid w:val="00E4375C"/>
    <w:rsid w:val="00E46F9A"/>
    <w:rsid w:val="00E52B91"/>
    <w:rsid w:val="00E54D86"/>
    <w:rsid w:val="00E577D8"/>
    <w:rsid w:val="00E57EEA"/>
    <w:rsid w:val="00E615C4"/>
    <w:rsid w:val="00E643D8"/>
    <w:rsid w:val="00E70508"/>
    <w:rsid w:val="00E70AB7"/>
    <w:rsid w:val="00E72C6E"/>
    <w:rsid w:val="00E737D9"/>
    <w:rsid w:val="00E73EBE"/>
    <w:rsid w:val="00E74530"/>
    <w:rsid w:val="00E74ADF"/>
    <w:rsid w:val="00E757D6"/>
    <w:rsid w:val="00E8093A"/>
    <w:rsid w:val="00E80C07"/>
    <w:rsid w:val="00E81254"/>
    <w:rsid w:val="00E82499"/>
    <w:rsid w:val="00E8367F"/>
    <w:rsid w:val="00E8764E"/>
    <w:rsid w:val="00E93A59"/>
    <w:rsid w:val="00E93C33"/>
    <w:rsid w:val="00E951AA"/>
    <w:rsid w:val="00E9535C"/>
    <w:rsid w:val="00E95B6F"/>
    <w:rsid w:val="00EA26EE"/>
    <w:rsid w:val="00EA40EC"/>
    <w:rsid w:val="00EB01B9"/>
    <w:rsid w:val="00EB038C"/>
    <w:rsid w:val="00EB21F5"/>
    <w:rsid w:val="00EC53AC"/>
    <w:rsid w:val="00ED63F2"/>
    <w:rsid w:val="00ED7CE0"/>
    <w:rsid w:val="00EF7CAF"/>
    <w:rsid w:val="00F01511"/>
    <w:rsid w:val="00F01D8F"/>
    <w:rsid w:val="00F048E5"/>
    <w:rsid w:val="00F04BC6"/>
    <w:rsid w:val="00F07317"/>
    <w:rsid w:val="00F07EDD"/>
    <w:rsid w:val="00F11920"/>
    <w:rsid w:val="00F13046"/>
    <w:rsid w:val="00F143E5"/>
    <w:rsid w:val="00F14B9A"/>
    <w:rsid w:val="00F172BC"/>
    <w:rsid w:val="00F21D7F"/>
    <w:rsid w:val="00F2633F"/>
    <w:rsid w:val="00F3087D"/>
    <w:rsid w:val="00F32BC6"/>
    <w:rsid w:val="00F32EB4"/>
    <w:rsid w:val="00F453FD"/>
    <w:rsid w:val="00F46609"/>
    <w:rsid w:val="00F47E5F"/>
    <w:rsid w:val="00F53489"/>
    <w:rsid w:val="00F55ED4"/>
    <w:rsid w:val="00F60FD2"/>
    <w:rsid w:val="00F6105A"/>
    <w:rsid w:val="00F61809"/>
    <w:rsid w:val="00F668FA"/>
    <w:rsid w:val="00F6703A"/>
    <w:rsid w:val="00F72044"/>
    <w:rsid w:val="00F776F7"/>
    <w:rsid w:val="00F81411"/>
    <w:rsid w:val="00F81B91"/>
    <w:rsid w:val="00F85E6F"/>
    <w:rsid w:val="00F87D31"/>
    <w:rsid w:val="00F941E7"/>
    <w:rsid w:val="00F95B6C"/>
    <w:rsid w:val="00FA1375"/>
    <w:rsid w:val="00FA7E53"/>
    <w:rsid w:val="00FB67D2"/>
    <w:rsid w:val="00FC0132"/>
    <w:rsid w:val="00FC0716"/>
    <w:rsid w:val="00FD09B6"/>
    <w:rsid w:val="00FD5E97"/>
    <w:rsid w:val="00FD7299"/>
    <w:rsid w:val="00FE139B"/>
    <w:rsid w:val="00FE6358"/>
    <w:rsid w:val="00FF0443"/>
    <w:rsid w:val="00FF09AC"/>
    <w:rsid w:val="109A75B9"/>
    <w:rsid w:val="64B542F7"/>
    <w:rsid w:val="D5BF7E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pPr>
      <w:jc w:val="left"/>
    </w:pPr>
  </w:style>
  <w:style w:type="paragraph" w:styleId="3">
    <w:name w:val="Balloon Text"/>
    <w:basedOn w:val="1"/>
    <w:link w:val="13"/>
    <w:semiHidden/>
    <w:uiPriority w:val="99"/>
    <w:rPr>
      <w:sz w:val="18"/>
      <w:szCs w:val="18"/>
    </w:rPr>
  </w:style>
  <w:style w:type="paragraph" w:styleId="4">
    <w:name w:val="footer"/>
    <w:basedOn w:val="1"/>
    <w:link w:val="12"/>
    <w:semiHidden/>
    <w:uiPriority w:val="99"/>
    <w:pPr>
      <w:tabs>
        <w:tab w:val="center" w:pos="4153"/>
        <w:tab w:val="right" w:pos="8306"/>
      </w:tabs>
      <w:snapToGrid w:val="0"/>
      <w:jc w:val="left"/>
    </w:pPr>
    <w:rPr>
      <w:rFonts w:ascii="Calibri" w:hAnsi="Calibri" w:cs="Calibri"/>
      <w:sz w:val="18"/>
      <w:szCs w:val="18"/>
    </w:rPr>
  </w:style>
  <w:style w:type="paragraph" w:styleId="5">
    <w:name w:val="header"/>
    <w:basedOn w:val="1"/>
    <w:link w:val="11"/>
    <w:semiHidden/>
    <w:uiPriority w:val="99"/>
    <w:pPr>
      <w:pBdr>
        <w:bottom w:val="single" w:color="auto" w:sz="6" w:space="1"/>
      </w:pBdr>
      <w:tabs>
        <w:tab w:val="center" w:pos="4153"/>
        <w:tab w:val="right" w:pos="8306"/>
      </w:tabs>
      <w:snapToGrid w:val="0"/>
      <w:jc w:val="center"/>
    </w:pPr>
    <w:rPr>
      <w:rFonts w:ascii="Calibri" w:hAnsi="Calibri" w:cs="Calibri"/>
      <w:sz w:val="18"/>
      <w:szCs w:val="18"/>
    </w:rPr>
  </w:style>
  <w:style w:type="paragraph" w:styleId="6">
    <w:name w:val="annotation subject"/>
    <w:basedOn w:val="2"/>
    <w:next w:val="2"/>
    <w:link w:val="17"/>
    <w:semiHidden/>
    <w:unhideWhenUsed/>
    <w:uiPriority w:val="99"/>
    <w:rPr>
      <w:b/>
      <w:bCs/>
    </w:rPr>
  </w:style>
  <w:style w:type="table" w:styleId="8">
    <w:name w:val="Table Grid"/>
    <w:basedOn w:val="7"/>
    <w:lock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semiHidden/>
    <w:unhideWhenUsed/>
    <w:uiPriority w:val="99"/>
    <w:rPr>
      <w:sz w:val="21"/>
      <w:szCs w:val="21"/>
    </w:rPr>
  </w:style>
  <w:style w:type="character" w:customStyle="1" w:styleId="11">
    <w:name w:val="页眉 字符"/>
    <w:link w:val="5"/>
    <w:semiHidden/>
    <w:locked/>
    <w:uiPriority w:val="99"/>
    <w:rPr>
      <w:sz w:val="18"/>
      <w:szCs w:val="18"/>
    </w:rPr>
  </w:style>
  <w:style w:type="character" w:customStyle="1" w:styleId="12">
    <w:name w:val="页脚 字符"/>
    <w:link w:val="4"/>
    <w:semiHidden/>
    <w:locked/>
    <w:uiPriority w:val="99"/>
    <w:rPr>
      <w:sz w:val="18"/>
      <w:szCs w:val="18"/>
    </w:rPr>
  </w:style>
  <w:style w:type="character" w:customStyle="1" w:styleId="13">
    <w:name w:val="批注框文本 字符"/>
    <w:link w:val="3"/>
    <w:semiHidden/>
    <w:locked/>
    <w:uiPriority w:val="99"/>
    <w:rPr>
      <w:rFonts w:ascii="Times New Roman" w:hAnsi="Times New Roman" w:eastAsia="宋体" w:cs="Times New Roman"/>
      <w:sz w:val="18"/>
      <w:szCs w:val="18"/>
    </w:rPr>
  </w:style>
  <w:style w:type="paragraph" w:styleId="14">
    <w:name w:val="List Paragraph"/>
    <w:basedOn w:val="1"/>
    <w:link w:val="15"/>
    <w:qFormat/>
    <w:uiPriority w:val="34"/>
    <w:pPr>
      <w:ind w:firstLine="420" w:firstLineChars="200"/>
    </w:pPr>
  </w:style>
  <w:style w:type="character" w:customStyle="1" w:styleId="15">
    <w:name w:val="列出段落 字符"/>
    <w:link w:val="14"/>
    <w:uiPriority w:val="34"/>
    <w:rPr>
      <w:rFonts w:ascii="Times New Roman" w:hAnsi="Times New Roman"/>
      <w:kern w:val="2"/>
      <w:sz w:val="21"/>
      <w:szCs w:val="21"/>
    </w:rPr>
  </w:style>
  <w:style w:type="character" w:customStyle="1" w:styleId="16">
    <w:name w:val="批注文字 字符"/>
    <w:link w:val="2"/>
    <w:semiHidden/>
    <w:uiPriority w:val="99"/>
    <w:rPr>
      <w:rFonts w:ascii="Times New Roman" w:hAnsi="Times New Roman"/>
      <w:kern w:val="2"/>
      <w:sz w:val="21"/>
      <w:szCs w:val="21"/>
    </w:rPr>
  </w:style>
  <w:style w:type="character" w:customStyle="1" w:styleId="17">
    <w:name w:val="批注主题 字符"/>
    <w:link w:val="6"/>
    <w:semiHidden/>
    <w:uiPriority w:val="99"/>
    <w:rPr>
      <w:rFonts w:ascii="Times New Roman" w:hAnsi="Times New Roman"/>
      <w:b/>
      <w:bCs/>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3074"/>
    <customShpInfo spid="_x0000_s3075"/>
    <customShpInfo spid="_x0000_s3073"/>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AF55A7-FB00-42CD-BCC8-08AF21340812}">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12</Pages>
  <Words>215</Words>
  <Characters>1228</Characters>
  <Lines>10</Lines>
  <Paragraphs>2</Paragraphs>
  <TotalTime>16</TotalTime>
  <ScaleCrop>false</ScaleCrop>
  <LinksUpToDate>false</LinksUpToDate>
  <CharactersWithSpaces>1441</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2013-08-19T10:46:00Z</dcterms:created>
  <dc:creator>zouyongjun</dc:creator>
  <cp:lastModifiedBy>turbine-yan</cp:lastModifiedBy>
  <dcterms:modified xsi:type="dcterms:W3CDTF">2026-08-14T09:54:09Z</dcterms:modified>
  <cp:revision>456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C3BFAE7E2E67260441757E6A708C52B9_42</vt:lpwstr>
  </property>
</Properties>
</file>