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6F4E" w14:textId="7008837A" w:rsidR="007B1E86" w:rsidRDefault="00B86CAF" w:rsidP="00B86CAF">
      <w:pPr>
        <w:pStyle w:val="Title"/>
      </w:pPr>
      <w:r>
        <w:t>Risk Identification Report</w:t>
      </w:r>
    </w:p>
    <w:p w14:paraId="3F0337AC" w14:textId="238F6B0F" w:rsidR="00B86CAF" w:rsidRDefault="00B86CAF">
      <w:r>
        <w:t>ISM_PCOM7E Assignment 1</w:t>
      </w:r>
    </w:p>
    <w:p w14:paraId="706416BC" w14:textId="378ADD55" w:rsidR="00B86CAF" w:rsidRDefault="00B86CAF">
      <w:r>
        <w:t>Trevor Woodman</w:t>
      </w:r>
      <w:r w:rsidR="001D5C87">
        <w:t xml:space="preserve"> </w:t>
      </w:r>
      <w:r w:rsidR="00CB2093">
        <w:t>-</w:t>
      </w:r>
      <w:r w:rsidR="001D5C87">
        <w:t xml:space="preserve"> </w:t>
      </w:r>
      <w:r w:rsidR="00CB2093">
        <w:t>February</w:t>
      </w:r>
      <w:r>
        <w:t xml:space="preserve"> 2024</w:t>
      </w:r>
    </w:p>
    <w:p w14:paraId="7CAA5CE2" w14:textId="62BC3987" w:rsidR="007F2E8C" w:rsidRDefault="007F2E8C" w:rsidP="00B86CAF">
      <w:pPr>
        <w:pStyle w:val="Heading1"/>
      </w:pPr>
      <w:r>
        <w:t>Introduction</w:t>
      </w:r>
    </w:p>
    <w:p w14:paraId="14DCEEEE" w14:textId="7B918051" w:rsidR="007F2E8C" w:rsidRDefault="007F2E8C" w:rsidP="007F2E8C">
      <w:r>
        <w:t>This risk identification report</w:t>
      </w:r>
      <w:r w:rsidR="001D5C87">
        <w:t xml:space="preserve"> is for Pampered Pets, a brick-and-mortar business that is most known for its locally supplied pet foods. Pampered Pets’ only digitali</w:t>
      </w:r>
      <w:r w:rsidR="00CB2093">
        <w:t>z</w:t>
      </w:r>
      <w:r w:rsidR="001D5C87">
        <w:t>ation thus far is taking orders via email.</w:t>
      </w:r>
    </w:p>
    <w:p w14:paraId="587D7597" w14:textId="19EF746D" w:rsidR="00D257B8" w:rsidRDefault="00D257B8" w:rsidP="00D257B8">
      <w:pPr>
        <w:pStyle w:val="Heading1"/>
      </w:pPr>
      <w:r>
        <w:t>Scope</w:t>
      </w:r>
    </w:p>
    <w:p w14:paraId="6E2316BD" w14:textId="1CF8B300" w:rsidR="00D257B8" w:rsidRDefault="00D257B8" w:rsidP="00D257B8">
      <w:r>
        <w:t>Included analys</w:t>
      </w:r>
      <w:r w:rsidR="007567A8">
        <w:t>e</w:t>
      </w:r>
      <w:r>
        <w:t xml:space="preserve">s are relevant IT and personnel assets, </w:t>
      </w:r>
      <w:r w:rsidR="007567A8">
        <w:t>threats, and effects</w:t>
      </w:r>
      <w:r>
        <w:t xml:space="preserve"> for both the current and digitali</w:t>
      </w:r>
      <w:r w:rsidR="00CB2093">
        <w:t>z</w:t>
      </w:r>
      <w:r>
        <w:t>ed state of the business.</w:t>
      </w:r>
    </w:p>
    <w:p w14:paraId="25B65AD3" w14:textId="11C92094" w:rsidR="00764920" w:rsidRDefault="00764920" w:rsidP="00764920">
      <w:pPr>
        <w:pStyle w:val="Heading1"/>
      </w:pPr>
      <w:r>
        <w:t>Methodology</w:t>
      </w:r>
    </w:p>
    <w:p w14:paraId="225D013F" w14:textId="6A5B3A43" w:rsidR="00764920" w:rsidRDefault="00764920" w:rsidP="00764920">
      <w:r>
        <w:t>The Open Group Risk Analysis (O</w:t>
      </w:r>
      <w:r w:rsidR="007567A8">
        <w:t>-R</w:t>
      </w:r>
      <w:r>
        <w:t xml:space="preserve">A) quantitative analysis method was used along with the </w:t>
      </w:r>
      <w:proofErr w:type="spellStart"/>
      <w:r>
        <w:t>OpenFAIR</w:t>
      </w:r>
      <w:proofErr w:type="spellEnd"/>
      <w:r>
        <w:t xml:space="preserve"> framework and Open Group Risk Taxonomy (O</w:t>
      </w:r>
      <w:r w:rsidR="007567A8">
        <w:t>-R</w:t>
      </w:r>
      <w:r>
        <w:t>T) standard</w:t>
      </w:r>
      <w:r w:rsidR="00117B38">
        <w:t xml:space="preserve"> (The Open Group, 2018, 2020)</w:t>
      </w:r>
      <w:r>
        <w:t xml:space="preserve">. </w:t>
      </w:r>
      <w:r>
        <w:t xml:space="preserve">These were used in this report as they </w:t>
      </w:r>
      <w:r>
        <w:t>are globally respected open standards. This report does not include full FAIR analys</w:t>
      </w:r>
      <w:r>
        <w:t>es due to constraints, but FAIR analyses would include detailed breakdowns of loss scenarios, loss event frequency, loss magnitude, primary and secondary loss estimations, models, and executive summary.</w:t>
      </w:r>
    </w:p>
    <w:p w14:paraId="0445CF55" w14:textId="77777777" w:rsidR="00764920" w:rsidRDefault="007649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3E2FEA" w14:textId="61408BF3" w:rsidR="00B86CAF" w:rsidRDefault="00B86CAF" w:rsidP="00B86CAF">
      <w:pPr>
        <w:pStyle w:val="Heading1"/>
      </w:pPr>
      <w:r>
        <w:lastRenderedPageBreak/>
        <w:t>Risk Assessment</w:t>
      </w:r>
      <w:r w:rsidR="00AE7AB4">
        <w:t xml:space="preserve"> – Current State</w:t>
      </w:r>
    </w:p>
    <w:p w14:paraId="6C1EC2BE" w14:textId="74EAC132" w:rsidR="009C4C40" w:rsidRDefault="00D257B8" w:rsidP="009C4C40">
      <w:pPr>
        <w:pStyle w:val="Heading2"/>
      </w:pPr>
      <w:r>
        <w:t>Risk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970"/>
        <w:gridCol w:w="1987"/>
        <w:gridCol w:w="2148"/>
      </w:tblGrid>
      <w:tr w:rsidR="006E03DD" w14:paraId="75B08821" w14:textId="1426300B" w:rsidTr="006E03DD">
        <w:tc>
          <w:tcPr>
            <w:tcW w:w="2245" w:type="dxa"/>
            <w:shd w:val="clear" w:color="auto" w:fill="F2F2F2" w:themeFill="background1" w:themeFillShade="F2"/>
          </w:tcPr>
          <w:p w14:paraId="6B125D61" w14:textId="7D57D342" w:rsidR="006E03DD" w:rsidRDefault="006E03DD" w:rsidP="006E03DD">
            <w:r>
              <w:t>Asset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3A954E78" w14:textId="19E36890" w:rsidR="006E03DD" w:rsidRDefault="006E03DD" w:rsidP="006E03DD">
            <w:r>
              <w:t>Threat Agent</w:t>
            </w:r>
          </w:p>
        </w:tc>
        <w:tc>
          <w:tcPr>
            <w:tcW w:w="1987" w:type="dxa"/>
            <w:shd w:val="clear" w:color="auto" w:fill="F2F2F2" w:themeFill="background1" w:themeFillShade="F2"/>
          </w:tcPr>
          <w:p w14:paraId="0CF031BB" w14:textId="5B33922C" w:rsidR="006E03DD" w:rsidRDefault="006E03DD" w:rsidP="006E03DD">
            <w:r>
              <w:t>Threat Event</w:t>
            </w:r>
          </w:p>
        </w:tc>
        <w:tc>
          <w:tcPr>
            <w:tcW w:w="2148" w:type="dxa"/>
            <w:shd w:val="clear" w:color="auto" w:fill="F2F2F2" w:themeFill="background1" w:themeFillShade="F2"/>
          </w:tcPr>
          <w:p w14:paraId="180DDF6E" w14:textId="6030B509" w:rsidR="006E03DD" w:rsidRDefault="006E03DD" w:rsidP="006E03DD">
            <w:r>
              <w:t>Effect</w:t>
            </w:r>
          </w:p>
        </w:tc>
      </w:tr>
      <w:tr w:rsidR="006E03DD" w14:paraId="0CE21EB3" w14:textId="674132BC" w:rsidTr="006E03DD">
        <w:tc>
          <w:tcPr>
            <w:tcW w:w="2245" w:type="dxa"/>
          </w:tcPr>
          <w:p w14:paraId="4FDE498F" w14:textId="1483D197" w:rsidR="006E03DD" w:rsidRDefault="006E03DD" w:rsidP="006E03DD">
            <w:r>
              <w:t>Customer</w:t>
            </w:r>
            <w:r w:rsidR="007567A8">
              <w:t>/business</w:t>
            </w:r>
            <w:r>
              <w:t xml:space="preserve"> information</w:t>
            </w:r>
          </w:p>
        </w:tc>
        <w:tc>
          <w:tcPr>
            <w:tcW w:w="2970" w:type="dxa"/>
          </w:tcPr>
          <w:p w14:paraId="1DB8D170" w14:textId="384F432E" w:rsidR="006E03DD" w:rsidRDefault="006E03DD" w:rsidP="006E03DD">
            <w:r>
              <w:t>Criminal, insider</w:t>
            </w:r>
          </w:p>
        </w:tc>
        <w:tc>
          <w:tcPr>
            <w:tcW w:w="1987" w:type="dxa"/>
          </w:tcPr>
          <w:p w14:paraId="56476B09" w14:textId="25FB1FB4" w:rsidR="006E03DD" w:rsidRDefault="006E03DD" w:rsidP="006E03DD">
            <w:r>
              <w:t>Malicious, error</w:t>
            </w:r>
          </w:p>
        </w:tc>
        <w:tc>
          <w:tcPr>
            <w:tcW w:w="2148" w:type="dxa"/>
          </w:tcPr>
          <w:p w14:paraId="4B4443D7" w14:textId="2866DBA6" w:rsidR="006E03DD" w:rsidRDefault="005314FD" w:rsidP="006E03DD">
            <w:r>
              <w:t>Confidentiality</w:t>
            </w:r>
          </w:p>
        </w:tc>
      </w:tr>
      <w:tr w:rsidR="006E03DD" w14:paraId="653BB18C" w14:textId="14EB7E60" w:rsidTr="006E03DD">
        <w:tc>
          <w:tcPr>
            <w:tcW w:w="2245" w:type="dxa"/>
          </w:tcPr>
          <w:p w14:paraId="59C0781E" w14:textId="5261858E" w:rsidR="006E03DD" w:rsidRDefault="006E03DD" w:rsidP="006E03DD">
            <w:r>
              <w:t>Customer funds</w:t>
            </w:r>
          </w:p>
        </w:tc>
        <w:tc>
          <w:tcPr>
            <w:tcW w:w="2970" w:type="dxa"/>
          </w:tcPr>
          <w:p w14:paraId="47CCEE7D" w14:textId="53D0FEEC" w:rsidR="006E03DD" w:rsidRDefault="006E03DD" w:rsidP="006E03DD">
            <w:r>
              <w:t>Criminal, insider</w:t>
            </w:r>
            <w:r>
              <w:t>, customer</w:t>
            </w:r>
          </w:p>
        </w:tc>
        <w:tc>
          <w:tcPr>
            <w:tcW w:w="1987" w:type="dxa"/>
          </w:tcPr>
          <w:p w14:paraId="1BE61837" w14:textId="4926A531" w:rsidR="006E03DD" w:rsidRDefault="005314FD" w:rsidP="006E03DD">
            <w:r>
              <w:t>Malicious, error, failure</w:t>
            </w:r>
          </w:p>
        </w:tc>
        <w:tc>
          <w:tcPr>
            <w:tcW w:w="2148" w:type="dxa"/>
          </w:tcPr>
          <w:p w14:paraId="295BF89A" w14:textId="4283B8B0" w:rsidR="006E03DD" w:rsidRDefault="005314FD" w:rsidP="006E03DD">
            <w:r>
              <w:t>Loss of funds</w:t>
            </w:r>
          </w:p>
        </w:tc>
      </w:tr>
      <w:tr w:rsidR="006E03DD" w14:paraId="3CFBBB44" w14:textId="1AAEF5CE" w:rsidTr="006E03DD">
        <w:tc>
          <w:tcPr>
            <w:tcW w:w="2245" w:type="dxa"/>
          </w:tcPr>
          <w:p w14:paraId="53B3FC4A" w14:textId="719F4271" w:rsidR="006E03DD" w:rsidRDefault="006E03DD" w:rsidP="006E03DD">
            <w:r>
              <w:t>Employee information</w:t>
            </w:r>
          </w:p>
        </w:tc>
        <w:tc>
          <w:tcPr>
            <w:tcW w:w="2970" w:type="dxa"/>
          </w:tcPr>
          <w:p w14:paraId="3AE2954D" w14:textId="1A1DD44B" w:rsidR="006E03DD" w:rsidRDefault="006E03DD" w:rsidP="006E03DD">
            <w:r>
              <w:t>Criminal, insider</w:t>
            </w:r>
          </w:p>
        </w:tc>
        <w:tc>
          <w:tcPr>
            <w:tcW w:w="1987" w:type="dxa"/>
          </w:tcPr>
          <w:p w14:paraId="21866C76" w14:textId="040D88A0" w:rsidR="006E03DD" w:rsidRDefault="005314FD" w:rsidP="006E03DD">
            <w:r>
              <w:t>Malicious, error</w:t>
            </w:r>
          </w:p>
        </w:tc>
        <w:tc>
          <w:tcPr>
            <w:tcW w:w="2148" w:type="dxa"/>
          </w:tcPr>
          <w:p w14:paraId="45189449" w14:textId="2873C388" w:rsidR="006E03DD" w:rsidRDefault="005314FD" w:rsidP="006E03DD">
            <w:r>
              <w:t>Confidentiality</w:t>
            </w:r>
          </w:p>
        </w:tc>
      </w:tr>
      <w:tr w:rsidR="006E03DD" w14:paraId="5BFAB8F9" w14:textId="5AFD940D" w:rsidTr="006E03DD">
        <w:tc>
          <w:tcPr>
            <w:tcW w:w="2245" w:type="dxa"/>
          </w:tcPr>
          <w:p w14:paraId="204BF5B9" w14:textId="05C4ED4E" w:rsidR="006E03DD" w:rsidRDefault="006E03DD" w:rsidP="006E03DD">
            <w:r>
              <w:t>Business devices (networked)</w:t>
            </w:r>
          </w:p>
        </w:tc>
        <w:tc>
          <w:tcPr>
            <w:tcW w:w="2970" w:type="dxa"/>
          </w:tcPr>
          <w:p w14:paraId="1D1E81C4" w14:textId="578459DB" w:rsidR="006E03DD" w:rsidRDefault="006E03DD" w:rsidP="006E03DD">
            <w:r>
              <w:t>Criminal, insider</w:t>
            </w:r>
          </w:p>
        </w:tc>
        <w:tc>
          <w:tcPr>
            <w:tcW w:w="1987" w:type="dxa"/>
          </w:tcPr>
          <w:p w14:paraId="36650196" w14:textId="4738F66A" w:rsidR="006E03DD" w:rsidRDefault="005314FD" w:rsidP="006E03DD">
            <w:r>
              <w:t>Malicious, error</w:t>
            </w:r>
          </w:p>
        </w:tc>
        <w:tc>
          <w:tcPr>
            <w:tcW w:w="2148" w:type="dxa"/>
          </w:tcPr>
          <w:p w14:paraId="4D25A744" w14:textId="2C85244F" w:rsidR="006E03DD" w:rsidRDefault="005314FD" w:rsidP="006E03DD">
            <w:r>
              <w:t>Confidentiality</w:t>
            </w:r>
            <w:r>
              <w:t>, availability, loss of asset(s), loss of funds</w:t>
            </w:r>
          </w:p>
        </w:tc>
      </w:tr>
    </w:tbl>
    <w:p w14:paraId="6B801D57" w14:textId="72CC5739" w:rsidR="009C4C40" w:rsidRDefault="00D257B8" w:rsidP="009C4C40">
      <w:pPr>
        <w:pStyle w:val="Heading2"/>
      </w:pPr>
      <w:r>
        <w:t xml:space="preserve">Risk </w:t>
      </w:r>
      <w:r w:rsidR="005314FD">
        <w:t>Mitigation</w:t>
      </w:r>
    </w:p>
    <w:p w14:paraId="764B875F" w14:textId="29AA468C" w:rsidR="005314FD" w:rsidRPr="005314FD" w:rsidRDefault="005314FD" w:rsidP="005314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Social engineering</w:t>
      </w:r>
      <w:r w:rsidR="0074565C">
        <w:t xml:space="preserve">, </w:t>
      </w:r>
      <w:r>
        <w:t>IT security</w:t>
      </w:r>
      <w:r w:rsidR="0074565C">
        <w:t xml:space="preserve">, ICT </w:t>
      </w:r>
      <w:r>
        <w:t>training for personnel</w:t>
      </w:r>
    </w:p>
    <w:p w14:paraId="11D8E136" w14:textId="0D12A694" w:rsidR="00764920" w:rsidRPr="00764920" w:rsidRDefault="007567A8" w:rsidP="005314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Updating/h</w:t>
      </w:r>
      <w:r w:rsidR="00764920">
        <w:t>ardening</w:t>
      </w:r>
      <w:r>
        <w:t>/backup</w:t>
      </w:r>
      <w:r w:rsidR="00764920">
        <w:t xml:space="preserve"> of IT assets and network(s)</w:t>
      </w:r>
    </w:p>
    <w:p w14:paraId="40E5A1C0" w14:textId="77777777" w:rsidR="007567A8" w:rsidRPr="007567A8" w:rsidRDefault="007567A8" w:rsidP="007567A8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Replace personal with business mobile </w:t>
      </w:r>
      <w:proofErr w:type="gramStart"/>
      <w:r>
        <w:t>devices</w:t>
      </w:r>
      <w:proofErr w:type="gramEnd"/>
    </w:p>
    <w:p w14:paraId="0C667A68" w14:textId="350CA368" w:rsidR="009C4C40" w:rsidRPr="007567A8" w:rsidRDefault="00764920" w:rsidP="007567A8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Securing of privileged data</w:t>
      </w:r>
    </w:p>
    <w:p w14:paraId="3E9582D0" w14:textId="0150BF70" w:rsidR="009C4C40" w:rsidRDefault="00B86CAF" w:rsidP="00F80CBF">
      <w:pPr>
        <w:pStyle w:val="Heading1"/>
      </w:pPr>
      <w:r>
        <w:t>Risk Assessment – Digitali</w:t>
      </w:r>
      <w:r w:rsidR="00CB2093">
        <w:t>z</w:t>
      </w:r>
      <w:r>
        <w:t>ation</w:t>
      </w:r>
    </w:p>
    <w:p w14:paraId="39D7ACF3" w14:textId="77C309DE" w:rsidR="009C4C40" w:rsidRDefault="009C4C40" w:rsidP="009C4C40">
      <w:pPr>
        <w:pStyle w:val="Heading2"/>
      </w:pPr>
      <w:r>
        <w:t>Proposed Changes</w:t>
      </w:r>
    </w:p>
    <w:p w14:paraId="74B4C734" w14:textId="078D0A4D" w:rsidR="00F80CBF" w:rsidRDefault="00F80CBF" w:rsidP="00F80CBF">
      <w:pPr>
        <w:pStyle w:val="ListParagraph"/>
        <w:numPr>
          <w:ilvl w:val="0"/>
          <w:numId w:val="3"/>
        </w:numPr>
      </w:pPr>
      <w:r>
        <w:t>IT hardware/software refresh</w:t>
      </w:r>
    </w:p>
    <w:p w14:paraId="1104C5D9" w14:textId="27D968E8" w:rsidR="00F80CBF" w:rsidRDefault="00F80CBF" w:rsidP="00F80CBF">
      <w:pPr>
        <w:pStyle w:val="ListParagraph"/>
        <w:numPr>
          <w:ilvl w:val="0"/>
          <w:numId w:val="3"/>
        </w:numPr>
      </w:pPr>
      <w:r>
        <w:t>Global website, online storefront and management portal, marketing</w:t>
      </w:r>
    </w:p>
    <w:p w14:paraId="036938C9" w14:textId="430A142C" w:rsidR="009C4C40" w:rsidRDefault="00F80CBF" w:rsidP="00F80CBF">
      <w:pPr>
        <w:pStyle w:val="ListParagraph"/>
        <w:numPr>
          <w:ilvl w:val="0"/>
          <w:numId w:val="3"/>
        </w:numPr>
      </w:pPr>
      <w:r>
        <w:t>Business data redundancy</w:t>
      </w:r>
    </w:p>
    <w:p w14:paraId="310EAECB" w14:textId="33262328" w:rsidR="00F80CBF" w:rsidRDefault="00F80CBF" w:rsidP="00F80CBF">
      <w:pPr>
        <w:pStyle w:val="ListParagraph"/>
        <w:numPr>
          <w:ilvl w:val="0"/>
          <w:numId w:val="3"/>
        </w:numPr>
      </w:pPr>
      <w:r>
        <w:t>Updated ERP system(s)</w:t>
      </w:r>
    </w:p>
    <w:p w14:paraId="159EE4BC" w14:textId="0736BC50" w:rsidR="009C4C40" w:rsidRDefault="00F80CBF" w:rsidP="009C4C40">
      <w:pPr>
        <w:pStyle w:val="Heading2"/>
      </w:pPr>
      <w:r>
        <w:t>Risk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243"/>
        <w:gridCol w:w="2249"/>
        <w:gridCol w:w="2282"/>
      </w:tblGrid>
      <w:tr w:rsidR="00F80CBF" w14:paraId="079183E2" w14:textId="77777777" w:rsidTr="007E5B8D">
        <w:tc>
          <w:tcPr>
            <w:tcW w:w="2576" w:type="dxa"/>
            <w:shd w:val="clear" w:color="auto" w:fill="F2F2F2" w:themeFill="background1" w:themeFillShade="F2"/>
          </w:tcPr>
          <w:p w14:paraId="066DDFB8" w14:textId="58C394FE" w:rsidR="00F80CBF" w:rsidRDefault="00F80CBF">
            <w:r>
              <w:t>Asset</w:t>
            </w:r>
          </w:p>
        </w:tc>
        <w:tc>
          <w:tcPr>
            <w:tcW w:w="2243" w:type="dxa"/>
            <w:shd w:val="clear" w:color="auto" w:fill="F2F2F2" w:themeFill="background1" w:themeFillShade="F2"/>
          </w:tcPr>
          <w:p w14:paraId="402C3B29" w14:textId="5CAD40C8" w:rsidR="00F80CBF" w:rsidRDefault="00F80CBF">
            <w:r>
              <w:t>Threat Agent</w:t>
            </w:r>
          </w:p>
        </w:tc>
        <w:tc>
          <w:tcPr>
            <w:tcW w:w="2249" w:type="dxa"/>
            <w:shd w:val="clear" w:color="auto" w:fill="F2F2F2" w:themeFill="background1" w:themeFillShade="F2"/>
          </w:tcPr>
          <w:p w14:paraId="7BE658E6" w14:textId="11CF23AA" w:rsidR="00F80CBF" w:rsidRDefault="00F80CBF">
            <w:r>
              <w:t>Threat Event</w:t>
            </w:r>
          </w:p>
        </w:tc>
        <w:tc>
          <w:tcPr>
            <w:tcW w:w="2282" w:type="dxa"/>
            <w:shd w:val="clear" w:color="auto" w:fill="F2F2F2" w:themeFill="background1" w:themeFillShade="F2"/>
          </w:tcPr>
          <w:p w14:paraId="4EED7AEC" w14:textId="7B8C3EFE" w:rsidR="00F80CBF" w:rsidRDefault="00F80CBF">
            <w:r>
              <w:t>Effect</w:t>
            </w:r>
          </w:p>
        </w:tc>
      </w:tr>
      <w:tr w:rsidR="00F80CBF" w14:paraId="04F4DEA3" w14:textId="77777777" w:rsidTr="007E5B8D">
        <w:tc>
          <w:tcPr>
            <w:tcW w:w="2576" w:type="dxa"/>
          </w:tcPr>
          <w:p w14:paraId="747D27E6" w14:textId="6A629D49" w:rsidR="00F80CBF" w:rsidRDefault="00F80CBF">
            <w:r>
              <w:t>Website/storefront/portal</w:t>
            </w:r>
          </w:p>
        </w:tc>
        <w:tc>
          <w:tcPr>
            <w:tcW w:w="2243" w:type="dxa"/>
          </w:tcPr>
          <w:p w14:paraId="0070A89B" w14:textId="3C9EEE29" w:rsidR="00F80CBF" w:rsidRDefault="00F80CBF">
            <w:r>
              <w:t>Criminal, insider</w:t>
            </w:r>
          </w:p>
        </w:tc>
        <w:tc>
          <w:tcPr>
            <w:tcW w:w="2249" w:type="dxa"/>
          </w:tcPr>
          <w:p w14:paraId="7D00F422" w14:textId="67E1A05F" w:rsidR="00F80CBF" w:rsidRDefault="00F80CBF">
            <w:r>
              <w:t>Malicious, error</w:t>
            </w:r>
          </w:p>
        </w:tc>
        <w:tc>
          <w:tcPr>
            <w:tcW w:w="2282" w:type="dxa"/>
          </w:tcPr>
          <w:p w14:paraId="28A2B48A" w14:textId="0691E7F2" w:rsidR="00F80CBF" w:rsidRDefault="00F80CBF">
            <w:r>
              <w:t>Confidentiality, availability, loss of funds</w:t>
            </w:r>
          </w:p>
        </w:tc>
      </w:tr>
      <w:tr w:rsidR="00F80CBF" w14:paraId="1688C12E" w14:textId="77777777" w:rsidTr="007E5B8D">
        <w:tc>
          <w:tcPr>
            <w:tcW w:w="2576" w:type="dxa"/>
          </w:tcPr>
          <w:p w14:paraId="410DD826" w14:textId="79C1ACE7" w:rsidR="00F80CBF" w:rsidRDefault="00F80CBF">
            <w:r>
              <w:t>Updated ERP system(s)</w:t>
            </w:r>
          </w:p>
        </w:tc>
        <w:tc>
          <w:tcPr>
            <w:tcW w:w="2243" w:type="dxa"/>
          </w:tcPr>
          <w:p w14:paraId="4B2A07D7" w14:textId="632897DB" w:rsidR="00F80CBF" w:rsidRDefault="00F80CBF">
            <w:r>
              <w:t>Criminal, insider</w:t>
            </w:r>
            <w:r w:rsidR="00CB2093">
              <w:t xml:space="preserve">, </w:t>
            </w:r>
            <w:r w:rsidR="007E5B8D">
              <w:t>customer</w:t>
            </w:r>
          </w:p>
        </w:tc>
        <w:tc>
          <w:tcPr>
            <w:tcW w:w="2249" w:type="dxa"/>
          </w:tcPr>
          <w:p w14:paraId="267B9B5F" w14:textId="6B24DA67" w:rsidR="00F80CBF" w:rsidRDefault="00F80CBF">
            <w:r>
              <w:t>Malicious, error</w:t>
            </w:r>
          </w:p>
        </w:tc>
        <w:tc>
          <w:tcPr>
            <w:tcW w:w="2282" w:type="dxa"/>
          </w:tcPr>
          <w:p w14:paraId="6F04644D" w14:textId="1D23EEEE" w:rsidR="00F80CBF" w:rsidRDefault="00F80CBF">
            <w:r>
              <w:t>Confidentiality,</w:t>
            </w:r>
            <w:r w:rsidR="00CB2093">
              <w:t xml:space="preserve"> </w:t>
            </w:r>
            <w:r>
              <w:t>availability, loss of funds</w:t>
            </w:r>
          </w:p>
        </w:tc>
      </w:tr>
    </w:tbl>
    <w:p w14:paraId="7B15E1CB" w14:textId="31CA3042" w:rsidR="009C4C40" w:rsidRDefault="00F80CBF" w:rsidP="00F80CBF">
      <w:pPr>
        <w:pStyle w:val="Heading2"/>
      </w:pPr>
      <w:r>
        <w:t xml:space="preserve">Risk </w:t>
      </w:r>
      <w:r w:rsidR="009C4C40">
        <w:t>Mitigations</w:t>
      </w:r>
    </w:p>
    <w:p w14:paraId="7D763612" w14:textId="52F1B7CA" w:rsidR="00F80CBF" w:rsidRDefault="00F80CBF" w:rsidP="00F80CBF">
      <w:pPr>
        <w:pStyle w:val="ListParagraph"/>
        <w:numPr>
          <w:ilvl w:val="0"/>
          <w:numId w:val="3"/>
        </w:numPr>
      </w:pPr>
      <w:r>
        <w:t>Industry standard security hardening of website, storefront, management portal</w:t>
      </w:r>
      <w:r w:rsidR="00CB2093">
        <w:t>, ERP systems, IT devices</w:t>
      </w:r>
    </w:p>
    <w:p w14:paraId="2C333AFD" w14:textId="782E3D27" w:rsidR="007E5B8D" w:rsidRPr="00F80CBF" w:rsidRDefault="007E5B8D" w:rsidP="007567A8">
      <w:pPr>
        <w:pStyle w:val="ListParagraph"/>
        <w:numPr>
          <w:ilvl w:val="0"/>
          <w:numId w:val="3"/>
        </w:numPr>
      </w:pPr>
      <w:r>
        <w:t>Regular s</w:t>
      </w:r>
      <w:r w:rsidR="00F80CBF">
        <w:t>ocial engineering</w:t>
      </w:r>
      <w:r w:rsidR="0074565C">
        <w:t>, IT security,</w:t>
      </w:r>
      <w:r w:rsidR="00F80CBF">
        <w:t xml:space="preserve"> </w:t>
      </w:r>
      <w:r w:rsidR="0074565C">
        <w:t xml:space="preserve">ICT </w:t>
      </w:r>
      <w:r w:rsidR="00F80CBF">
        <w:t>training for personnel</w:t>
      </w:r>
    </w:p>
    <w:p w14:paraId="289F1C85" w14:textId="77777777" w:rsidR="009C4C40" w:rsidRPr="009C4C40" w:rsidRDefault="009C4C40" w:rsidP="009C4C40"/>
    <w:p w14:paraId="14E88B8E" w14:textId="77777777" w:rsidR="009C4C40" w:rsidRDefault="009C4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392E13" w14:textId="68300641" w:rsidR="001D5C87" w:rsidRDefault="001D5C87" w:rsidP="00B86CAF">
      <w:pPr>
        <w:pStyle w:val="Heading1"/>
      </w:pPr>
      <w:r>
        <w:lastRenderedPageBreak/>
        <w:t>Business Questions</w:t>
      </w:r>
    </w:p>
    <w:p w14:paraId="0AD6CE2F" w14:textId="462C538A" w:rsidR="001D5C87" w:rsidRPr="007567A8" w:rsidRDefault="001D5C87" w:rsidP="001D5C87">
      <w:pPr>
        <w:rPr>
          <w:b/>
          <w:bCs/>
          <w:i/>
          <w:iCs/>
        </w:rPr>
      </w:pPr>
      <w:r w:rsidRPr="007567A8">
        <w:rPr>
          <w:b/>
          <w:bCs/>
          <w:i/>
          <w:iCs/>
        </w:rPr>
        <w:t>Could an online presence grow the business by up to 50%?</w:t>
      </w:r>
      <w:r w:rsidR="00127A32" w:rsidRPr="007567A8">
        <w:rPr>
          <w:b/>
          <w:bCs/>
          <w:i/>
          <w:iCs/>
        </w:rPr>
        <w:t xml:space="preserve"> </w:t>
      </w:r>
      <w:r w:rsidR="00127A32" w:rsidRPr="007567A8">
        <w:rPr>
          <w:b/>
          <w:bCs/>
          <w:i/>
          <w:iCs/>
        </w:rPr>
        <w:t>Could changing to an international supply chain reduce costs by up to 24%?</w:t>
      </w:r>
    </w:p>
    <w:p w14:paraId="1439446C" w14:textId="4DDA2BE3" w:rsidR="001D5C87" w:rsidRDefault="00DD290D" w:rsidP="001D5C87">
      <w:r>
        <w:t>According to Parviainen et al., “by digitizing information-intensive processes in a business, costs can be cut by up to 90% and improve turnaround times by several orders of magnitude.” (Parviainen et al., 2016)</w:t>
      </w:r>
      <w:r w:rsidR="0048280E">
        <w:t>.</w:t>
      </w:r>
    </w:p>
    <w:p w14:paraId="2311ADA5" w14:textId="0596FFC1" w:rsidR="001D5C87" w:rsidRPr="007567A8" w:rsidRDefault="001D5C87" w:rsidP="001D5C87">
      <w:pPr>
        <w:rPr>
          <w:b/>
          <w:bCs/>
          <w:i/>
          <w:iCs/>
        </w:rPr>
      </w:pPr>
      <w:r w:rsidRPr="007567A8">
        <w:rPr>
          <w:b/>
          <w:bCs/>
          <w:i/>
          <w:iCs/>
        </w:rPr>
        <w:t>Could the business lose up to 33% of its existing customers if the business doesn’t provide some online features?</w:t>
      </w:r>
    </w:p>
    <w:p w14:paraId="4280F0C4" w14:textId="42CB904E" w:rsidR="00127A32" w:rsidRPr="00127A32" w:rsidRDefault="00127A32" w:rsidP="001D5C87">
      <w:r>
        <w:t xml:space="preserve">According to the World Economic Forum, retail ecommerce sales grew by 16.5% worldwide in 2020 (Reddy &amp; </w:t>
      </w:r>
      <w:proofErr w:type="spellStart"/>
      <w:r>
        <w:t>Morelix</w:t>
      </w:r>
      <w:proofErr w:type="spellEnd"/>
      <w:r>
        <w:t xml:space="preserve">, 2020). </w:t>
      </w:r>
    </w:p>
    <w:p w14:paraId="4787B730" w14:textId="77777777" w:rsidR="001D5C87" w:rsidRPr="001D5C87" w:rsidRDefault="001D5C87" w:rsidP="001D5C87"/>
    <w:p w14:paraId="676103DD" w14:textId="1982A679" w:rsidR="00B86CAF" w:rsidRDefault="00B86CAF" w:rsidP="00B86CAF">
      <w:pPr>
        <w:pStyle w:val="Heading1"/>
      </w:pPr>
      <w:r>
        <w:t>Recommendations</w:t>
      </w:r>
    </w:p>
    <w:p w14:paraId="10DA55C8" w14:textId="4C8927C5" w:rsidR="001D5C87" w:rsidRDefault="007567A8" w:rsidP="001D5C87">
      <w:bookmarkStart w:id="0" w:name="_Hlk158796778"/>
      <w:r>
        <w:t xml:space="preserve">I recommend that the business immediately move towards digitization by refreshing hardware and software, deploying business mobile devices, training staff on ICT and information security, and starting a web storefront project to reach a larger customer base. Expansion of supply chain should be carefully evaluated for quality, availability, and customer satisfaction. As a large draw of the business is that ingredients are </w:t>
      </w:r>
      <w:proofErr w:type="gramStart"/>
      <w:r>
        <w:t>locally-sourced</w:t>
      </w:r>
      <w:proofErr w:type="gramEnd"/>
      <w:r>
        <w:t>, this could prove to lower satisfaction and have negative business impact in the short term.</w:t>
      </w:r>
      <w:r w:rsidR="00117B38">
        <w:t xml:space="preserve"> Marketing would extend beyond the release of the storefront for maximum visibility.</w:t>
      </w:r>
    </w:p>
    <w:bookmarkEnd w:id="0"/>
    <w:p w14:paraId="535F1E89" w14:textId="281DAA2F" w:rsidR="009C4C40" w:rsidRDefault="00117B38">
      <w:r w:rsidRPr="00117B38">
        <w:drawing>
          <wp:inline distT="0" distB="0" distL="0" distR="0" wp14:anchorId="1516A5F1" wp14:editId="6B84A4C5">
            <wp:extent cx="4051495" cy="2437823"/>
            <wp:effectExtent l="0" t="0" r="6350" b="635"/>
            <wp:docPr id="765580405" name="Picture 1" descr="A project timeline with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80405" name="Picture 1" descr="A project timeline with a gri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999" cy="24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C40">
        <w:br w:type="page"/>
      </w:r>
    </w:p>
    <w:p w14:paraId="7C95D0CC" w14:textId="3F665B2C" w:rsidR="009C4C40" w:rsidRDefault="009C4C40" w:rsidP="009C4C40">
      <w:pPr>
        <w:pStyle w:val="Heading1"/>
      </w:pPr>
      <w:r>
        <w:lastRenderedPageBreak/>
        <w:t>References</w:t>
      </w:r>
    </w:p>
    <w:p w14:paraId="0644124E" w14:textId="4C1A9634" w:rsidR="00DD290D" w:rsidRDefault="00DD290D" w:rsidP="00DD290D">
      <w:pPr>
        <w:pStyle w:val="ListParagraph"/>
        <w:numPr>
          <w:ilvl w:val="0"/>
          <w:numId w:val="3"/>
        </w:numPr>
      </w:pPr>
      <w:r>
        <w:t xml:space="preserve">Parviainen, P., et al. (2016) Tackling the digitalization challenge: how to benefit from digitalization in practice. Available at: </w:t>
      </w:r>
      <w:hyperlink r:id="rId8" w:history="1">
        <w:r w:rsidRPr="00DA01F0">
          <w:rPr>
            <w:rStyle w:val="Hyperlink"/>
          </w:rPr>
          <w:t>https://revistas.uminho.pt/index.php/ijispm/article/view/3856/3909</w:t>
        </w:r>
      </w:hyperlink>
      <w:r>
        <w:t xml:space="preserve"> [Accessed 14 </w:t>
      </w:r>
      <w:proofErr w:type="gramStart"/>
      <w:r>
        <w:t>February,</w:t>
      </w:r>
      <w:proofErr w:type="gramEnd"/>
      <w:r>
        <w:t xml:space="preserve"> 2024]</w:t>
      </w:r>
    </w:p>
    <w:p w14:paraId="4E78A7C7" w14:textId="736794C5" w:rsidR="00DD290D" w:rsidRDefault="00127A32" w:rsidP="00DD290D">
      <w:pPr>
        <w:pStyle w:val="ListParagraph"/>
        <w:numPr>
          <w:ilvl w:val="0"/>
          <w:numId w:val="3"/>
        </w:numPr>
      </w:pPr>
      <w:r>
        <w:t xml:space="preserve">Reddy, S. &amp; </w:t>
      </w:r>
      <w:proofErr w:type="spellStart"/>
      <w:r>
        <w:t>Morelix</w:t>
      </w:r>
      <w:proofErr w:type="spellEnd"/>
      <w:r>
        <w:t xml:space="preserve">, A. (2020) Companies now face an urgent choice: go </w:t>
      </w:r>
      <w:proofErr w:type="gramStart"/>
      <w:r>
        <w:t>digital, or</w:t>
      </w:r>
      <w:proofErr w:type="gramEnd"/>
      <w:r>
        <w:t xml:space="preserve"> go bust. Available at: </w:t>
      </w:r>
      <w:hyperlink r:id="rId9" w:history="1">
        <w:r w:rsidRPr="00DA01F0">
          <w:rPr>
            <w:rStyle w:val="Hyperlink"/>
          </w:rPr>
          <w:t>https://www.weforum.org/agenda/2020/10/digital-transformation-or-bust/</w:t>
        </w:r>
      </w:hyperlink>
      <w:r>
        <w:t xml:space="preserve"> [Accessed 14 </w:t>
      </w:r>
      <w:proofErr w:type="gramStart"/>
      <w:r>
        <w:t>February,</w:t>
      </w:r>
      <w:proofErr w:type="gramEnd"/>
      <w:r>
        <w:t xml:space="preserve"> 2024]</w:t>
      </w:r>
    </w:p>
    <w:p w14:paraId="481D5151" w14:textId="3E1DE814" w:rsidR="00127A32" w:rsidRDefault="00127A32" w:rsidP="00DD290D">
      <w:pPr>
        <w:pStyle w:val="ListParagraph"/>
        <w:numPr>
          <w:ilvl w:val="0"/>
          <w:numId w:val="3"/>
        </w:numPr>
      </w:pPr>
      <w:r>
        <w:t xml:space="preserve">The Open Group. (2021) The Open Group Risk Analysis (O-RA) Standard, Version 2.0.1. Available at: </w:t>
      </w:r>
      <w:hyperlink r:id="rId10" w:history="1">
        <w:r w:rsidRPr="00DA01F0">
          <w:rPr>
            <w:rStyle w:val="Hyperlink"/>
          </w:rPr>
          <w:t>https://pubs.opengroup.org/security/o-ra/</w:t>
        </w:r>
      </w:hyperlink>
      <w:r>
        <w:t xml:space="preserve"> [Accessed 14 </w:t>
      </w:r>
      <w:proofErr w:type="gramStart"/>
      <w:r>
        <w:t>February,</w:t>
      </w:r>
      <w:proofErr w:type="gramEnd"/>
      <w:r>
        <w:t xml:space="preserve"> 2024]</w:t>
      </w:r>
    </w:p>
    <w:p w14:paraId="3BD759F7" w14:textId="03AC4665" w:rsidR="00127A32" w:rsidRDefault="007567A8" w:rsidP="00DD290D">
      <w:pPr>
        <w:pStyle w:val="ListParagraph"/>
        <w:numPr>
          <w:ilvl w:val="0"/>
          <w:numId w:val="3"/>
        </w:numPr>
      </w:pPr>
      <w:r>
        <w:t xml:space="preserve">The Open Group. (2021) The Open Group Risk Taxonomy (O-RT) Standard, Version 3.0.1. Available at: </w:t>
      </w:r>
      <w:hyperlink r:id="rId11" w:history="1">
        <w:r w:rsidRPr="00DA01F0">
          <w:rPr>
            <w:rStyle w:val="Hyperlink"/>
          </w:rPr>
          <w:t>https://pubs.opengroup.org/security/o-rt/</w:t>
        </w:r>
      </w:hyperlink>
      <w:r>
        <w:t xml:space="preserve"> [Accessed 14 </w:t>
      </w:r>
      <w:proofErr w:type="gramStart"/>
      <w:r>
        <w:t>February,</w:t>
      </w:r>
      <w:proofErr w:type="gramEnd"/>
      <w:r>
        <w:t xml:space="preserve"> 2024]</w:t>
      </w:r>
    </w:p>
    <w:p w14:paraId="44F50B06" w14:textId="04001F23" w:rsidR="00CB4257" w:rsidRPr="009C4C40" w:rsidRDefault="007567A8" w:rsidP="00117B38">
      <w:pPr>
        <w:pStyle w:val="ListParagraph"/>
        <w:numPr>
          <w:ilvl w:val="0"/>
          <w:numId w:val="3"/>
        </w:numPr>
      </w:pPr>
      <w:r>
        <w:t xml:space="preserve">The Open Group. (2018) The Open Group Open FAIR Risk Analysis Process Guide. Available at: </w:t>
      </w:r>
      <w:hyperlink r:id="rId12" w:history="1">
        <w:r w:rsidRPr="00DA01F0">
          <w:rPr>
            <w:rStyle w:val="Hyperlink"/>
          </w:rPr>
          <w:t>https://pubs.opengroup.org/security/openfair-process-guide/</w:t>
        </w:r>
      </w:hyperlink>
      <w:r>
        <w:t xml:space="preserve"> [Accessed 14 </w:t>
      </w:r>
      <w:proofErr w:type="gramStart"/>
      <w:r>
        <w:t>February,</w:t>
      </w:r>
      <w:proofErr w:type="gramEnd"/>
      <w:r>
        <w:t xml:space="preserve"> 2024]</w:t>
      </w:r>
    </w:p>
    <w:sectPr w:rsidR="00CB4257" w:rsidRPr="009C4C40" w:rsidSect="00A564E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E18F" w14:textId="77777777" w:rsidR="00A564E6" w:rsidRDefault="00A564E6" w:rsidP="009C4C40">
      <w:pPr>
        <w:spacing w:after="0" w:line="240" w:lineRule="auto"/>
      </w:pPr>
      <w:r>
        <w:separator/>
      </w:r>
    </w:p>
  </w:endnote>
  <w:endnote w:type="continuationSeparator" w:id="0">
    <w:p w14:paraId="40890429" w14:textId="77777777" w:rsidR="00A564E6" w:rsidRDefault="00A564E6" w:rsidP="009C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D344" w14:textId="4718D2A6" w:rsidR="009C4C40" w:rsidRDefault="009C4C40">
    <w:pPr>
      <w:pStyle w:val="Footer"/>
    </w:pPr>
    <w:r>
      <w:t>ISM_PCOM7E – Trevor Woodman – Risk Identification Report – Feb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326B" w14:textId="77777777" w:rsidR="00A564E6" w:rsidRDefault="00A564E6" w:rsidP="009C4C40">
      <w:pPr>
        <w:spacing w:after="0" w:line="240" w:lineRule="auto"/>
      </w:pPr>
      <w:r>
        <w:separator/>
      </w:r>
    </w:p>
  </w:footnote>
  <w:footnote w:type="continuationSeparator" w:id="0">
    <w:p w14:paraId="7CED6436" w14:textId="77777777" w:rsidR="00A564E6" w:rsidRDefault="00A564E6" w:rsidP="009C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C75D7"/>
    <w:multiLevelType w:val="hybridMultilevel"/>
    <w:tmpl w:val="7870EC56"/>
    <w:lvl w:ilvl="0" w:tplc="04BE4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75237"/>
    <w:multiLevelType w:val="hybridMultilevel"/>
    <w:tmpl w:val="8976E7D4"/>
    <w:lvl w:ilvl="0" w:tplc="0CC40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D27EC"/>
    <w:multiLevelType w:val="hybridMultilevel"/>
    <w:tmpl w:val="BA10AE28"/>
    <w:lvl w:ilvl="0" w:tplc="2FCC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038798">
    <w:abstractNumId w:val="1"/>
  </w:num>
  <w:num w:numId="2" w16cid:durableId="866793859">
    <w:abstractNumId w:val="2"/>
  </w:num>
  <w:num w:numId="3" w16cid:durableId="7655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F2"/>
    <w:rsid w:val="0004266E"/>
    <w:rsid w:val="000B6763"/>
    <w:rsid w:val="00117B38"/>
    <w:rsid w:val="00127A32"/>
    <w:rsid w:val="001D5C87"/>
    <w:rsid w:val="00255EF0"/>
    <w:rsid w:val="002F3CE2"/>
    <w:rsid w:val="0048280E"/>
    <w:rsid w:val="005242F2"/>
    <w:rsid w:val="005314FD"/>
    <w:rsid w:val="005A4552"/>
    <w:rsid w:val="0065156F"/>
    <w:rsid w:val="006E03DD"/>
    <w:rsid w:val="0074565C"/>
    <w:rsid w:val="007567A8"/>
    <w:rsid w:val="007623C4"/>
    <w:rsid w:val="00764920"/>
    <w:rsid w:val="00786AC2"/>
    <w:rsid w:val="007B1E86"/>
    <w:rsid w:val="007E5B8D"/>
    <w:rsid w:val="007F2E8C"/>
    <w:rsid w:val="008456F5"/>
    <w:rsid w:val="009C4C40"/>
    <w:rsid w:val="009D64B8"/>
    <w:rsid w:val="00A31A76"/>
    <w:rsid w:val="00A564E6"/>
    <w:rsid w:val="00AE7AB4"/>
    <w:rsid w:val="00B86CAF"/>
    <w:rsid w:val="00CB2093"/>
    <w:rsid w:val="00CB4257"/>
    <w:rsid w:val="00D257B8"/>
    <w:rsid w:val="00DD290D"/>
    <w:rsid w:val="00E412CB"/>
    <w:rsid w:val="00F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31A7"/>
  <w15:chartTrackingRefBased/>
  <w15:docId w15:val="{4CD27C7C-EAF0-4F69-80EE-72004A5D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C40"/>
  </w:style>
  <w:style w:type="paragraph" w:styleId="Footer">
    <w:name w:val="footer"/>
    <w:basedOn w:val="Normal"/>
    <w:link w:val="FooterChar"/>
    <w:uiPriority w:val="99"/>
    <w:unhideWhenUsed/>
    <w:rsid w:val="009C4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C40"/>
  </w:style>
  <w:style w:type="character" w:styleId="Hyperlink">
    <w:name w:val="Hyperlink"/>
    <w:basedOn w:val="DefaultParagraphFont"/>
    <w:uiPriority w:val="99"/>
    <w:unhideWhenUsed/>
    <w:rsid w:val="009D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AB4"/>
    <w:pPr>
      <w:ind w:left="720"/>
      <w:contextualSpacing/>
    </w:pPr>
  </w:style>
  <w:style w:type="table" w:styleId="TableGrid">
    <w:name w:val="Table Grid"/>
    <w:basedOn w:val="TableNormal"/>
    <w:uiPriority w:val="39"/>
    <w:rsid w:val="006E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uminho.pt/index.php/ijispm/article/view/3856/39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s.opengroup.org/security/openfair-process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s.opengroup.org/security/o-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ubs.opengroup.org/security/o-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forum.org/agenda/2020/10/digital-transformation-or-bu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adminwoodmt</dc:creator>
  <cp:keywords/>
  <dc:description/>
  <cp:lastModifiedBy>adminwoodmt</cp:lastModifiedBy>
  <cp:revision>6</cp:revision>
  <dcterms:created xsi:type="dcterms:W3CDTF">2024-02-05T15:30:00Z</dcterms:created>
  <dcterms:modified xsi:type="dcterms:W3CDTF">2024-02-14T16:53:00Z</dcterms:modified>
</cp:coreProperties>
</file>