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3D1BA" w14:textId="77777777" w:rsidR="00E50778" w:rsidRPr="00552944" w:rsidRDefault="00E50778" w:rsidP="00534C3D">
      <w:pPr>
        <w:jc w:val="both"/>
        <w:rPr>
          <w:b/>
          <w:bCs/>
        </w:rPr>
      </w:pPr>
      <w:r w:rsidRPr="00552944">
        <w:rPr>
          <w:b/>
          <w:bCs/>
        </w:rPr>
        <w:t>Lessons learned:</w:t>
      </w:r>
    </w:p>
    <w:p w14:paraId="665B3195" w14:textId="77777777" w:rsidR="00534C3D" w:rsidRDefault="00C2402E" w:rsidP="00534C3D">
      <w:pPr>
        <w:pStyle w:val="ListParagraph"/>
        <w:numPr>
          <w:ilvl w:val="0"/>
          <w:numId w:val="1"/>
        </w:numPr>
        <w:jc w:val="both"/>
      </w:pPr>
      <w:r w:rsidRPr="00552944">
        <w:t>P</w:t>
      </w:r>
      <w:r w:rsidR="00E50778" w:rsidRPr="00552944">
        <w:t xml:space="preserve">erformance maps using pressure ratio are not useful when </w:t>
      </w:r>
      <w:r w:rsidR="004200B7" w:rsidRPr="00552944">
        <w:t>the fluid does not behave as an ideal gas. Performance in terms of isentropic specific work (enthalpy change) should be used when the fluid behaves as a real gas.</w:t>
      </w:r>
    </w:p>
    <w:p w14:paraId="0648ECB6" w14:textId="31AD7480" w:rsidR="00C2402E" w:rsidRPr="00552944" w:rsidRDefault="00C2402E" w:rsidP="00534C3D">
      <w:pPr>
        <w:pStyle w:val="ListParagraph"/>
        <w:jc w:val="both"/>
      </w:pPr>
      <w:r w:rsidRPr="00552944">
        <w:rPr>
          <w:noProof/>
        </w:rPr>
        <w:drawing>
          <wp:inline distT="0" distB="0" distL="0" distR="0" wp14:anchorId="2FA734F0" wp14:editId="5E896B55">
            <wp:extent cx="5937250" cy="2092325"/>
            <wp:effectExtent l="0" t="0" r="6350" b="3175"/>
            <wp:docPr id="4632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F2B8" w14:textId="2347582F" w:rsidR="00001F2E" w:rsidRPr="00552944" w:rsidRDefault="00C2402E" w:rsidP="00534C3D">
      <w:pPr>
        <w:pStyle w:val="ListParagraph"/>
        <w:numPr>
          <w:ilvl w:val="0"/>
          <w:numId w:val="1"/>
        </w:numPr>
        <w:jc w:val="both"/>
      </w:pPr>
      <w:r w:rsidRPr="00552944">
        <w:t>Performance maps in terms of equivalent quantities seem to generalize well when the inlet conditions even when the fluid behaves as a real gas.</w:t>
      </w:r>
    </w:p>
    <w:p w14:paraId="0958DDE8" w14:textId="77777777" w:rsidR="00534C3D" w:rsidRDefault="00C2402E" w:rsidP="00534C3D">
      <w:pPr>
        <w:pStyle w:val="ListParagraph"/>
        <w:numPr>
          <w:ilvl w:val="0"/>
          <w:numId w:val="1"/>
        </w:numPr>
        <w:jc w:val="both"/>
      </w:pPr>
      <w:r w:rsidRPr="00552944">
        <w:t xml:space="preserve">I think that the Barber-Nichols/Sandia-Laboratories way to define the equivalent conditions might work </w:t>
      </w:r>
      <w:r w:rsidR="00551057" w:rsidRPr="00552944">
        <w:t>to account for some small real gas effects when the inlet conditions are not very close to the critical point. However, their semi-perfect approach gives unphysical results when the fluid is very close to the critical point.</w:t>
      </w:r>
    </w:p>
    <w:p w14:paraId="38E96360" w14:textId="3145C242" w:rsidR="00E543F5" w:rsidRPr="00552944" w:rsidRDefault="00FC0794" w:rsidP="00534C3D">
      <w:pPr>
        <w:pStyle w:val="ListParagraph"/>
        <w:jc w:val="both"/>
      </w:pPr>
      <w:r w:rsidRPr="00552944">
        <w:rPr>
          <w:noProof/>
        </w:rPr>
        <w:drawing>
          <wp:inline distT="0" distB="0" distL="0" distR="0" wp14:anchorId="5C0BBCC5" wp14:editId="350DA21F">
            <wp:extent cx="5943600" cy="2115820"/>
            <wp:effectExtent l="0" t="0" r="0" b="0"/>
            <wp:docPr id="1219575445" name="Picture 2" descr="A graph of two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75445" name="Picture 2" descr="A graph of two peop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9650" w14:textId="0CB99B8A" w:rsidR="007A4E95" w:rsidRPr="00552944" w:rsidRDefault="00552944" w:rsidP="00534C3D">
      <w:pPr>
        <w:pStyle w:val="ListParagraph"/>
        <w:numPr>
          <w:ilvl w:val="0"/>
          <w:numId w:val="1"/>
        </w:numPr>
        <w:jc w:val="both"/>
      </w:pPr>
      <w:r w:rsidRPr="00552944">
        <w:t xml:space="preserve">The semi-perfect gas equivalent </w:t>
      </w:r>
      <w:r w:rsidR="002C38FB">
        <w:t xml:space="preserve">definitions predict that the </w:t>
      </w:r>
      <w:r w:rsidR="00CC4F4A">
        <w:rPr>
          <w:rFonts w:cstheme="minorHAnsi"/>
        </w:rPr>
        <w:t>θ</w:t>
      </w:r>
      <w:r w:rsidR="002C38FB">
        <w:t xml:space="preserve"> correction factor (</w:t>
      </w:r>
      <w:r w:rsidR="00CC4F4A">
        <w:t>ratio of actual critical velocity to reference critical velocity) is more than one for th</w:t>
      </w:r>
      <w:r w:rsidR="00182E12">
        <w:t xml:space="preserve">e inlet condition at low density. This means that the </w:t>
      </w:r>
      <w:r w:rsidR="00041FF6">
        <w:t xml:space="preserve">semi-perfect relations predict that the critical velocity for the more gas-like state is higher than for the liquid-like state. This is clearly not the case as we can see that the speed of sound is in fact lower for the </w:t>
      </w:r>
      <w:r w:rsidR="00730F3C">
        <w:t>gas-like case with low density (as we could expect).</w:t>
      </w:r>
      <w:r w:rsidR="00987015">
        <w:t xml:space="preserve"> This results in unrealistic </w:t>
      </w:r>
      <w:r w:rsidR="00086BA9">
        <w:t>equivalent isentropic work and angular speed.</w:t>
      </w:r>
    </w:p>
    <w:tbl>
      <w:tblPr>
        <w:tblW w:w="90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625"/>
        <w:gridCol w:w="580"/>
        <w:gridCol w:w="808"/>
        <w:gridCol w:w="717"/>
        <w:gridCol w:w="625"/>
        <w:gridCol w:w="625"/>
        <w:gridCol w:w="625"/>
        <w:gridCol w:w="625"/>
        <w:gridCol w:w="808"/>
        <w:gridCol w:w="899"/>
        <w:gridCol w:w="762"/>
        <w:gridCol w:w="762"/>
      </w:tblGrid>
      <w:tr w:rsidR="00BE41E3" w:rsidRPr="00552944" w14:paraId="389C80C2" w14:textId="77777777" w:rsidTr="00BE41E3">
        <w:trPr>
          <w:trHeight w:val="285"/>
          <w:jc w:val="center"/>
        </w:trPr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36900F5A" w14:textId="402774C2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4FA9ADF6" w14:textId="0046CE51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14:paraId="3B838E09" w14:textId="151F91C3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40ECB6AD" w14:textId="72D923BD" w:rsidR="009E37ED" w:rsidRPr="009E37ED" w:rsidRDefault="00041FF6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5428E8A8" w14:textId="3FE9879E" w:rsidR="009E37ED" w:rsidRPr="009E37ED" w:rsidRDefault="00BE41E3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γ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40725EC1" w14:textId="6D3906BC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Z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7EA9F743" w14:textId="4F6D6FAF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597FCDC8" w14:textId="63FC4B0E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θ</w:t>
            </w:r>
          </w:p>
        </w:tc>
        <w:tc>
          <w:tcPr>
            <w:tcW w:w="625" w:type="dxa"/>
            <w:shd w:val="clear" w:color="auto" w:fill="auto"/>
            <w:noWrap/>
            <w:vAlign w:val="center"/>
          </w:tcPr>
          <w:p w14:paraId="17066905" w14:textId="6510B3F4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ε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6BF7A5DA" w14:textId="0CCFD022" w:rsidR="009E37ED" w:rsidRPr="009E37ED" w:rsidRDefault="00BE41E3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Δh</w:t>
            </w:r>
          </w:p>
        </w:tc>
        <w:tc>
          <w:tcPr>
            <w:tcW w:w="899" w:type="dxa"/>
            <w:shd w:val="clear" w:color="auto" w:fill="auto"/>
            <w:noWrap/>
            <w:vAlign w:val="center"/>
            <w:hideMark/>
          </w:tcPr>
          <w:p w14:paraId="16A28F83" w14:textId="0F20FCBC" w:rsidR="009E37ED" w:rsidRPr="009E37ED" w:rsidRDefault="00BE41E3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Δh</w:t>
            </w: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eq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75685D0B" w14:textId="55AB730C" w:rsidR="009E37ED" w:rsidRPr="009E37ED" w:rsidRDefault="00BE41E3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Ω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3FC661A3" w14:textId="07095A09" w:rsidR="009E37ED" w:rsidRPr="009E37ED" w:rsidRDefault="00BE41E3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Ω</w:t>
            </w:r>
            <w:r w:rsidRPr="00552944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eq</w:t>
            </w:r>
          </w:p>
        </w:tc>
      </w:tr>
      <w:tr w:rsidR="00BE41E3" w:rsidRPr="00552944" w14:paraId="6E39CB51" w14:textId="77777777" w:rsidTr="00501C94">
        <w:trPr>
          <w:trHeight w:val="285"/>
          <w:jc w:val="center"/>
        </w:trPr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67046472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77.3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2E8E5EAE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34.5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14:paraId="26D2F6F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328</w:t>
            </w:r>
          </w:p>
        </w:tc>
        <w:tc>
          <w:tcPr>
            <w:tcW w:w="808" w:type="dxa"/>
            <w:shd w:val="clear" w:color="auto" w:fill="DEEAF6" w:themeFill="accent5" w:themeFillTint="33"/>
            <w:noWrap/>
            <w:vAlign w:val="center"/>
            <w:hideMark/>
          </w:tcPr>
          <w:p w14:paraId="0658BBE5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189.19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152CFE16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10.27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7A1C46D0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29D59BF0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625" w:type="dxa"/>
            <w:shd w:val="clear" w:color="auto" w:fill="DEEAF6" w:themeFill="accent5" w:themeFillTint="33"/>
            <w:noWrap/>
            <w:vAlign w:val="center"/>
            <w:hideMark/>
          </w:tcPr>
          <w:p w14:paraId="02CC2221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1.64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6C45FA97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53AB724F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798.61</w:t>
            </w:r>
          </w:p>
        </w:tc>
        <w:tc>
          <w:tcPr>
            <w:tcW w:w="899" w:type="dxa"/>
            <w:shd w:val="clear" w:color="auto" w:fill="auto"/>
            <w:noWrap/>
            <w:vAlign w:val="center"/>
            <w:hideMark/>
          </w:tcPr>
          <w:p w14:paraId="734D306A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486.31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73474C0A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2" w:type="dxa"/>
            <w:shd w:val="clear" w:color="auto" w:fill="DEEAF6" w:themeFill="accent5" w:themeFillTint="33"/>
            <w:noWrap/>
            <w:vAlign w:val="center"/>
            <w:hideMark/>
          </w:tcPr>
          <w:p w14:paraId="113D0D7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15607</w:t>
            </w:r>
          </w:p>
        </w:tc>
      </w:tr>
      <w:tr w:rsidR="00BE41E3" w:rsidRPr="00552944" w14:paraId="28AD544F" w14:textId="77777777" w:rsidTr="00501C94">
        <w:trPr>
          <w:trHeight w:val="285"/>
          <w:jc w:val="center"/>
        </w:trPr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3A39DAC3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78.3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588A39E3" w14:textId="2FC8F6EE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33</w:t>
            </w:r>
            <w:r w:rsidR="00552944" w:rsidRPr="0055294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.0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14:paraId="49DBAB81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566</w:t>
            </w:r>
          </w:p>
        </w:tc>
        <w:tc>
          <w:tcPr>
            <w:tcW w:w="808" w:type="dxa"/>
            <w:shd w:val="clear" w:color="auto" w:fill="DEEAF6" w:themeFill="accent5" w:themeFillTint="33"/>
            <w:noWrap/>
            <w:vAlign w:val="center"/>
            <w:hideMark/>
          </w:tcPr>
          <w:p w14:paraId="0B4F5F3D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197.82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7F0565CC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17.29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0D1F3D9F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028BAFA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625" w:type="dxa"/>
            <w:shd w:val="clear" w:color="auto" w:fill="DEEAF6" w:themeFill="accent5" w:themeFillTint="33"/>
            <w:noWrap/>
            <w:vAlign w:val="center"/>
            <w:hideMark/>
          </w:tcPr>
          <w:p w14:paraId="43DDE6DE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32EEA6A6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087BEA2D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824.67</w:t>
            </w:r>
          </w:p>
        </w:tc>
        <w:tc>
          <w:tcPr>
            <w:tcW w:w="899" w:type="dxa"/>
            <w:shd w:val="clear" w:color="auto" w:fill="auto"/>
            <w:noWrap/>
            <w:vAlign w:val="center"/>
            <w:hideMark/>
          </w:tcPr>
          <w:p w14:paraId="14D378D9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824.67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0FCFCEAA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2" w:type="dxa"/>
            <w:shd w:val="clear" w:color="auto" w:fill="DEEAF6" w:themeFill="accent5" w:themeFillTint="33"/>
            <w:noWrap/>
            <w:vAlign w:val="center"/>
            <w:hideMark/>
          </w:tcPr>
          <w:p w14:paraId="3237FB38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20000</w:t>
            </w:r>
          </w:p>
        </w:tc>
      </w:tr>
      <w:tr w:rsidR="00BE41E3" w:rsidRPr="00552944" w14:paraId="5012AEA4" w14:textId="77777777" w:rsidTr="00BE41E3">
        <w:trPr>
          <w:trHeight w:val="285"/>
          <w:jc w:val="center"/>
        </w:trPr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1C8820AF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2D5AA61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31.5</w:t>
            </w:r>
          </w:p>
        </w:tc>
        <w:tc>
          <w:tcPr>
            <w:tcW w:w="580" w:type="dxa"/>
            <w:shd w:val="clear" w:color="auto" w:fill="auto"/>
            <w:noWrap/>
            <w:vAlign w:val="center"/>
            <w:hideMark/>
          </w:tcPr>
          <w:p w14:paraId="09A2123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29A10C90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256.40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226BC895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6.70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1BFAAE8F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7B0760CA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6519121A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625" w:type="dxa"/>
            <w:shd w:val="clear" w:color="auto" w:fill="auto"/>
            <w:noWrap/>
            <w:vAlign w:val="center"/>
            <w:hideMark/>
          </w:tcPr>
          <w:p w14:paraId="0DD85EDE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1.20</w:t>
            </w:r>
          </w:p>
        </w:tc>
        <w:tc>
          <w:tcPr>
            <w:tcW w:w="808" w:type="dxa"/>
            <w:shd w:val="clear" w:color="auto" w:fill="auto"/>
            <w:noWrap/>
            <w:vAlign w:val="center"/>
            <w:hideMark/>
          </w:tcPr>
          <w:p w14:paraId="40BC21F2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838.96</w:t>
            </w:r>
          </w:p>
        </w:tc>
        <w:tc>
          <w:tcPr>
            <w:tcW w:w="899" w:type="dxa"/>
            <w:shd w:val="clear" w:color="auto" w:fill="auto"/>
            <w:noWrap/>
            <w:vAlign w:val="center"/>
            <w:hideMark/>
          </w:tcPr>
          <w:p w14:paraId="0C6F1CB4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1048.69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1DACEC6D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2" w:type="dxa"/>
            <w:shd w:val="clear" w:color="auto" w:fill="auto"/>
            <w:noWrap/>
            <w:vAlign w:val="center"/>
            <w:hideMark/>
          </w:tcPr>
          <w:p w14:paraId="0DF6CC92" w14:textId="77777777" w:rsidR="009E37ED" w:rsidRPr="009E37ED" w:rsidRDefault="009E37ED" w:rsidP="00534C3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E37E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22361</w:t>
            </w:r>
          </w:p>
        </w:tc>
      </w:tr>
    </w:tbl>
    <w:p w14:paraId="4B3DF8F7" w14:textId="4BC13AE1" w:rsidR="007A4E95" w:rsidRPr="00552944" w:rsidRDefault="007A4E95" w:rsidP="00534C3D">
      <w:pPr>
        <w:jc w:val="both"/>
      </w:pPr>
    </w:p>
    <w:p w14:paraId="1D145FD7" w14:textId="77777777" w:rsidR="00534C3D" w:rsidRDefault="00FC0794" w:rsidP="00534C3D">
      <w:pPr>
        <w:pStyle w:val="ListParagraph"/>
        <w:numPr>
          <w:ilvl w:val="0"/>
          <w:numId w:val="1"/>
        </w:numPr>
        <w:jc w:val="both"/>
      </w:pPr>
      <w:r w:rsidRPr="00552944">
        <w:t xml:space="preserve">As an alternative, using the inlet stagnation density and speed of sound seems to be more realistic because they </w:t>
      </w:r>
      <w:r w:rsidR="00E543F5" w:rsidRPr="00552944">
        <w:t>critical velocity and density are more closely related to these two parameters (at least when the critical state is not in the two-phase region)</w:t>
      </w:r>
    </w:p>
    <w:p w14:paraId="5D8D10F6" w14:textId="34CC4F8B" w:rsidR="00FC0794" w:rsidRDefault="00E543F5" w:rsidP="00534C3D">
      <w:pPr>
        <w:pStyle w:val="ListParagraph"/>
        <w:jc w:val="both"/>
      </w:pPr>
      <w:r w:rsidRPr="00552944">
        <w:rPr>
          <w:noProof/>
        </w:rPr>
        <w:drawing>
          <wp:inline distT="0" distB="0" distL="0" distR="0" wp14:anchorId="4B926809" wp14:editId="25639DE8">
            <wp:extent cx="5937250" cy="2114550"/>
            <wp:effectExtent l="0" t="0" r="6350" b="0"/>
            <wp:docPr id="804899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D688" w14:textId="75A0CC58" w:rsidR="00501C94" w:rsidRDefault="00501C94" w:rsidP="00534C3D">
      <w:pPr>
        <w:pStyle w:val="ListParagraph"/>
        <w:numPr>
          <w:ilvl w:val="0"/>
          <w:numId w:val="1"/>
        </w:numPr>
        <w:jc w:val="both"/>
      </w:pPr>
      <w:r>
        <w:t xml:space="preserve">Using </w:t>
      </w:r>
      <w:r w:rsidR="00114389">
        <w:t xml:space="preserve">the stagnation speed of sound and density to define the equivalent conditions seems more physically consistent and </w:t>
      </w:r>
      <w:r w:rsidR="00534C3D">
        <w:t>yields the anticipated behavior that the critical speed is lower in the more gas-like region.</w:t>
      </w:r>
    </w:p>
    <w:p w14:paraId="3D266502" w14:textId="47DB6DE5" w:rsidR="00534C3D" w:rsidRDefault="004000A2" w:rsidP="00534C3D">
      <w:pPr>
        <w:pStyle w:val="ListParagraph"/>
        <w:numPr>
          <w:ilvl w:val="0"/>
          <w:numId w:val="1"/>
        </w:numPr>
        <w:jc w:val="both"/>
      </w:pPr>
      <w:r>
        <w:t xml:space="preserve">Perhaps, the best way to achieve similarity at the critical condition would be to compute the actual critical condition based on the conservation of stagnation enthalpy and entropy in a </w:t>
      </w:r>
      <w:r w:rsidR="000B3098">
        <w:t>frictionless nozzle with a real fluid. However, I anticipate some challenges:</w:t>
      </w:r>
    </w:p>
    <w:p w14:paraId="36FB739C" w14:textId="048E4893" w:rsidR="000B3098" w:rsidRDefault="000B3098" w:rsidP="000B3098">
      <w:pPr>
        <w:pStyle w:val="ListParagraph"/>
        <w:numPr>
          <w:ilvl w:val="1"/>
          <w:numId w:val="1"/>
        </w:numPr>
        <w:jc w:val="both"/>
      </w:pPr>
      <w:r>
        <w:t>The calculation is not straightforward (requires iterative root finding)</w:t>
      </w:r>
    </w:p>
    <w:p w14:paraId="726C8442" w14:textId="20F2FF6C" w:rsidR="000B3098" w:rsidRDefault="00426C3B" w:rsidP="000B3098">
      <w:pPr>
        <w:pStyle w:val="ListParagraph"/>
        <w:numPr>
          <w:ilvl w:val="1"/>
          <w:numId w:val="1"/>
        </w:numPr>
        <w:jc w:val="both"/>
      </w:pPr>
      <w:r>
        <w:t xml:space="preserve">The critical state might be less representative </w:t>
      </w:r>
      <w:r w:rsidR="00FD61E6">
        <w:t xml:space="preserve">of the conditions within the compressor/turbine </w:t>
      </w:r>
      <w:r>
        <w:t>than the stagnation s</w:t>
      </w:r>
      <w:r w:rsidR="00FD61E6">
        <w:t xml:space="preserve">tate? </w:t>
      </w:r>
      <w:r w:rsidR="00FD61E6" w:rsidRPr="00FD61E6">
        <w:rPr>
          <w:highlight w:val="yellow"/>
        </w:rPr>
        <w:t>Discuss and clarify.</w:t>
      </w:r>
    </w:p>
    <w:p w14:paraId="46A0CD5F" w14:textId="46FA444B" w:rsidR="00FD61E6" w:rsidRDefault="00FD61E6" w:rsidP="000B3098">
      <w:pPr>
        <w:pStyle w:val="ListParagraph"/>
        <w:numPr>
          <w:ilvl w:val="1"/>
          <w:numId w:val="1"/>
        </w:numPr>
        <w:jc w:val="both"/>
      </w:pPr>
      <w:r>
        <w:t>The critical state might fall within the two-phase region. In this case it is clear that the sonic state and the sonic speed of sound is clearly not representative of the actual fluid states within the compressor.</w:t>
      </w:r>
    </w:p>
    <w:p w14:paraId="345520EA" w14:textId="77777777" w:rsidR="00D4307F" w:rsidRDefault="009F4BD1" w:rsidP="000B3098">
      <w:pPr>
        <w:pStyle w:val="ListParagraph"/>
        <w:numPr>
          <w:ilvl w:val="1"/>
          <w:numId w:val="1"/>
        </w:numPr>
        <w:jc w:val="both"/>
      </w:pPr>
      <w:r>
        <w:t xml:space="preserve">Calculations based on the sonic state assume that the flow is isentropic, when in fact it is never the case. Is this a limitation? Or it does not really matter as it is only used as a scaling variable </w:t>
      </w:r>
      <w:r w:rsidR="00D4307F">
        <w:t>and its value does not really matter?</w:t>
      </w:r>
    </w:p>
    <w:p w14:paraId="7707CEED" w14:textId="543065C2" w:rsidR="009F4BD1" w:rsidRPr="00552944" w:rsidRDefault="00D4307F" w:rsidP="000B3098">
      <w:pPr>
        <w:pStyle w:val="ListParagraph"/>
        <w:numPr>
          <w:ilvl w:val="1"/>
          <w:numId w:val="1"/>
        </w:numPr>
        <w:jc w:val="both"/>
      </w:pPr>
      <w:r>
        <w:t>If it does not matter, why bother at all? It probably matters to some extent, but if the efficiency of the machine is high enough the effect is probably marginal.</w:t>
      </w:r>
    </w:p>
    <w:sectPr w:rsidR="009F4BD1" w:rsidRPr="00552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727B6"/>
    <w:multiLevelType w:val="hybridMultilevel"/>
    <w:tmpl w:val="49906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52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B5"/>
    <w:rsid w:val="00001F2E"/>
    <w:rsid w:val="00041FF6"/>
    <w:rsid w:val="00086BA9"/>
    <w:rsid w:val="000B3098"/>
    <w:rsid w:val="00114389"/>
    <w:rsid w:val="00144D9C"/>
    <w:rsid w:val="001700B5"/>
    <w:rsid w:val="00182E12"/>
    <w:rsid w:val="002C38FB"/>
    <w:rsid w:val="004000A2"/>
    <w:rsid w:val="004200B7"/>
    <w:rsid w:val="00426C3B"/>
    <w:rsid w:val="00501C94"/>
    <w:rsid w:val="00534C3D"/>
    <w:rsid w:val="00551057"/>
    <w:rsid w:val="00552944"/>
    <w:rsid w:val="00730F3C"/>
    <w:rsid w:val="007A4E95"/>
    <w:rsid w:val="00987015"/>
    <w:rsid w:val="009E37ED"/>
    <w:rsid w:val="009F4BD1"/>
    <w:rsid w:val="00BE41E3"/>
    <w:rsid w:val="00C2402E"/>
    <w:rsid w:val="00C47BDB"/>
    <w:rsid w:val="00CC4F4A"/>
    <w:rsid w:val="00D4307F"/>
    <w:rsid w:val="00E50778"/>
    <w:rsid w:val="00E543F5"/>
    <w:rsid w:val="00FC0794"/>
    <w:rsid w:val="00FD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F635"/>
  <w15:chartTrackingRefBased/>
  <w15:docId w15:val="{BCFF5BB3-7256-4521-8CE9-6078B0E3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464</Words>
  <Characters>2650</Characters>
  <Application>Microsoft Office Word</Application>
  <DocSecurity>0</DocSecurity>
  <Lines>22</Lines>
  <Paragraphs>6</Paragraphs>
  <ScaleCrop>false</ScaleCrop>
  <Company>TECHNICAL UNIVERSITY OF DENMARK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Agromayor</dc:creator>
  <cp:keywords/>
  <dc:description/>
  <cp:lastModifiedBy>Roberto Agromayor</cp:lastModifiedBy>
  <cp:revision>29</cp:revision>
  <dcterms:created xsi:type="dcterms:W3CDTF">2023-11-26T11:39:00Z</dcterms:created>
  <dcterms:modified xsi:type="dcterms:W3CDTF">2023-11-26T12:06:00Z</dcterms:modified>
</cp:coreProperties>
</file>