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Lars Gustafsson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