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AC2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Politecnico di Milano</w:t>
      </w:r>
    </w:p>
    <w:p w14:paraId="7C7BEE0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</w:p>
    <w:p w14:paraId="3968AE62" w14:textId="4FD80484" w:rsidR="00014536" w:rsidRPr="007F002E" w:rsidRDefault="007C19E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 xml:space="preserve">Prova finale: </w:t>
      </w:r>
      <w:r w:rsidR="007C2AD8" w:rsidRPr="007F002E">
        <w:rPr>
          <w:rFonts w:ascii="Arial" w:hAnsi="Arial" w:cs="Arial"/>
          <w:b/>
        </w:rPr>
        <w:t xml:space="preserve">Introduzione </w:t>
      </w:r>
      <w:r w:rsidRPr="007F002E">
        <w:rPr>
          <w:rFonts w:ascii="Arial" w:hAnsi="Arial" w:cs="Arial"/>
          <w:b/>
        </w:rPr>
        <w:t>all’analisi di missioni spaziali</w:t>
      </w:r>
    </w:p>
    <w:p w14:paraId="7FF6C608" w14:textId="3C1EB46A" w:rsidR="00014536" w:rsidRPr="007F002E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7F002E">
        <w:rPr>
          <w:rFonts w:ascii="Arial" w:hAnsi="Arial" w:cs="Arial"/>
          <w:sz w:val="20"/>
          <w:szCs w:val="20"/>
        </w:rPr>
        <w:t>AA 20</w:t>
      </w:r>
      <w:r w:rsidR="00412FAC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2</w:t>
      </w:r>
      <w:r w:rsidRPr="007F002E">
        <w:rPr>
          <w:rFonts w:ascii="Arial" w:hAnsi="Arial" w:cs="Arial"/>
          <w:sz w:val="20"/>
          <w:szCs w:val="20"/>
        </w:rPr>
        <w:t>-20</w:t>
      </w:r>
      <w:r w:rsidR="00461ECF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7F002E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Docent</w:t>
      </w:r>
      <w:r w:rsidR="007C19E6" w:rsidRPr="007F002E">
        <w:rPr>
          <w:rFonts w:ascii="Arial" w:hAnsi="Arial" w:cs="Arial"/>
          <w:b/>
        </w:rPr>
        <w:t>e</w:t>
      </w:r>
      <w:r w:rsidRPr="007F002E">
        <w:rPr>
          <w:rFonts w:ascii="Arial" w:hAnsi="Arial" w:cs="Arial"/>
          <w:b/>
        </w:rPr>
        <w:t>:</w:t>
      </w:r>
    </w:p>
    <w:p w14:paraId="53F39264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  <w:color w:val="999999"/>
        </w:rPr>
        <w:t xml:space="preserve">cognome </w:t>
      </w:r>
    </w:p>
    <w:p w14:paraId="4243ED5B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F002E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7F002E">
        <w:rPr>
          <w:rFonts w:ascii="Arial" w:hAnsi="Arial" w:cs="Arial"/>
          <w:b/>
          <w:sz w:val="48"/>
          <w:szCs w:val="48"/>
        </w:rPr>
        <w:t>n.</w:t>
      </w:r>
    </w:p>
    <w:p w14:paraId="348A5821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461ECF">
        <w:rPr>
          <w:rFonts w:ascii="Arial" w:hAnsi="Arial" w:cs="Arial"/>
          <w:b/>
          <w:color w:val="999999"/>
          <w:sz w:val="48"/>
          <w:szCs w:val="48"/>
        </w:rPr>
        <w:t>Codice elaborato</w:t>
      </w:r>
    </w:p>
    <w:p w14:paraId="3A63AFBF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10F0E399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045828E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2D20E984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62AB460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4F2A1389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1C3C5DBE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69C8B0A" w14:textId="77777777" w:rsidR="0076585F" w:rsidRPr="007F002E" w:rsidRDefault="0076585F" w:rsidP="0076585F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7F002E">
        <w:rPr>
          <w:rFonts w:ascii="Arial" w:hAnsi="Arial" w:cs="Arial"/>
          <w:b/>
          <w:sz w:val="36"/>
          <w:szCs w:val="36"/>
        </w:rPr>
        <w:t xml:space="preserve">Data di consegna: </w:t>
      </w:r>
      <w:r w:rsidRPr="007F002E">
        <w:rPr>
          <w:rFonts w:ascii="Arial" w:hAnsi="Arial" w:cs="Arial"/>
          <w:b/>
          <w:color w:val="999999"/>
          <w:sz w:val="36"/>
          <w:szCs w:val="36"/>
        </w:rPr>
        <w:t>gg/mm/aa</w:t>
      </w:r>
    </w:p>
    <w:p w14:paraId="3E8EC298" w14:textId="77777777" w:rsidR="00014536" w:rsidRPr="007F002E" w:rsidRDefault="00014536" w:rsidP="00014536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</w:p>
    <w:p w14:paraId="05CC1165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  <w:sectPr w:rsidR="00014536" w:rsidRPr="007F002E" w:rsidSect="002D3154"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0C410CF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F002E">
        <w:rPr>
          <w:rFonts w:ascii="Arial" w:hAnsi="Arial" w:cs="Arial"/>
          <w:b/>
          <w:sz w:val="48"/>
          <w:szCs w:val="48"/>
        </w:rPr>
        <w:br w:type="page"/>
      </w:r>
    </w:p>
    <w:p w14:paraId="7BD2D471" w14:textId="383AAC62" w:rsidR="009C2641" w:rsidRPr="00176D09" w:rsidRDefault="0073725B" w:rsidP="00176D09">
      <w:pPr>
        <w:pStyle w:val="Titolo1"/>
        <w:rPr>
          <w:lang w:val="en-GB"/>
        </w:rPr>
      </w:pPr>
      <w:r w:rsidRPr="00176D09">
        <w:rPr>
          <w:lang w:val="en-GB"/>
        </w:rPr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035EFCED" w14:textId="514B6BA7" w:rsidR="00324A9B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556DD695" w14:textId="4DE52640" w:rsidR="00324A9B" w:rsidRDefault="00324A9B" w:rsidP="009C2641">
      <w:pPr>
        <w:tabs>
          <w:tab w:val="left" w:pos="540"/>
        </w:tabs>
        <w:rPr>
          <w:lang w:val="en-GB"/>
        </w:rPr>
      </w:pPr>
    </w:p>
    <w:p w14:paraId="6AF93712" w14:textId="75C294DD" w:rsidR="00324A9B" w:rsidRDefault="00324A9B" w:rsidP="009C2641">
      <w:pPr>
        <w:tabs>
          <w:tab w:val="left" w:pos="540"/>
        </w:tabs>
        <w:rPr>
          <w:lang w:val="en-GB"/>
        </w:rPr>
      </w:pPr>
    </w:p>
    <w:p w14:paraId="7DA256C0" w14:textId="3238E38B" w:rsidR="00324A9B" w:rsidRPr="007F002E" w:rsidRDefault="001D5E31" w:rsidP="007F002E">
      <w:pPr>
        <w:tabs>
          <w:tab w:val="left" w:pos="540"/>
        </w:tabs>
        <w:jc w:val="both"/>
        <w:rPr>
          <w:b/>
          <w:color w:val="FF0000"/>
          <w:lang w:val="en-GB"/>
        </w:rPr>
      </w:pPr>
      <w:r w:rsidRPr="007F002E">
        <w:rPr>
          <w:b/>
          <w:color w:val="FF0000"/>
          <w:lang w:val="en-GB"/>
        </w:rPr>
        <w:t>Important:</w:t>
      </w:r>
    </w:p>
    <w:p w14:paraId="54A0B89C" w14:textId="5C5EB924" w:rsidR="00324A9B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The text in red and grey font is given to ease understanding the contents of the report. Make sure it is removed before delivering your report.</w:t>
      </w:r>
    </w:p>
    <w:p w14:paraId="38F18FCB" w14:textId="53A18752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 xml:space="preserve">Make sure your report is no longer than 8 pages (from Section 1 to </w:t>
      </w:r>
      <w:r w:rsidR="00F00B69">
        <w:rPr>
          <w:i/>
          <w:lang w:val="en-GB"/>
        </w:rPr>
        <w:t>Section 5</w:t>
      </w:r>
      <w:r>
        <w:rPr>
          <w:i/>
          <w:lang w:val="en-GB"/>
        </w:rPr>
        <w:t xml:space="preserve"> included)</w:t>
      </w:r>
    </w:p>
    <w:p w14:paraId="45915A04" w14:textId="1950AB3D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Use your space to describe the work performed; do not explain the theory!</w:t>
      </w:r>
    </w:p>
    <w:p w14:paraId="46C5F2AA" w14:textId="4DF9A567" w:rsidR="001D5E31" w:rsidRPr="007F002E" w:rsidRDefault="001D5E31" w:rsidP="007F002E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Make sure the table in the Appendix is properly filled to allow an independent reproduction of your results.</w:t>
      </w:r>
    </w:p>
    <w:p w14:paraId="3D140555" w14:textId="1EBF2C30" w:rsidR="00324A9B" w:rsidRDefault="00324A9B" w:rsidP="009C2641">
      <w:pPr>
        <w:tabs>
          <w:tab w:val="left" w:pos="540"/>
        </w:tabs>
        <w:rPr>
          <w:lang w:val="en-GB"/>
        </w:rPr>
      </w:pPr>
    </w:p>
    <w:p w14:paraId="387BA674" w14:textId="77777777" w:rsidR="005F2226" w:rsidRPr="00176D09" w:rsidRDefault="005F2226" w:rsidP="009C2641">
      <w:pPr>
        <w:tabs>
          <w:tab w:val="left" w:pos="540"/>
        </w:tabs>
        <w:rPr>
          <w:lang w:val="en-GB"/>
        </w:rPr>
      </w:pPr>
    </w:p>
    <w:p w14:paraId="53CED273" w14:textId="77777777" w:rsidR="005F2226" w:rsidRDefault="005F2226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  <w:sectPr w:rsidR="005F2226" w:rsidSect="00014536">
          <w:type w:val="continuous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2B32D33" w14:textId="0E70B868" w:rsidR="007651E6" w:rsidRPr="00176D09" w:rsidRDefault="007651E6" w:rsidP="007651E6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1.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6E0F8010" w14:textId="438BC965" w:rsidR="007651E6" w:rsidRDefault="007651E6" w:rsidP="007651E6">
      <w:pPr>
        <w:jc w:val="both"/>
        <w:rPr>
          <w:color w:val="999999"/>
          <w:lang w:val="en-GB"/>
        </w:rPr>
      </w:pPr>
      <w:r w:rsidRPr="00176D09">
        <w:rPr>
          <w:color w:val="999999"/>
          <w:lang w:val="en-GB"/>
        </w:rPr>
        <w:t>Briefly describe the purpose of the assignment and how the team performed the activity and prepar</w:t>
      </w:r>
      <w:r w:rsidR="00DA48AB" w:rsidRPr="00176D09">
        <w:rPr>
          <w:color w:val="999999"/>
          <w:lang w:val="en-GB"/>
        </w:rPr>
        <w:t>ed the report and presentation.</w:t>
      </w:r>
    </w:p>
    <w:p w14:paraId="64B9F4F1" w14:textId="4CF6A5CE" w:rsidR="006C2095" w:rsidRDefault="006C2095" w:rsidP="007651E6">
      <w:pPr>
        <w:jc w:val="both"/>
        <w:rPr>
          <w:color w:val="999999"/>
          <w:lang w:val="en-GB"/>
        </w:rPr>
      </w:pPr>
    </w:p>
    <w:p w14:paraId="2D43AB06" w14:textId="77777777" w:rsidR="006C2095" w:rsidRPr="00176D09" w:rsidRDefault="006C2095" w:rsidP="007651E6">
      <w:pPr>
        <w:jc w:val="both"/>
        <w:rPr>
          <w:color w:val="999999"/>
          <w:lang w:val="en-GB"/>
        </w:rPr>
      </w:pPr>
    </w:p>
    <w:p w14:paraId="63B0E783" w14:textId="77777777" w:rsidR="009C2641" w:rsidRPr="00176D09" w:rsidRDefault="009C2641" w:rsidP="009C2641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lang w:val="en-GB"/>
        </w:rPr>
        <w:br w:type="page"/>
      </w:r>
      <w:r w:rsidR="007651E6"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2</w:t>
      </w:r>
      <w:r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.1</w:t>
      </w: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.2</w:t>
      </w: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77777777" w:rsidR="00796C73" w:rsidRPr="00176D09" w:rsidRDefault="007651E6" w:rsidP="00796C73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796C73" w:rsidRPr="00176D09">
        <w:rPr>
          <w:b/>
          <w:lang w:val="en-GB"/>
        </w:rPr>
        <w:t>.3</w:t>
      </w:r>
    </w:p>
    <w:p w14:paraId="12C5E3F0" w14:textId="220F6A44" w:rsidR="009C2641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446C893F" w14:textId="12DA07DD" w:rsidR="006C2095" w:rsidRDefault="006C2095" w:rsidP="009C2641">
      <w:pPr>
        <w:rPr>
          <w:color w:val="999999"/>
          <w:lang w:val="en-GB"/>
        </w:rPr>
      </w:pPr>
    </w:p>
    <w:p w14:paraId="516C51D2" w14:textId="77777777" w:rsidR="006C2095" w:rsidRPr="00176D09" w:rsidRDefault="006C2095" w:rsidP="009C2641">
      <w:pPr>
        <w:rPr>
          <w:color w:val="999999"/>
          <w:lang w:val="en-GB"/>
        </w:rPr>
      </w:pPr>
    </w:p>
    <w:p w14:paraId="4CC62F13" w14:textId="77777777" w:rsidR="00C47EB3" w:rsidRPr="00176D09" w:rsidRDefault="009C2641" w:rsidP="00C47EB3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lang w:val="en-GB"/>
        </w:rPr>
        <w:br w:type="page"/>
      </w:r>
      <w:r w:rsidR="007651E6"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3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ab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C47EB3" w:rsidRPr="00176D09">
        <w:rPr>
          <w:b/>
          <w:lang w:val="en-GB"/>
        </w:rPr>
        <w:t>.1</w:t>
      </w: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77777777" w:rsidR="00A27953" w:rsidRPr="00176D09" w:rsidRDefault="007651E6" w:rsidP="00A2795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.2</w:t>
      </w: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.3</w:t>
      </w:r>
    </w:p>
    <w:p w14:paraId="35BDF0B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52C773D1" w14:textId="1804E132" w:rsidR="00C47EB3" w:rsidRDefault="00C47EB3" w:rsidP="00C47EB3">
      <w:pPr>
        <w:rPr>
          <w:b/>
          <w:lang w:val="en-GB"/>
        </w:rPr>
      </w:pPr>
    </w:p>
    <w:p w14:paraId="0E3FF0BE" w14:textId="77777777" w:rsidR="006C2095" w:rsidRPr="00176D09" w:rsidRDefault="006C2095" w:rsidP="00C47EB3">
      <w:pPr>
        <w:rPr>
          <w:b/>
          <w:lang w:val="en-GB"/>
        </w:rPr>
      </w:pPr>
    </w:p>
    <w:p w14:paraId="48B2F7A3" w14:textId="77777777" w:rsidR="00C47EB3" w:rsidRPr="00176D09" w:rsidRDefault="00C47EB3" w:rsidP="00C47EB3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lang w:val="en-GB"/>
        </w:rPr>
        <w:br w:type="page"/>
      </w:r>
      <w:r w:rsidR="007651E6"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4</w:t>
      </w:r>
      <w:r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7BACBFA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.1</w:t>
      </w:r>
    </w:p>
    <w:p w14:paraId="2D41769C" w14:textId="77777777" w:rsidR="00C47EB3" w:rsidRPr="00176D09" w:rsidRDefault="00C47EB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how the final </w:t>
      </w:r>
      <w:r w:rsidR="0073725B" w:rsidRPr="00176D09">
        <w:rPr>
          <w:color w:val="999999"/>
          <w:lang w:val="en-GB"/>
        </w:rPr>
        <w:t>position and velocity</w:t>
      </w:r>
      <w:r w:rsidRPr="00176D09">
        <w:rPr>
          <w:color w:val="999999"/>
          <w:lang w:val="en-GB"/>
        </w:rPr>
        <w:t xml:space="preserve"> can be achieved, starting from the initial orbit.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.2</w:t>
      </w:r>
    </w:p>
    <w:p w14:paraId="28EB315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.3</w:t>
      </w:r>
    </w:p>
    <w:p w14:paraId="76446C2F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39F742C8" w14:textId="460357A1" w:rsidR="00C47EB3" w:rsidRDefault="00C47EB3" w:rsidP="00C47EB3">
      <w:pPr>
        <w:rPr>
          <w:lang w:val="en-GB"/>
        </w:rPr>
      </w:pPr>
    </w:p>
    <w:p w14:paraId="09459495" w14:textId="77777777" w:rsidR="006C2095" w:rsidRPr="00176D09" w:rsidRDefault="006C2095" w:rsidP="00C47EB3">
      <w:pPr>
        <w:rPr>
          <w:lang w:val="en-GB"/>
        </w:rPr>
      </w:pPr>
    </w:p>
    <w:p w14:paraId="5DC9C84C" w14:textId="77777777" w:rsidR="00081C4D" w:rsidRPr="00176D09" w:rsidRDefault="009E7E74" w:rsidP="009C2641">
      <w:pPr>
        <w:rPr>
          <w:rFonts w:ascii="Arial" w:hAnsi="Arial" w:cs="Arial"/>
          <w:b/>
          <w:sz w:val="32"/>
          <w:lang w:val="en-GB"/>
        </w:rPr>
      </w:pPr>
      <w:r w:rsidRPr="00176D09">
        <w:rPr>
          <w:lang w:val="en-GB"/>
        </w:rPr>
        <w:br w:type="page"/>
      </w:r>
      <w:r w:rsidRPr="00176D09">
        <w:rPr>
          <w:rFonts w:ascii="Arial" w:hAnsi="Arial" w:cs="Arial"/>
          <w:b/>
          <w:sz w:val="32"/>
          <w:lang w:val="en-GB"/>
        </w:rPr>
        <w:lastRenderedPageBreak/>
        <w:t>5.</w:t>
      </w:r>
      <w:r w:rsidRPr="00176D09">
        <w:rPr>
          <w:rFonts w:ascii="Arial" w:hAnsi="Arial" w:cs="Arial"/>
          <w:b/>
          <w:sz w:val="32"/>
          <w:lang w:val="en-GB"/>
        </w:rPr>
        <w:tab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6947AEB5" w14:textId="4D61CA7B" w:rsidR="001D5E31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3BA1ACEC" w14:textId="4473A437" w:rsidR="006C2095" w:rsidRDefault="006C2095" w:rsidP="001D5E31">
      <w:pPr>
        <w:rPr>
          <w:color w:val="999999"/>
          <w:lang w:val="en-GB"/>
        </w:rPr>
      </w:pPr>
    </w:p>
    <w:p w14:paraId="236F9A97" w14:textId="77777777" w:rsidR="006C2095" w:rsidRPr="00176D09" w:rsidRDefault="006C2095" w:rsidP="001D5E31">
      <w:pPr>
        <w:rPr>
          <w:lang w:val="en-GB"/>
        </w:rPr>
      </w:pPr>
    </w:p>
    <w:p w14:paraId="07231532" w14:textId="1547BCBD" w:rsidR="001D5E31" w:rsidRPr="00176D09" w:rsidRDefault="001D5E31" w:rsidP="001D5E31">
      <w:pPr>
        <w:rPr>
          <w:rFonts w:ascii="Arial" w:hAnsi="Arial" w:cs="Arial"/>
          <w:b/>
          <w:sz w:val="32"/>
          <w:lang w:val="en-GB"/>
        </w:rPr>
      </w:pPr>
      <w:r w:rsidRPr="00176D09">
        <w:rPr>
          <w:lang w:val="en-GB"/>
        </w:rPr>
        <w:br w:type="page"/>
      </w:r>
      <w:r>
        <w:rPr>
          <w:rFonts w:ascii="Arial" w:hAnsi="Arial" w:cs="Arial"/>
          <w:b/>
          <w:sz w:val="32"/>
          <w:lang w:val="en-GB"/>
        </w:rPr>
        <w:lastRenderedPageBreak/>
        <w:t>6</w:t>
      </w:r>
      <w:r w:rsidRPr="00176D09">
        <w:rPr>
          <w:rFonts w:ascii="Arial" w:hAnsi="Arial" w:cs="Arial"/>
          <w:b/>
          <w:sz w:val="32"/>
          <w:lang w:val="en-GB"/>
        </w:rPr>
        <w:t>.</w:t>
      </w:r>
      <w:r w:rsidRPr="00176D09">
        <w:rPr>
          <w:rFonts w:ascii="Arial" w:hAnsi="Arial" w:cs="Arial"/>
          <w:b/>
          <w:sz w:val="32"/>
          <w:lang w:val="en-GB"/>
        </w:rPr>
        <w:tab/>
      </w:r>
      <w:r>
        <w:rPr>
          <w:rFonts w:ascii="Arial" w:hAnsi="Arial" w:cs="Arial"/>
          <w:b/>
          <w:sz w:val="32"/>
          <w:lang w:val="en-GB"/>
        </w:rPr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6A8F35B7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proofErr w:type="spellStart"/>
      <w:r w:rsidR="005D4CA5" w:rsidRPr="005D4CA5">
        <w:rPr>
          <w:color w:val="999999"/>
          <w:lang w:val="en-GB"/>
        </w:rPr>
        <w:t>maneuvers</w:t>
      </w:r>
      <w:proofErr w:type="spellEnd"/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7F002E">
        <w:rPr>
          <w:color w:val="FF0000"/>
          <w:lang w:val="en-GB"/>
        </w:rPr>
        <w:t>Δv</w:t>
      </w:r>
      <w:r w:rsidR="005D4CA5" w:rsidRPr="007F002E">
        <w:rPr>
          <w:color w:val="FF0000"/>
          <w:vertAlign w:val="subscript"/>
          <w:lang w:val="en-GB"/>
        </w:rPr>
        <w:t>i</w:t>
      </w:r>
      <w:proofErr w:type="spellEnd"/>
      <w:r w:rsidR="005D4CA5" w:rsidRPr="007F002E">
        <w:rPr>
          <w:color w:val="FF0000"/>
          <w:lang w:val="en-GB"/>
        </w:rPr>
        <w:t>.</w:t>
      </w:r>
    </w:p>
    <w:p w14:paraId="4511FA51" w14:textId="77777777" w:rsidR="005D4CA5" w:rsidRPr="007F002E" w:rsidRDefault="005D4CA5" w:rsidP="001D5E31">
      <w:pPr>
        <w:rPr>
          <w:color w:val="999999"/>
          <w:lang w:val="en-GB"/>
        </w:rPr>
      </w:pPr>
    </w:p>
    <w:p w14:paraId="46CE9AD2" w14:textId="50EF0B6D" w:rsidR="001D5E31" w:rsidRPr="007F002E" w:rsidRDefault="005D4CA5" w:rsidP="001D5E31">
      <w:pPr>
        <w:rPr>
          <w:b/>
          <w:lang w:val="en-GB"/>
        </w:rPr>
      </w:pPr>
      <w:r w:rsidRPr="007F002E">
        <w:rPr>
          <w:b/>
          <w:lang w:val="en-GB"/>
        </w:rPr>
        <w:t>Transfer 1</w:t>
      </w:r>
      <w:r w:rsidR="00E06BB0">
        <w:rPr>
          <w:b/>
          <w:lang w:val="en-GB"/>
        </w:rPr>
        <w:t xml:space="preserve"> (standard strategy)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280EB6" w14:paraId="174B4BF4" w14:textId="1382F545" w:rsidTr="00D14DFA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55F351E" w:rsidR="00280EB6" w:rsidRPr="007F002E" w:rsidRDefault="00280EB6" w:rsidP="001D5E31">
            <w:pPr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i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00857062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1A3500B9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7E69779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θ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22081BF4" w14:textId="04E6ADEA" w:rsidR="00280EB6" w:rsidRPr="007F002E" w:rsidRDefault="009357DB" w:rsidP="007F002E">
            <w:pPr>
              <w:ind w:left="-57"/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Δv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k</w:t>
            </w:r>
            <w:r w:rsidRPr="007F002E">
              <w:rPr>
                <w:lang w:val="en-GB"/>
              </w:rPr>
              <w:t>m/s)</w:t>
            </w:r>
          </w:p>
        </w:tc>
      </w:tr>
      <w:tr w:rsidR="009357DB" w14:paraId="2F498706" w14:textId="2333A9B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EAD88D0" w14:textId="75CB5514" w:rsidR="009357DB" w:rsidRDefault="009357DB" w:rsidP="0025616A">
            <w:pPr>
              <w:rPr>
                <w:color w:val="999999"/>
                <w:lang w:val="en-GB"/>
              </w:rPr>
            </w:pPr>
            <w:r w:rsidRPr="007F002E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F002E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7F002E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F002E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1002E5FE" w14:textId="6A197E49" w:rsidR="009357DB" w:rsidRPr="00AE4208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9357DB" w14:paraId="2B612BDD" w14:textId="5F11F2F7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2CDC2ED" w14:textId="3E9E7C1F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A2E491" w14:textId="343B660D" w:rsidR="009357DB" w:rsidRPr="009357DB" w:rsidRDefault="009357DB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9DC8C2F" w14:textId="670814AD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F002E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66DC138" w14:textId="58840865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1EFEDB02" w14:textId="574F06DA" w:rsidR="009357DB" w:rsidRDefault="009357DB" w:rsidP="007F002E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025EB25C" w14:textId="6FBEBF30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D06632" w14:paraId="547C74B1" w14:textId="25D3ABFE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8CA27B3" w14:textId="7551EE69" w:rsidR="00D06632" w:rsidRPr="007F002E" w:rsidRDefault="00D06632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2D95398E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311C87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47A0897" w14:textId="18AA8881" w:rsidR="00D06632" w:rsidRPr="007F002E" w:rsidRDefault="00D06632" w:rsidP="007F002E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7F002E">
              <w:rPr>
                <w:i/>
                <w:color w:val="FF0000"/>
                <w:lang w:val="en-GB"/>
              </w:rPr>
              <w:t>…</w:t>
            </w:r>
          </w:p>
        </w:tc>
      </w:tr>
      <w:tr w:rsidR="00D06632" w14:paraId="7468FF84" w14:textId="4B7EDFBF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5958856" w14:textId="3DBCA878" w:rsidR="00D06632" w:rsidRPr="007F002E" w:rsidRDefault="00D06632" w:rsidP="0025616A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50CDCA83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450B0B04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5D5A86CA" w14:textId="77777777" w:rsidR="00D06632" w:rsidRDefault="00D06632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97DF822" w14:textId="7A877FCE" w:rsidR="00280EB6" w:rsidRDefault="00280EB6" w:rsidP="0025616A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2F1EFF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7A0B6EE4" w14:textId="6F0EA2F0" w:rsidR="00280EB6" w:rsidRPr="00E06BB0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6399B5B6" w14:textId="04FC288D" w:rsidR="009E7E74" w:rsidRDefault="009E7E74" w:rsidP="001D5E31">
      <w:pPr>
        <w:rPr>
          <w:color w:val="999999"/>
          <w:lang w:val="en-GB"/>
        </w:rPr>
      </w:pPr>
    </w:p>
    <w:p w14:paraId="58AC4ADD" w14:textId="49D8A1B8" w:rsidR="005464BF" w:rsidRDefault="005464BF" w:rsidP="001D5E31">
      <w:pPr>
        <w:rPr>
          <w:color w:val="999999"/>
          <w:lang w:val="en-GB"/>
        </w:rPr>
      </w:pPr>
    </w:p>
    <w:p w14:paraId="16C0FE4A" w14:textId="543DA51C" w:rsidR="00E06BB0" w:rsidRPr="007F002E" w:rsidRDefault="00E06BB0" w:rsidP="001D5E31">
      <w:pPr>
        <w:rPr>
          <w:b/>
          <w:lang w:val="en-GB"/>
        </w:rPr>
      </w:pPr>
      <w:r w:rsidRPr="00A914E7">
        <w:rPr>
          <w:b/>
          <w:lang w:val="en-GB"/>
        </w:rPr>
        <w:t xml:space="preserve">Transfer </w:t>
      </w:r>
      <w:r>
        <w:rPr>
          <w:b/>
          <w:lang w:val="en-GB"/>
        </w:rPr>
        <w:t>2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547627" w14:paraId="23AE763D" w14:textId="77777777" w:rsidTr="00A914E7">
        <w:tc>
          <w:tcPr>
            <w:tcW w:w="709" w:type="dxa"/>
            <w:tcBorders>
              <w:right w:val="single" w:sz="4" w:space="0" w:color="auto"/>
            </w:tcBorders>
          </w:tcPr>
          <w:p w14:paraId="615C6525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0A1184E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2F2E3656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1AE75E75" w14:textId="77777777" w:rsidR="00547627" w:rsidRPr="00A914E7" w:rsidRDefault="00547627" w:rsidP="00A914E7">
            <w:pPr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i</w:t>
            </w:r>
            <w:proofErr w:type="spellEnd"/>
            <w:r w:rsidRPr="00A914E7">
              <w:rPr>
                <w:lang w:val="en-GB"/>
              </w:rPr>
              <w:t xml:space="preserve"> (rad)</w:t>
            </w:r>
          </w:p>
        </w:tc>
        <w:tc>
          <w:tcPr>
            <w:tcW w:w="1312" w:type="dxa"/>
          </w:tcPr>
          <w:p w14:paraId="391F607B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2" w:type="dxa"/>
          </w:tcPr>
          <w:p w14:paraId="03C52E72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E938423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θ (rad)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3C40F973" w14:textId="77777777" w:rsidR="00547627" w:rsidRPr="00A914E7" w:rsidRDefault="00547627" w:rsidP="00A914E7">
            <w:pPr>
              <w:ind w:left="-57"/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Δv</w:t>
            </w:r>
            <w:proofErr w:type="spellEnd"/>
            <w:r w:rsidRPr="00A914E7">
              <w:rPr>
                <w:lang w:val="en-GB"/>
              </w:rPr>
              <w:t xml:space="preserve"> (km/s)</w:t>
            </w:r>
          </w:p>
        </w:tc>
      </w:tr>
      <w:tr w:rsidR="00547627" w14:paraId="377B52AB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6FAC43E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D4786AC" w14:textId="77777777" w:rsidR="00547627" w:rsidRPr="00A914E7" w:rsidRDefault="00547627" w:rsidP="00A914E7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A914E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A914E7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0C0629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63771731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6AC1A4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21D517DE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016AA8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5C655BB0" w14:textId="77777777" w:rsidR="00547627" w:rsidRPr="00AE4208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547627" w14:paraId="7AA97498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111F3AE6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62335A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FCF7A4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591D6D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6ECF8E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C14E81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917B89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10EEE4" w14:textId="77777777" w:rsidR="00547627" w:rsidRPr="009357DB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547627" w14:paraId="05701CD0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51EAEE44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CC39B1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720B86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D4E864D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8833E18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6DF1FD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7A84E4E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ED1106F" w14:textId="77777777" w:rsidR="00547627" w:rsidRDefault="00547627" w:rsidP="00A914E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547627" w14:paraId="42724934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90E0AAA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ABBF0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47178846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6CD3B1C7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0582305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04436E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3FA3B30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61BD9E64" w14:textId="77777777" w:rsidR="00547627" w:rsidRDefault="00547627" w:rsidP="00A914E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547627" w14:paraId="1C1D3865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356F38CB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6E2829D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3AB983B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9FF1D01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B08B68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84F735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B07EA8F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9BE144A" w14:textId="77777777" w:rsidR="00547627" w:rsidRDefault="00547627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0E5C42" w14:paraId="1E2D1C77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2809488B" w14:textId="410E4A68" w:rsidR="000E5C42" w:rsidRPr="00A914E7" w:rsidRDefault="000E5C42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730CBC6" w14:textId="7ECBDEC8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6062525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CC01D0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6E6EB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49945E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1AB0D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25FE0C5D" w14:textId="77777777" w:rsidR="000E5C42" w:rsidRPr="00A914E7" w:rsidRDefault="000E5C42" w:rsidP="00A914E7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A914E7">
              <w:rPr>
                <w:i/>
                <w:color w:val="FF0000"/>
                <w:lang w:val="en-GB"/>
              </w:rPr>
              <w:t>…</w:t>
            </w:r>
          </w:p>
        </w:tc>
      </w:tr>
      <w:tr w:rsidR="000E5C42" w14:paraId="74C18821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3A9D4A0" w14:textId="2A1A56EF" w:rsidR="000E5C42" w:rsidRPr="00A914E7" w:rsidRDefault="000E5C42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54EDE55" w14:textId="2A5D7AA9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DB4456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7D7A184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65C0CAA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5E82B7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8C97FB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5359C80" w14:textId="77777777" w:rsidR="000E5C42" w:rsidRDefault="000E5C42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547627" w14:paraId="6F32CAA9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904B94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DB054B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10ADE1A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79B72F0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3939AC0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0A4799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0DA48E9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612BFA6B" w14:textId="77777777" w:rsidR="00547627" w:rsidRPr="00E06BB0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58B00A70" w14:textId="2187B466" w:rsidR="005464BF" w:rsidRDefault="005464BF" w:rsidP="001D5E31">
      <w:pPr>
        <w:rPr>
          <w:color w:val="999999"/>
          <w:lang w:val="en-GB"/>
        </w:rPr>
      </w:pPr>
    </w:p>
    <w:p w14:paraId="6E205FEE" w14:textId="77777777" w:rsidR="00E757C7" w:rsidRDefault="00E757C7" w:rsidP="001D5E31">
      <w:pPr>
        <w:rPr>
          <w:color w:val="999999"/>
          <w:lang w:val="en-GB"/>
        </w:rPr>
      </w:pPr>
    </w:p>
    <w:p w14:paraId="3D9C86F7" w14:textId="36CC5C5F" w:rsidR="00E06BB0" w:rsidRPr="00176D09" w:rsidRDefault="00E757C7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To be continued for each transfer.</w:t>
      </w:r>
    </w:p>
    <w:sectPr w:rsidR="00E06BB0" w:rsidRPr="00176D09" w:rsidSect="005F2226"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8644" w14:textId="77777777" w:rsidR="00C64393" w:rsidRDefault="00C64393">
      <w:r>
        <w:separator/>
      </w:r>
    </w:p>
  </w:endnote>
  <w:endnote w:type="continuationSeparator" w:id="0">
    <w:p w14:paraId="30C25CE5" w14:textId="77777777" w:rsidR="00C64393" w:rsidRDefault="00C6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F922F" w14:textId="77777777" w:rsidR="00C64393" w:rsidRDefault="00C64393">
      <w:r>
        <w:separator/>
      </w:r>
    </w:p>
  </w:footnote>
  <w:footnote w:type="continuationSeparator" w:id="0">
    <w:p w14:paraId="4E95B5DA" w14:textId="77777777" w:rsidR="00C64393" w:rsidRDefault="00C64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ED4" w14:textId="77777777" w:rsidR="00C47EB3" w:rsidRPr="00682D24" w:rsidRDefault="00C47EB3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682D24">
      <w:rPr>
        <w:rFonts w:ascii="Arial" w:hAnsi="Arial" w:cs="Arial"/>
        <w:color w:val="999999"/>
      </w:rPr>
      <w:t>Autori</w:t>
    </w:r>
    <w:r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636">
    <w:abstractNumId w:val="0"/>
  </w:num>
  <w:num w:numId="2" w16cid:durableId="41347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51F8B"/>
    <w:rsid w:val="00067A92"/>
    <w:rsid w:val="00080E38"/>
    <w:rsid w:val="00081C4D"/>
    <w:rsid w:val="0008472A"/>
    <w:rsid w:val="000A4DB4"/>
    <w:rsid w:val="000E5C42"/>
    <w:rsid w:val="00102D27"/>
    <w:rsid w:val="00124C89"/>
    <w:rsid w:val="00136D50"/>
    <w:rsid w:val="00166D9D"/>
    <w:rsid w:val="0017095A"/>
    <w:rsid w:val="00176D09"/>
    <w:rsid w:val="001834AF"/>
    <w:rsid w:val="00185436"/>
    <w:rsid w:val="0019741D"/>
    <w:rsid w:val="001A2A1A"/>
    <w:rsid w:val="001B1E2A"/>
    <w:rsid w:val="001D5E31"/>
    <w:rsid w:val="001F01B4"/>
    <w:rsid w:val="001F3EA1"/>
    <w:rsid w:val="002434B2"/>
    <w:rsid w:val="0025616A"/>
    <w:rsid w:val="00280EB6"/>
    <w:rsid w:val="002946A4"/>
    <w:rsid w:val="00297DF4"/>
    <w:rsid w:val="002B4354"/>
    <w:rsid w:val="002C16FB"/>
    <w:rsid w:val="002C1875"/>
    <w:rsid w:val="002C7384"/>
    <w:rsid w:val="002D1237"/>
    <w:rsid w:val="002D3154"/>
    <w:rsid w:val="00324A9B"/>
    <w:rsid w:val="00341A54"/>
    <w:rsid w:val="00400F69"/>
    <w:rsid w:val="00412FAC"/>
    <w:rsid w:val="004519C1"/>
    <w:rsid w:val="00456942"/>
    <w:rsid w:val="00461ECF"/>
    <w:rsid w:val="004737CB"/>
    <w:rsid w:val="00493A2E"/>
    <w:rsid w:val="004C1193"/>
    <w:rsid w:val="004C413A"/>
    <w:rsid w:val="004C7E6A"/>
    <w:rsid w:val="004E4FD3"/>
    <w:rsid w:val="005044A0"/>
    <w:rsid w:val="00540095"/>
    <w:rsid w:val="00544EDC"/>
    <w:rsid w:val="005464BF"/>
    <w:rsid w:val="00547627"/>
    <w:rsid w:val="005555A5"/>
    <w:rsid w:val="00561B53"/>
    <w:rsid w:val="00590211"/>
    <w:rsid w:val="005C0E29"/>
    <w:rsid w:val="005C3EFE"/>
    <w:rsid w:val="005C5384"/>
    <w:rsid w:val="005D4CA5"/>
    <w:rsid w:val="005F2226"/>
    <w:rsid w:val="005F66AD"/>
    <w:rsid w:val="006207E8"/>
    <w:rsid w:val="0064066A"/>
    <w:rsid w:val="00647309"/>
    <w:rsid w:val="006502C8"/>
    <w:rsid w:val="006536AD"/>
    <w:rsid w:val="00656D05"/>
    <w:rsid w:val="00681A05"/>
    <w:rsid w:val="00682D24"/>
    <w:rsid w:val="00693132"/>
    <w:rsid w:val="006B7FEE"/>
    <w:rsid w:val="006C2095"/>
    <w:rsid w:val="00710E92"/>
    <w:rsid w:val="00725A2A"/>
    <w:rsid w:val="00733EEA"/>
    <w:rsid w:val="0073725B"/>
    <w:rsid w:val="00746768"/>
    <w:rsid w:val="007520DB"/>
    <w:rsid w:val="007651E6"/>
    <w:rsid w:val="0076585F"/>
    <w:rsid w:val="007732F7"/>
    <w:rsid w:val="00796C73"/>
    <w:rsid w:val="007C19E6"/>
    <w:rsid w:val="007C2AD8"/>
    <w:rsid w:val="007F002E"/>
    <w:rsid w:val="008418BE"/>
    <w:rsid w:val="00846618"/>
    <w:rsid w:val="00853F0A"/>
    <w:rsid w:val="008A3FFD"/>
    <w:rsid w:val="008F2364"/>
    <w:rsid w:val="009200C5"/>
    <w:rsid w:val="009239AC"/>
    <w:rsid w:val="009357DB"/>
    <w:rsid w:val="009374F0"/>
    <w:rsid w:val="0095572E"/>
    <w:rsid w:val="00971BEC"/>
    <w:rsid w:val="009B2E98"/>
    <w:rsid w:val="009B35B5"/>
    <w:rsid w:val="009B52C9"/>
    <w:rsid w:val="009C2641"/>
    <w:rsid w:val="009E7E74"/>
    <w:rsid w:val="009F2421"/>
    <w:rsid w:val="009F6735"/>
    <w:rsid w:val="009F7943"/>
    <w:rsid w:val="00A27953"/>
    <w:rsid w:val="00A51D95"/>
    <w:rsid w:val="00A84E88"/>
    <w:rsid w:val="00A94D8C"/>
    <w:rsid w:val="00AA381A"/>
    <w:rsid w:val="00AB768A"/>
    <w:rsid w:val="00AC414B"/>
    <w:rsid w:val="00B10A31"/>
    <w:rsid w:val="00B16E12"/>
    <w:rsid w:val="00B407D6"/>
    <w:rsid w:val="00B431D1"/>
    <w:rsid w:val="00B44F60"/>
    <w:rsid w:val="00B57576"/>
    <w:rsid w:val="00B6040B"/>
    <w:rsid w:val="00B717F4"/>
    <w:rsid w:val="00B749D0"/>
    <w:rsid w:val="00B81D50"/>
    <w:rsid w:val="00B877F5"/>
    <w:rsid w:val="00BB1EC7"/>
    <w:rsid w:val="00BC2A44"/>
    <w:rsid w:val="00BD597A"/>
    <w:rsid w:val="00C150AD"/>
    <w:rsid w:val="00C25E48"/>
    <w:rsid w:val="00C47EB3"/>
    <w:rsid w:val="00C6228A"/>
    <w:rsid w:val="00C64393"/>
    <w:rsid w:val="00C66B76"/>
    <w:rsid w:val="00C7523E"/>
    <w:rsid w:val="00CA2E60"/>
    <w:rsid w:val="00CC006C"/>
    <w:rsid w:val="00D06632"/>
    <w:rsid w:val="00D1394A"/>
    <w:rsid w:val="00D14DFA"/>
    <w:rsid w:val="00D42EA3"/>
    <w:rsid w:val="00D5309C"/>
    <w:rsid w:val="00D64394"/>
    <w:rsid w:val="00D65D88"/>
    <w:rsid w:val="00D84B17"/>
    <w:rsid w:val="00D87BE3"/>
    <w:rsid w:val="00DA48AB"/>
    <w:rsid w:val="00DB6C97"/>
    <w:rsid w:val="00E06BB0"/>
    <w:rsid w:val="00E0717B"/>
    <w:rsid w:val="00E757C7"/>
    <w:rsid w:val="00E80C47"/>
    <w:rsid w:val="00E90759"/>
    <w:rsid w:val="00EC6C18"/>
    <w:rsid w:val="00EE0F9C"/>
    <w:rsid w:val="00EF4F2B"/>
    <w:rsid w:val="00F00B69"/>
    <w:rsid w:val="00F351F8"/>
    <w:rsid w:val="00F42637"/>
    <w:rsid w:val="00F42CCB"/>
    <w:rsid w:val="00F5680E"/>
    <w:rsid w:val="00F67AE6"/>
    <w:rsid w:val="00F74E1D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EC6C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9C26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1B6B4956F94C82DABE9F3CF5447D" ma:contentTypeVersion="0" ma:contentTypeDescription="Creare un nuovo documento." ma:contentTypeScope="" ma:versionID="705018896cf223300e54ed456c36eb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2a3add3ee3661219f0645d0fbb7e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FB6BE-E25B-439F-AADA-ADC3D3F7E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481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Milano</dc:title>
  <dc:subject/>
  <dc:creator>lorenzo</dc:creator>
  <cp:keywords/>
  <cp:lastModifiedBy>Mauro Massari</cp:lastModifiedBy>
  <cp:revision>21</cp:revision>
  <cp:lastPrinted>2004-04-06T14:52:00Z</cp:lastPrinted>
  <dcterms:created xsi:type="dcterms:W3CDTF">2019-03-07T13:30:00Z</dcterms:created>
  <dcterms:modified xsi:type="dcterms:W3CDTF">2022-09-09T13:09:00Z</dcterms:modified>
</cp:coreProperties>
</file>