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88DC1" w14:textId="77777777" w:rsidR="00880A99" w:rsidRPr="00FB5437" w:rsidRDefault="00000000" w:rsidP="00390241">
      <w:pPr>
        <w:pStyle w:val="Heading1"/>
        <w:jc w:val="center"/>
        <w:rPr>
          <w:lang w:val="tr-TR"/>
        </w:rPr>
      </w:pPr>
      <w:bookmarkStart w:id="0" w:name="Xb907bef9ef24a0f2d1b5067c63cc8cce6bd8ec7"/>
      <w:r w:rsidRPr="00FB5437">
        <w:rPr>
          <w:lang w:val="tr-TR"/>
        </w:rPr>
        <w:t>Yüksek Doz Metotreksat Toksisitesinde Konvansiyonel Hemodiyaliz ile Metotreksat Uzaklaştırılması: Genişletilmiş Bir Pediatrik Vaka Serisi</w:t>
      </w:r>
    </w:p>
    <w:p w14:paraId="72B315E1" w14:textId="77777777" w:rsidR="00880A99" w:rsidRPr="00FB5437" w:rsidRDefault="00000000" w:rsidP="00390241">
      <w:pPr>
        <w:pStyle w:val="Heading2"/>
        <w:jc w:val="both"/>
        <w:rPr>
          <w:lang w:val="tr-TR"/>
        </w:rPr>
      </w:pPr>
      <w:bookmarkStart w:id="1" w:name="özet"/>
      <w:r w:rsidRPr="00FB5437">
        <w:rPr>
          <w:lang w:val="tr-TR"/>
        </w:rPr>
        <w:t>Özet</w:t>
      </w:r>
    </w:p>
    <w:p w14:paraId="5B5B40BD" w14:textId="0AC205C0" w:rsidR="00880A99" w:rsidRPr="00FB5437" w:rsidRDefault="00000000" w:rsidP="00390241">
      <w:pPr>
        <w:pStyle w:val="FirstParagraph"/>
        <w:jc w:val="both"/>
        <w:rPr>
          <w:lang w:val="tr-TR"/>
        </w:rPr>
      </w:pPr>
      <w:r w:rsidRPr="00FB5437">
        <w:rPr>
          <w:b/>
          <w:bCs/>
          <w:lang w:val="tr-TR"/>
        </w:rPr>
        <w:t>Amaç:</w:t>
      </w:r>
      <w:r w:rsidRPr="00FB5437">
        <w:rPr>
          <w:lang w:val="tr-TR"/>
        </w:rPr>
        <w:t xml:space="preserve"> Yüksek doz metotreksat (</w:t>
      </w:r>
      <w:r w:rsidR="00FB5437" w:rsidRPr="00FB5437">
        <w:rPr>
          <w:lang w:val="tr-TR"/>
        </w:rPr>
        <w:t>HDMTX</w:t>
      </w:r>
      <w:r w:rsidRPr="00FB5437">
        <w:rPr>
          <w:lang w:val="tr-TR"/>
        </w:rPr>
        <w:t>) tedavisi sonrası gelişen metotreksat (MTX) toksisitesi ve akut böbrek hasarında (ABH), düşük akımlı (low-flux) konvansiyonel hemodiyalizin (HD) etkinliğini değerlendirmek.</w:t>
      </w:r>
    </w:p>
    <w:p w14:paraId="56CF70FE" w14:textId="0DCFB17A" w:rsidR="00880A99" w:rsidRPr="00FB5437" w:rsidRDefault="00000000" w:rsidP="00390241">
      <w:pPr>
        <w:pStyle w:val="BodyText"/>
        <w:jc w:val="both"/>
        <w:rPr>
          <w:lang w:val="tr-TR"/>
        </w:rPr>
      </w:pPr>
      <w:r w:rsidRPr="00FB5437">
        <w:rPr>
          <w:b/>
          <w:bCs/>
          <w:lang w:val="tr-TR"/>
        </w:rPr>
        <w:t>Gereç ve Yöntem:</w:t>
      </w:r>
      <w:r w:rsidRPr="00FB5437">
        <w:rPr>
          <w:lang w:val="tr-TR"/>
        </w:rPr>
        <w:t xml:space="preserve"> 2012–2025 yılları arasında </w:t>
      </w:r>
      <w:r w:rsidR="00FB5437" w:rsidRPr="00FB5437">
        <w:rPr>
          <w:lang w:val="tr-TR"/>
        </w:rPr>
        <w:t>HDMTX</w:t>
      </w:r>
      <w:r w:rsidRPr="00FB5437">
        <w:rPr>
          <w:lang w:val="tr-TR"/>
        </w:rPr>
        <w:t xml:space="preserve"> tedavisi sonrası MTX toksisitesi ve ABH nedeniyle düşük akımlı HD uygulanan pediatrik hastalar retrospektif olarak değerlendirildi. Her hasta için HD öncesi ve sonrası MTX düzeyleri, böbrek fonksiyon testleri, komplikasyonlar ve hastanede yatış süreleri kaydedildi.</w:t>
      </w:r>
    </w:p>
    <w:p w14:paraId="6F2EB469" w14:textId="4B53ACF2" w:rsidR="00880A99" w:rsidRPr="00FB5437" w:rsidRDefault="00000000" w:rsidP="00390241">
      <w:pPr>
        <w:pStyle w:val="BodyText"/>
        <w:jc w:val="both"/>
        <w:rPr>
          <w:lang w:val="tr-TR"/>
        </w:rPr>
      </w:pPr>
      <w:r w:rsidRPr="00FB5437">
        <w:rPr>
          <w:b/>
          <w:bCs/>
          <w:lang w:val="tr-TR"/>
        </w:rPr>
        <w:t>Bulgular:</w:t>
      </w:r>
      <w:r w:rsidRPr="00FB5437">
        <w:rPr>
          <w:lang w:val="tr-TR"/>
        </w:rPr>
        <w:t xml:space="preserve"> Çalışmaya 11 pediatrik hasta (tümü erkek; 8 hematolojik malignite, 3 osteosarkom) dahil edildi. Medyan yaş 11,3 yıl (DAA 5,0–13,4), medyan MTX dozu 5 g/m² (DAA 5–8,66) idi. </w:t>
      </w:r>
      <w:r w:rsidR="00FB5437" w:rsidRPr="00FB5437">
        <w:rPr>
          <w:lang w:val="tr-TR"/>
        </w:rPr>
        <w:t>HDMTX</w:t>
      </w:r>
      <w:r w:rsidRPr="00FB5437">
        <w:rPr>
          <w:lang w:val="tr-TR"/>
        </w:rPr>
        <w:t xml:space="preserve"> infüzyonunun ardından bazal kreatinin değeri medyan 2,86 kat arttı. İlk HD seansı ile plazma MTX düzeyinde ortalama %66,0 ± 12,7 (medyan %66,6) azalma sağlandı. Plazma MTX düzeyi medyan 204 saatte (DAA 199–249) 0,15 µmol/L’nin altına geriledi. Ardışık HD seanslarında MTX azalma etkinliği belirgin şekilde azaldı (1. seans %66 → 4. seans %29); buna karşın kreatinin klirensi tüm seanslarda sabit kaldı (~%48). Seansların %26,1’inde diyaliz sonrası MTX rebound fenomeni gözlendi. Toplam 34 HD prosedürü komplikasyonsuz uygulandı. Medyan hastane yatış süresi 15 gün, yoğun bakım yatış süresi 1 gündü. Tüm hastaların böbrek fonksiyonları normale döndü ve mortalite gözlenmedi.</w:t>
      </w:r>
    </w:p>
    <w:p w14:paraId="6DCC0ED0" w14:textId="04BE15A2" w:rsidR="00880A99" w:rsidRPr="00FB5437" w:rsidRDefault="00000000" w:rsidP="00390241">
      <w:pPr>
        <w:pStyle w:val="BodyText"/>
        <w:jc w:val="both"/>
        <w:rPr>
          <w:lang w:val="tr-TR"/>
        </w:rPr>
      </w:pPr>
      <w:r w:rsidRPr="00FB5437">
        <w:rPr>
          <w:b/>
          <w:bCs/>
          <w:lang w:val="tr-TR"/>
        </w:rPr>
        <w:t>Sonuç:</w:t>
      </w:r>
      <w:r w:rsidRPr="00FB5437">
        <w:rPr>
          <w:lang w:val="tr-TR"/>
        </w:rPr>
        <w:t xml:space="preserve"> Konvansiyonel düşük akımlı HD, </w:t>
      </w:r>
      <w:r w:rsidR="00FB5437" w:rsidRPr="00FB5437">
        <w:rPr>
          <w:lang w:val="tr-TR"/>
        </w:rPr>
        <w:t>HDMTX</w:t>
      </w:r>
      <w:r w:rsidRPr="00FB5437">
        <w:rPr>
          <w:lang w:val="tr-TR"/>
        </w:rPr>
        <w:t xml:space="preserve"> toksisitesi ve ABH yönetiminde güvenli ve etkili bir tedavi seçeneğidir. MTX’in düşük molekül ağırlığı (454 Da) göz önüne alındığında, yüksek akımlı membranlar MTX uzaklaştırılması için zorunlu değildir. HD, MTX eliminasyonunun yanı sıra eş zamanlı ABH tedavisi sağlayan çift işlevli bir modalite olarak, glucarpidase’ın erişilemediği ortamlarda temel tedavi seçeneği olarak değerlendirilmelidir.</w:t>
      </w:r>
    </w:p>
    <w:p w14:paraId="48612657" w14:textId="77777777" w:rsidR="00880A99" w:rsidRPr="00FB5437" w:rsidRDefault="00000000" w:rsidP="00390241">
      <w:pPr>
        <w:pStyle w:val="BodyText"/>
        <w:jc w:val="both"/>
        <w:rPr>
          <w:lang w:val="tr-TR"/>
        </w:rPr>
      </w:pPr>
      <w:r w:rsidRPr="00FB5437">
        <w:rPr>
          <w:b/>
          <w:bCs/>
          <w:lang w:val="tr-TR"/>
        </w:rPr>
        <w:t>Anahtar Kelimeler:</w:t>
      </w:r>
      <w:r w:rsidRPr="00FB5437">
        <w:rPr>
          <w:lang w:val="tr-TR"/>
        </w:rPr>
        <w:t xml:space="preserve"> Metotreksat toksisitesi, hemodiyaliz, akut böbrek hasarı, pediatrik, düşük akımlı diyalizör, glucarpidase</w:t>
      </w:r>
    </w:p>
    <w:p w14:paraId="5208BD48" w14:textId="77777777" w:rsidR="00880A99" w:rsidRPr="00FB5437" w:rsidRDefault="00822623" w:rsidP="00390241">
      <w:pPr>
        <w:jc w:val="both"/>
        <w:rPr>
          <w:lang w:val="tr-TR"/>
        </w:rPr>
      </w:pPr>
      <w:r w:rsidRPr="00822623">
        <w:rPr>
          <w:noProof/>
          <w:lang w:val="tr-TR"/>
        </w:rPr>
        <w:pict w14:anchorId="54A81D5F">
          <v:rect id="_x0000_i1032" alt="" style="width:468pt;height:.05pt;mso-width-percent:0;mso-height-percent:0;mso-width-percent:0;mso-height-percent:0" o:hralign="center" o:hrstd="t" o:hr="t"/>
        </w:pict>
      </w:r>
    </w:p>
    <w:p w14:paraId="34525FA7" w14:textId="77777777" w:rsidR="00880A99" w:rsidRPr="00FB5437" w:rsidRDefault="00000000" w:rsidP="00390241">
      <w:pPr>
        <w:pStyle w:val="Heading2"/>
        <w:jc w:val="both"/>
        <w:rPr>
          <w:lang w:val="tr-TR"/>
        </w:rPr>
      </w:pPr>
      <w:bookmarkStart w:id="2" w:name="giriş"/>
      <w:bookmarkEnd w:id="1"/>
      <w:r w:rsidRPr="00FB5437">
        <w:rPr>
          <w:lang w:val="tr-TR"/>
        </w:rPr>
        <w:t>Giriş</w:t>
      </w:r>
    </w:p>
    <w:p w14:paraId="572C641B" w14:textId="30691FE9" w:rsidR="00880A99" w:rsidRPr="00FB5437" w:rsidRDefault="00000000" w:rsidP="00390241">
      <w:pPr>
        <w:pStyle w:val="FirstParagraph"/>
        <w:jc w:val="both"/>
        <w:rPr>
          <w:lang w:val="tr-TR"/>
        </w:rPr>
      </w:pPr>
      <w:r w:rsidRPr="00FB5437">
        <w:rPr>
          <w:lang w:val="tr-TR"/>
        </w:rPr>
        <w:t>Metotreksat (MTX), dihidrofolat redüktaz ve timidilat sentetaz enzimlerini inhibe ederek deoksiribonükleik asit ve ribonükleik asit sentezini sınırlayan bir antimetabolit ve immünsupresif ajandır [1,2]. Yüksek doz MTX (</w:t>
      </w:r>
      <w:r w:rsidR="00FB5437" w:rsidRPr="00FB5437">
        <w:rPr>
          <w:lang w:val="tr-TR"/>
        </w:rPr>
        <w:t>HDMTX</w:t>
      </w:r>
      <w:r w:rsidRPr="00FB5437">
        <w:rPr>
          <w:lang w:val="tr-TR"/>
        </w:rPr>
        <w:t>) tedavisi akut lenfoblastik lösemi (ALL), lenfoma ve osteosarkom gibi çeşitli çocukluk çağı kanserlerinin tedavisinde yaygın olarak kullanılmaktadır [3,4]. Yüksek doz genellikle &gt;0,5 g/m²’den 12 g/m²’ye kadar değişen dozlar olarak tanımlanmakta olup, sürekli intravenöz infüzyon süresi 1 saatten 24 saate kadar değişebilmekte ve farklı farmakokinetik profillere yol açmaktadır [5–7].</w:t>
      </w:r>
    </w:p>
    <w:p w14:paraId="5D0942DD" w14:textId="4FFE48BD" w:rsidR="00880A99" w:rsidRPr="00FB5437" w:rsidRDefault="00FB5437" w:rsidP="00390241">
      <w:pPr>
        <w:pStyle w:val="BodyText"/>
        <w:jc w:val="both"/>
        <w:rPr>
          <w:lang w:val="tr-TR"/>
        </w:rPr>
      </w:pPr>
      <w:r w:rsidRPr="00FB5437">
        <w:rPr>
          <w:lang w:val="tr-TR"/>
        </w:rPr>
        <w:lastRenderedPageBreak/>
        <w:t>HDMTX</w:t>
      </w:r>
      <w:r w:rsidR="00000000" w:rsidRPr="00FB5437">
        <w:rPr>
          <w:lang w:val="tr-TR"/>
        </w:rPr>
        <w:t xml:space="preserve"> tedavisi önemli toksisiteye neden olarak morbiditeye yol açabilir. </w:t>
      </w:r>
      <w:r w:rsidRPr="00FB5437">
        <w:rPr>
          <w:lang w:val="tr-TR"/>
        </w:rPr>
        <w:t>HDMTX</w:t>
      </w:r>
      <w:r w:rsidR="00000000" w:rsidRPr="00FB5437">
        <w:rPr>
          <w:lang w:val="tr-TR"/>
        </w:rPr>
        <w:t xml:space="preserve"> tedavisi içeren kemoterapi protokolleri MTX toksidromu için eşik değerleri belirlemiştir. Ciddi toksisite, 24 saat içinde serum kreatinin düzeyinde %100 artış olarak tanımlanmaktadır. Ayrıca, periyodik ölçümlerde beklenen düzeyin üzerinde MTX düzeyi saptanması da MTX toksisitesi olarak kabul edilmektedir [4,8]. Toksisiteyi önlemek için MTX, hidrasyon, idrar alkalinizasyonu ve folinik asit içeren standart protokollerle birlikte verilmelidir [9]. Bu önleyici tedbirlere rağmen, </w:t>
      </w:r>
      <w:r w:rsidRPr="00FB5437">
        <w:rPr>
          <w:lang w:val="tr-TR"/>
        </w:rPr>
        <w:t>HDMTX</w:t>
      </w:r>
      <w:r w:rsidR="00000000" w:rsidRPr="00FB5437">
        <w:rPr>
          <w:lang w:val="tr-TR"/>
        </w:rPr>
        <w:t xml:space="preserve"> sonrası hastaların %2–12’sinde değişen derecelerde ABH gelişmektedir [10,11]. Son yıllarda yapılan çalışmalarda bu oran %38,6’ya kadar çıkabilmektedir [12,13]. Standart önleyici ve medikal tedavilerin MTX düzeylerini düşürmede yetersiz kaldığı durumlarda, MTX’in ekstrakorporeal yöntemlerle uzaklaştırılması gerekebilmektedir [3,14].</w:t>
      </w:r>
    </w:p>
    <w:p w14:paraId="4756F712" w14:textId="77777777" w:rsidR="00880A99" w:rsidRPr="00FB5437" w:rsidRDefault="00000000" w:rsidP="00390241">
      <w:pPr>
        <w:pStyle w:val="BodyText"/>
        <w:jc w:val="both"/>
        <w:rPr>
          <w:lang w:val="tr-TR"/>
        </w:rPr>
      </w:pPr>
      <w:r w:rsidRPr="00FB5437">
        <w:rPr>
          <w:lang w:val="tr-TR"/>
        </w:rPr>
        <w:t>MTX’in molekül ağırlığı 454 Dalton, dağılım hacmi 0,4–0,9 L/kg ve plazma protein bağlanma oranı %50’dir [15]. Bu farmakokinetik özellikler, MTX’in diyaliz ile uzaklaştırılabilir bir molekül olduğunu göstermektedir. Düşük akımlı diyalizör membranları genellikle 500 Dalton’un altındaki küçük moleküllerin temizlenmesinde etkilidir; bu nedenle MTX’in uzaklaştırılması için yüksek akımlı membranların zorunlu olmadığı düşünülebilir [16,17]. Buna karşın, mevcut literatürde ekstrakorporeal MTX uzaklaştırılması için plazmaferez, kömür hemoperfüzyonu, sürekli venövenöz hemodiyafiltrasyon (SVVHDF), yüksek akımlı HD, konvansiyonel HD ve periton diyalizi gibi çeşitli yöntemler bildirilmiştir [18–24]. EXTRIP çalışma grubunun 2022’de yayımlanan sistematik derlemesinde ciddi MTX toksisitesinde öncelikle glucarpidase, erişilemediği durumlarda ise HD önerilmektedir [14].</w:t>
      </w:r>
    </w:p>
    <w:p w14:paraId="6E513EC2" w14:textId="77777777" w:rsidR="00880A99" w:rsidRPr="00FB5437" w:rsidRDefault="00000000" w:rsidP="00390241">
      <w:pPr>
        <w:pStyle w:val="BodyText"/>
        <w:jc w:val="both"/>
        <w:rPr>
          <w:lang w:val="tr-TR"/>
        </w:rPr>
      </w:pPr>
      <w:r w:rsidRPr="00FB5437">
        <w:rPr>
          <w:lang w:val="tr-TR"/>
        </w:rPr>
        <w:t>Glucarpidase (rekombinant bakteriyel karboksipeptidaz G2), MTX’i enzimatik yolla DAMPA ve glutamata parçalayarak 15 dakika içinde plazma MTX konsantrasyonlarını %97 veya daha fazla düşürebilen etkili bir antidottur [9,25]. Ancak glucarpidase’ın yüksek maliyeti (tek doz &gt;100.000 ABD doları) bu ilacın dünya genelinde erişilebilirliğini ciddi şekilde kısıtlamaktadır [26,27]. Kala ve ark. tarafından yapılan ekonomik analiz, ABD koşullarında zamanında glucarpidase kullanımının gecikmiş glucarpidase veya HD’den daha düşük maliyetli olduğunu göstermiş olsa da, bu bulgular gelişmekte olan ülkelere doğrudan uygulanabilir değildir [27]. Özellikle düşük ve orta gelirli ülkelerde HD maliyeti glucarpidase tedavisinin çok küçük bir kesrini oluşturmaktadır.</w:t>
      </w:r>
    </w:p>
    <w:p w14:paraId="3DE194C8" w14:textId="77777777" w:rsidR="00880A99" w:rsidRPr="00FB5437" w:rsidRDefault="00000000" w:rsidP="00390241">
      <w:pPr>
        <w:pStyle w:val="BodyText"/>
        <w:jc w:val="both"/>
        <w:rPr>
          <w:lang w:val="tr-TR"/>
        </w:rPr>
      </w:pPr>
      <w:r w:rsidRPr="00FB5437">
        <w:rPr>
          <w:lang w:val="tr-TR"/>
        </w:rPr>
        <w:t>Son yıllarda yayımlanan çeşitli çalışmalar, glucarpidase’ın bulunmadığı ortamlarda farklı ekstrakorporeal yöntemlerin etkinliğini desteklemektedir. Sakran ve ark. tekrarlanan hemodiyafiltrasyon ve yüksek akımlı HD ile etkili MTX eliminasyonu bildirmiştir [28]. Tome ve ark. yüksek akımlı HD’nin ortalama %44,5 MTX azalması sağladığını göstermiştir [29]. Zhang ve ark. çocuklarda online hemodiyafiltrasyonun sürekli renal replasman tedavisine (CRRT) benzer etkinlikte ancak daha düşük maliyetli olduğunu raporlamıştır [30]. Rosales ve ark. kömür hemoperfüzyonunun glucarpidase erişilemediğinde güvenli bir köprü tedavisi olduğunu göstermiştir [31]. Orta Doğu bölgesinden yayımlanan konsensüs belgesi de glucarpidase erişilemediğinde HD’nin kullanılmasını önermektedir [32].</w:t>
      </w:r>
    </w:p>
    <w:p w14:paraId="1215A3B0" w14:textId="25BD61FF" w:rsidR="00880A99" w:rsidRPr="00FB5437" w:rsidRDefault="00000000" w:rsidP="00390241">
      <w:pPr>
        <w:pStyle w:val="BodyText"/>
        <w:jc w:val="both"/>
        <w:rPr>
          <w:lang w:val="tr-TR"/>
        </w:rPr>
      </w:pPr>
      <w:r w:rsidRPr="00FB5437">
        <w:rPr>
          <w:lang w:val="tr-TR"/>
        </w:rPr>
        <w:t xml:space="preserve">Bu çalışmada, </w:t>
      </w:r>
      <w:r w:rsidR="00FB5437" w:rsidRPr="00FB5437">
        <w:rPr>
          <w:lang w:val="tr-TR"/>
        </w:rPr>
        <w:t>HDMTX</w:t>
      </w:r>
      <w:r w:rsidRPr="00FB5437">
        <w:rPr>
          <w:lang w:val="tr-TR"/>
        </w:rPr>
        <w:t xml:space="preserve"> sonrası ABH ve MTX toksisitesi gelişen pediatrik hastalarda düşük akımlı konvansiyonel HD’nin etkinliği ve güvenliği değerlendirilmiş, genişletilmiş hasta serisi ve güncel veriler eşliğinde sunulmuştur.</w:t>
      </w:r>
    </w:p>
    <w:p w14:paraId="6335410C" w14:textId="77777777" w:rsidR="00880A99" w:rsidRPr="00FB5437" w:rsidRDefault="00822623" w:rsidP="00390241">
      <w:pPr>
        <w:jc w:val="both"/>
        <w:rPr>
          <w:lang w:val="tr-TR"/>
        </w:rPr>
      </w:pPr>
      <w:r w:rsidRPr="00822623">
        <w:rPr>
          <w:noProof/>
          <w:lang w:val="tr-TR"/>
        </w:rPr>
        <w:lastRenderedPageBreak/>
        <w:pict w14:anchorId="460C2D2F">
          <v:rect id="_x0000_i1031" alt="" style="width:468pt;height:.05pt;mso-width-percent:0;mso-height-percent:0;mso-width-percent:0;mso-height-percent:0" o:hralign="center" o:hrstd="t" o:hr="t"/>
        </w:pict>
      </w:r>
    </w:p>
    <w:p w14:paraId="0D0D4659" w14:textId="77777777" w:rsidR="00880A99" w:rsidRPr="00FB5437" w:rsidRDefault="00000000" w:rsidP="00390241">
      <w:pPr>
        <w:pStyle w:val="Heading2"/>
        <w:jc w:val="both"/>
        <w:rPr>
          <w:lang w:val="tr-TR"/>
        </w:rPr>
      </w:pPr>
      <w:bookmarkStart w:id="3" w:name="gereç-ve-yöntem"/>
      <w:bookmarkEnd w:id="2"/>
      <w:r w:rsidRPr="00FB5437">
        <w:rPr>
          <w:lang w:val="tr-TR"/>
        </w:rPr>
        <w:t>Gereç ve Yöntem</w:t>
      </w:r>
    </w:p>
    <w:p w14:paraId="515087C4" w14:textId="77777777" w:rsidR="00880A99" w:rsidRPr="00FB5437" w:rsidRDefault="00000000" w:rsidP="00390241">
      <w:pPr>
        <w:pStyle w:val="FirstParagraph"/>
        <w:jc w:val="both"/>
        <w:rPr>
          <w:lang w:val="tr-TR"/>
        </w:rPr>
      </w:pPr>
      <w:r w:rsidRPr="00FB5437">
        <w:rPr>
          <w:lang w:val="tr-TR"/>
        </w:rPr>
        <w:t>XXXXXXXXXXX Üniversitesi Tıp Fakültesi Çocuk Yoğun Bakım ve Çocuk Nefroloji ünitelerinde 2012–2025 yılları arasında MTX toksisitesi nedeniyle HD uygulanan hastalar retrospektif olarak değerlendirildi. Çalışma, XXXXXXXXXXX Üniversitesi Tıbbi Araştırmalar Yerel Etik Kurulu tarafından onaylandı (2018/25). ABH ve yüksek MTX düzeyi saptanan hastalar çocuk yoğun bakım ünitesine (ÇYBÜ) transfer edildi. HD kararı çocuk nefroloji uzmanları tarafından verildi ve tüm HD prosedürleri ÇYBÜ ortamında yoğun bakım uzmanı gözetiminde, çocuk nefroloji ekibinin yönetiminde gerçekleştirildi.</w:t>
      </w:r>
    </w:p>
    <w:p w14:paraId="19755654" w14:textId="2FF368E6" w:rsidR="00880A99" w:rsidRPr="00FB5437" w:rsidRDefault="00000000" w:rsidP="00390241">
      <w:pPr>
        <w:pStyle w:val="BodyText"/>
        <w:jc w:val="both"/>
        <w:rPr>
          <w:lang w:val="tr-TR"/>
        </w:rPr>
      </w:pPr>
      <w:r w:rsidRPr="00FB5437">
        <w:rPr>
          <w:lang w:val="tr-TR"/>
        </w:rPr>
        <w:t xml:space="preserve">Tüm hastaların demografik verileri, klinik ve laboratuvar bulguları, HD sırasında gelişen komplikasyonlar ve hastanede yatış süreleri kaydedildi. Kurumumuzun </w:t>
      </w:r>
      <w:r w:rsidR="00FB5437" w:rsidRPr="00FB5437">
        <w:rPr>
          <w:lang w:val="tr-TR"/>
        </w:rPr>
        <w:t>HDMTX</w:t>
      </w:r>
      <w:r w:rsidRPr="00FB5437">
        <w:rPr>
          <w:lang w:val="tr-TR"/>
        </w:rPr>
        <w:t xml:space="preserve"> tedavisi sonrası rutin protokolü; 3.000 mL/m²/24 saat alkalin sıvı ile hidrasyon, tedavinin 36. saatinde MTX düzeyi ölçümü, tam kan sayımı ve biyokimyasal parametrelerin değerlendirilmesi ve folinik asit kurtarma tedavisinin protokole uygun olarak başlatılmasını içermektedir.</w:t>
      </w:r>
    </w:p>
    <w:p w14:paraId="7C7505D4" w14:textId="53B8C081" w:rsidR="00880A99" w:rsidRPr="00FB5437" w:rsidRDefault="00000000" w:rsidP="00390241">
      <w:pPr>
        <w:pStyle w:val="BodyText"/>
        <w:jc w:val="both"/>
        <w:rPr>
          <w:lang w:val="tr-TR"/>
        </w:rPr>
      </w:pPr>
      <w:r w:rsidRPr="00FB5437">
        <w:rPr>
          <w:lang w:val="tr-TR"/>
        </w:rPr>
        <w:t xml:space="preserve">ABH şiddeti, Kidney Disease Improving Global Outcomes (KDIGO) sınıflamasına göre bazal serum kreatinin değerinden artış miktarı veya idrar çıkışında azalma ile değerlendirildi. Beklenen düzeyden yüksek MTX düzeyi ve/veya ABH saptanan hastalarda HD kararı </w:t>
      </w:r>
      <w:r w:rsidR="00135EEB" w:rsidRPr="00135EEB">
        <w:rPr>
          <w:b/>
          <w:bCs/>
          <w:highlight w:val="yellow"/>
          <w:lang w:val="tr-TR"/>
        </w:rPr>
        <w:t>Çocuk Nefroloji Bölümü ile ortak uzlaşıyla verildi</w:t>
      </w:r>
      <w:r w:rsidRPr="00135EEB">
        <w:rPr>
          <w:highlight w:val="yellow"/>
          <w:lang w:val="tr-TR"/>
        </w:rPr>
        <w:t>.</w:t>
      </w:r>
      <w:r w:rsidR="00135EEB">
        <w:rPr>
          <w:lang w:val="tr-TR"/>
        </w:rPr>
        <w:t xml:space="preserve"> </w:t>
      </w:r>
      <w:r w:rsidRPr="00FB5437">
        <w:rPr>
          <w:lang w:val="tr-TR"/>
        </w:rPr>
        <w:t>Tüm HD seanslarında düşük akımlı sentetik polisülfon diyalizör (Fresenius F4, F5, F6, F8 membran; membran yüzey alanı 0,8–1,8 m²; Fresenius, ABD) kullanıldı. HD seansları Braun-Dialog cihazı (Braun, Melsungen, Almanya) ile günlük 2–4 saat süreyle uygulandı. Diyalizat bileşimi potasyum 2 mmol/L, bikarbonat 32 mmol/L, kalsiyum 1,75 mmol/L ve sodyum 140 mmol/L olarak ayarlandı. Kan akım hızı (Qb) 5–7 mL/min/kg, diyalizat akım hızı (Qd) 500 mL/min olarak uygulandı ve sıvı çekilmesi yapılmadı.</w:t>
      </w:r>
    </w:p>
    <w:p w14:paraId="306D994B" w14:textId="77777777" w:rsidR="00880A99" w:rsidRPr="00FB5437" w:rsidRDefault="00000000" w:rsidP="00390241">
      <w:pPr>
        <w:pStyle w:val="BodyText"/>
        <w:jc w:val="both"/>
        <w:rPr>
          <w:lang w:val="tr-TR"/>
        </w:rPr>
      </w:pPr>
      <w:r w:rsidRPr="00FB5437">
        <w:rPr>
          <w:lang w:val="tr-TR"/>
        </w:rPr>
        <w:t>HD sonrası MTX düzeyleri seansın hemen ardından alındı. Azalma oranı, HD öncesi ve sonrası MTX düzeylerine göre hesaplandı: Azalma oranı (%) = (Pre-HD MTX − Post-HD MTX) / Pre-HD MTX × 100. Folinik asit ve alkalin hidrasyon infüzyonları hastanın MTX düzeyi 0,15 µmol/L’nin altına inene kadar sürdürüldü.</w:t>
      </w:r>
    </w:p>
    <w:p w14:paraId="779E8EB6" w14:textId="77777777" w:rsidR="00880A99" w:rsidRPr="00FB5437" w:rsidRDefault="00000000" w:rsidP="00390241">
      <w:pPr>
        <w:pStyle w:val="BodyText"/>
        <w:jc w:val="both"/>
        <w:rPr>
          <w:lang w:val="tr-TR"/>
        </w:rPr>
      </w:pPr>
      <w:commentRangeStart w:id="4"/>
      <w:r w:rsidRPr="00FB5437">
        <w:rPr>
          <w:b/>
          <w:bCs/>
          <w:lang w:val="tr-TR"/>
        </w:rPr>
        <w:t>Farmakokinetik Analiz:</w:t>
      </w:r>
      <w:r w:rsidRPr="00FB5437">
        <w:rPr>
          <w:lang w:val="tr-TR"/>
        </w:rPr>
        <w:t xml:space="preserve"> Her hasta için ardışık MTX ölçüm çiftleri “HD sırasında” ve “HD arası” olarak sınıflandırıldı. Eliminasyon hız sabiti (k) ln(MTX) vs zaman (saat) lineer regresyon ile hesaplandı, yarı ömür t½ = ln(2)/k formülü ile belirlendi. Grup karşılaştırması Mann-Whitney U testi ile yapıldı. Buna ek olarak, her hasta için ilk HD seansı öncesindeki MTX ölçümlerinden pre-HD eliminasyon hız sabiti hesaplanarak intrinsik (renal) klirens yarı ömrü belirlendi; bu değer diyaliz müdahalesi öncesindeki böbrek fonksiyonunu yansıtmaktadır. MTX infüzyonu sonrası ilk 72 saat içindeki ölçümlerden erken eliminasyon yarı ömrü hesaplandı ve KDIGO kriterlerine göre ABH (pik kreatinin ≥ 1,5 × bazal) ile ilişkisi değerlendirildi.</w:t>
      </w:r>
      <w:commentRangeEnd w:id="4"/>
      <w:r w:rsidR="00135EEB">
        <w:rPr>
          <w:rStyle w:val="CommentReference"/>
        </w:rPr>
        <w:commentReference w:id="4"/>
      </w:r>
    </w:p>
    <w:p w14:paraId="18D5CC5D" w14:textId="77777777" w:rsidR="00880A99" w:rsidRPr="00FB5437" w:rsidRDefault="00000000" w:rsidP="00390241">
      <w:pPr>
        <w:pStyle w:val="BodyText"/>
        <w:jc w:val="both"/>
        <w:rPr>
          <w:lang w:val="tr-TR"/>
        </w:rPr>
      </w:pPr>
      <w:r w:rsidRPr="00FB5437">
        <w:rPr>
          <w:b/>
          <w:bCs/>
          <w:lang w:val="tr-TR"/>
        </w:rPr>
        <w:t>İlk HD Seansı Zamanlama Analizi:</w:t>
      </w:r>
      <w:r w:rsidRPr="00FB5437">
        <w:rPr>
          <w:lang w:val="tr-TR"/>
        </w:rPr>
        <w:t xml:space="preserve"> MTX infüzyon başlangıcından ilk HD seansına kadar geçen süre (saat), pre-HD MTX düzeyi ve ilk seans azalma oranı her hasta için kaydedildi. </w:t>
      </w:r>
      <w:r w:rsidRPr="00FB5437">
        <w:rPr>
          <w:lang w:val="tr-TR"/>
        </w:rPr>
        <w:lastRenderedPageBreak/>
        <w:t>Bu parametreler ile toplam klirens süresi (MTX &lt;0,15 µmol/L’ye ulaşma süresi) arasındaki ilişkiler Spearman korelasyon katsayıları ile değerlendirildi.</w:t>
      </w:r>
    </w:p>
    <w:p w14:paraId="5D0DC302" w14:textId="361C342B" w:rsidR="00880A99" w:rsidRPr="00FB5437" w:rsidRDefault="00000000" w:rsidP="00390241">
      <w:pPr>
        <w:pStyle w:val="BodyText"/>
        <w:jc w:val="both"/>
        <w:rPr>
          <w:lang w:val="tr-TR"/>
        </w:rPr>
      </w:pPr>
      <w:r w:rsidRPr="00FB5437">
        <w:rPr>
          <w:b/>
          <w:bCs/>
          <w:lang w:val="tr-TR"/>
        </w:rPr>
        <w:t>Post-HD Rebound Analizi:</w:t>
      </w:r>
      <w:r w:rsidRPr="00FB5437">
        <w:rPr>
          <w:lang w:val="tr-TR"/>
        </w:rPr>
        <w:t xml:space="preserve"> Post-HD rebound, HD sonrası ilk MTX ölçümünden bir sonraki HD-dışı ölçüme &gt;%5 artış olarak tanımlandı. Bu artış, doku kompartmanından</w:t>
      </w:r>
      <w:r w:rsidR="0081702B">
        <w:rPr>
          <w:lang w:val="tr-TR"/>
        </w:rPr>
        <w:t xml:space="preserve"> veya Albümine ve plazma proteinlerine bağlanmış ilacın</w:t>
      </w:r>
      <w:r w:rsidRPr="00FB5437">
        <w:rPr>
          <w:lang w:val="tr-TR"/>
        </w:rPr>
        <w:t xml:space="preserve"> redistribüsyonu yansıtmaktadır.</w:t>
      </w:r>
    </w:p>
    <w:p w14:paraId="73FEF88B" w14:textId="77777777" w:rsidR="00880A99" w:rsidRPr="00FB5437" w:rsidRDefault="00000000" w:rsidP="00390241">
      <w:pPr>
        <w:pStyle w:val="BodyText"/>
        <w:jc w:val="both"/>
        <w:rPr>
          <w:lang w:val="tr-TR"/>
        </w:rPr>
      </w:pPr>
      <w:r w:rsidRPr="00FB5437">
        <w:rPr>
          <w:b/>
          <w:bCs/>
          <w:lang w:val="tr-TR"/>
        </w:rPr>
        <w:t>Renal İyileşme Tanımı:</w:t>
      </w:r>
      <w:r w:rsidRPr="00FB5437">
        <w:rPr>
          <w:lang w:val="tr-TR"/>
        </w:rPr>
        <w:t xml:space="preserve"> Renal iyileşme, pik kreatinin değerinin </w:t>
      </w:r>
      <w:commentRangeStart w:id="5"/>
      <w:r w:rsidRPr="00FB5437">
        <w:rPr>
          <w:lang w:val="tr-TR"/>
        </w:rPr>
        <w:t xml:space="preserve">bazalin 1,5 katına veya </w:t>
      </w:r>
      <w:commentRangeEnd w:id="5"/>
      <w:r w:rsidR="0081702B">
        <w:rPr>
          <w:rStyle w:val="CommentReference"/>
        </w:rPr>
        <w:commentReference w:id="5"/>
      </w:r>
      <w:r w:rsidRPr="00FB5437">
        <w:rPr>
          <w:lang w:val="tr-TR"/>
        </w:rPr>
        <w:t>altına gerilediği ilk zaman noktası olarak tanımlandı. ABH şiddeti (pik/bazal kreatinin oranı) ile iyileşme süresi arasındaki ilişki Spearman korelasyonu ile değerlendirildi.</w:t>
      </w:r>
    </w:p>
    <w:p w14:paraId="1791DE04" w14:textId="77777777" w:rsidR="00880A99" w:rsidRPr="00FB5437" w:rsidRDefault="00000000" w:rsidP="00390241">
      <w:pPr>
        <w:pStyle w:val="BodyText"/>
        <w:jc w:val="both"/>
        <w:rPr>
          <w:lang w:val="tr-TR"/>
        </w:rPr>
      </w:pPr>
      <w:r w:rsidRPr="00FB5437">
        <w:rPr>
          <w:b/>
          <w:bCs/>
          <w:lang w:val="tr-TR"/>
        </w:rPr>
        <w:t>Per-Seans MTX ve Kreatinin Klirens İlişkisi:</w:t>
      </w:r>
      <w:r w:rsidRPr="00FB5437">
        <w:rPr>
          <w:lang w:val="tr-TR"/>
        </w:rPr>
        <w:t xml:space="preserve"> Tüm 34 HD seansında MTX azalma oranı ile kreatinin azalma oranı arasındaki ilişki Spearman korelasyonu ile analiz edildi. Ayrıca pre-HD MTX düzeyi ile pre-HD kreatinin düzeyi arasındaki korelasyon tüm seanslar üzerinden değerlendirildi.</w:t>
      </w:r>
    </w:p>
    <w:p w14:paraId="51FEFA1F" w14:textId="77777777" w:rsidR="00880A99" w:rsidRPr="00FB5437" w:rsidRDefault="00000000" w:rsidP="00390241">
      <w:pPr>
        <w:pStyle w:val="BodyText"/>
        <w:jc w:val="both"/>
        <w:rPr>
          <w:lang w:val="tr-TR"/>
        </w:rPr>
      </w:pPr>
      <w:r w:rsidRPr="00FB5437">
        <w:rPr>
          <w:b/>
          <w:bCs/>
          <w:lang w:val="tr-TR"/>
        </w:rPr>
        <w:t>İstatistiksel Analiz:</w:t>
      </w:r>
      <w:r w:rsidRPr="00FB5437">
        <w:rPr>
          <w:lang w:val="tr-TR"/>
        </w:rPr>
        <w:t xml:space="preserve"> Veriler Python 3.11.2 programlama dili kullanılarak analiz edildi. Veri işleme için pandas, istatistiksel analizler için scipy ve numpy, makine öğrenmesi tabanlı analizler için scikit-learn kütüphaneleri kullanıldı. Grafikler matplotlib ile oluşturuldu. Normal dağılım gösteren sürekli değişkenler ortalama ± standart sapma, normal dağılım göstermeyen değişkenler medyan (çeyrekler arası aralık [DAA]) olarak sunuldu. Doz-toksisite ilişkisi ve değişkenler arası korelasyonlar Spearman korelasyon katsayıları ile değerlendirildi.</w:t>
      </w:r>
    </w:p>
    <w:p w14:paraId="3DCE59B8" w14:textId="77777777" w:rsidR="00880A99" w:rsidRPr="00FB5437" w:rsidRDefault="00822623" w:rsidP="00390241">
      <w:pPr>
        <w:jc w:val="both"/>
        <w:rPr>
          <w:lang w:val="tr-TR"/>
        </w:rPr>
      </w:pPr>
      <w:r w:rsidRPr="00822623">
        <w:rPr>
          <w:noProof/>
          <w:lang w:val="tr-TR"/>
        </w:rPr>
        <w:pict w14:anchorId="674452F5">
          <v:rect id="_x0000_i1030" alt="" style="width:468pt;height:.05pt;mso-width-percent:0;mso-height-percent:0;mso-width-percent:0;mso-height-percent:0" o:hralign="center" o:hrstd="t" o:hr="t"/>
        </w:pict>
      </w:r>
    </w:p>
    <w:p w14:paraId="3054B53F" w14:textId="77777777" w:rsidR="00880A99" w:rsidRPr="00FB5437" w:rsidRDefault="00000000" w:rsidP="00390241">
      <w:pPr>
        <w:pStyle w:val="Heading2"/>
        <w:jc w:val="both"/>
        <w:rPr>
          <w:lang w:val="tr-TR"/>
        </w:rPr>
      </w:pPr>
      <w:bookmarkStart w:id="6" w:name="bulgular"/>
      <w:bookmarkEnd w:id="3"/>
      <w:r w:rsidRPr="00FB5437">
        <w:rPr>
          <w:lang w:val="tr-TR"/>
        </w:rPr>
        <w:t>Bulgular</w:t>
      </w:r>
    </w:p>
    <w:p w14:paraId="3CB9FDB7" w14:textId="77777777" w:rsidR="00880A99" w:rsidRPr="00FB5437" w:rsidRDefault="00000000" w:rsidP="00390241">
      <w:pPr>
        <w:pStyle w:val="Heading3"/>
        <w:jc w:val="both"/>
        <w:rPr>
          <w:lang w:val="tr-TR"/>
        </w:rPr>
      </w:pPr>
      <w:bookmarkStart w:id="7" w:name="demografik-özellikler"/>
      <w:r w:rsidRPr="00FB5437">
        <w:rPr>
          <w:lang w:val="tr-TR"/>
        </w:rPr>
        <w:t>Demografik Özellikler</w:t>
      </w:r>
    </w:p>
    <w:p w14:paraId="4647286D" w14:textId="6E68C0B6" w:rsidR="00880A99" w:rsidRPr="00FB5437" w:rsidRDefault="00000000" w:rsidP="00390241">
      <w:pPr>
        <w:pStyle w:val="FirstParagraph"/>
        <w:jc w:val="both"/>
        <w:rPr>
          <w:lang w:val="tr-TR"/>
        </w:rPr>
      </w:pPr>
      <w:r w:rsidRPr="00FB5437">
        <w:rPr>
          <w:lang w:val="tr-TR"/>
        </w:rPr>
        <w:t xml:space="preserve">2012–2025 yılları arasında </w:t>
      </w:r>
      <w:r w:rsidR="00FB5437" w:rsidRPr="00FB5437">
        <w:rPr>
          <w:lang w:val="tr-TR"/>
        </w:rPr>
        <w:t>HDMTX</w:t>
      </w:r>
      <w:r w:rsidRPr="00FB5437">
        <w:rPr>
          <w:lang w:val="tr-TR"/>
        </w:rPr>
        <w:t xml:space="preserve"> tedavisi sonrası nefrotoksisite ve yüksek MTX düzeyleri nedeniyle çocuk yoğun bakım ünitesine kabul edilen 11 hasta (tümü erkek) çalışmaya dahil edildi. Medyan yaş 11,3 yıl (DAA 5,0–13,4; aralık 1,25–14,83) idi. Sekiz hastada (%72,7) hematolojik malignite (4 lenfoma, 2 ALL, 1 Burkitt lenfoma, 1 NHL), üç hastada (%27,3) osteosarkom mevcuttu. Hastaların hiçbirinde malignite dışında böbrek fonksiyonlarını etkileyen komorbidite, malnutrisyon veya altta yatan hastalık yoktu (medyan vücut ağırlığı Z-skoru: 0,51; aralık: -1,20 ile 2,54). Hastaların klinik özellikleri Tablo 1’de özetlenmiştir (bireysel hasta verileri için bkz. Ek Tablo 1).</w:t>
      </w:r>
    </w:p>
    <w:p w14:paraId="32E6BA5C" w14:textId="77777777" w:rsidR="00880A99" w:rsidRPr="00FB5437" w:rsidRDefault="00000000" w:rsidP="00390241">
      <w:pPr>
        <w:pStyle w:val="Heading3"/>
        <w:jc w:val="both"/>
        <w:rPr>
          <w:lang w:val="tr-TR"/>
        </w:rPr>
      </w:pPr>
      <w:bookmarkStart w:id="8" w:name="mtx-maruziyeti"/>
      <w:bookmarkEnd w:id="7"/>
      <w:r w:rsidRPr="00FB5437">
        <w:rPr>
          <w:lang w:val="tr-TR"/>
        </w:rPr>
        <w:t>MTX Maruziyeti</w:t>
      </w:r>
    </w:p>
    <w:p w14:paraId="58883051" w14:textId="77777777" w:rsidR="00880A99" w:rsidRPr="00FB5437" w:rsidRDefault="00000000" w:rsidP="00390241">
      <w:pPr>
        <w:pStyle w:val="FirstParagraph"/>
        <w:jc w:val="both"/>
        <w:rPr>
          <w:lang w:val="tr-TR"/>
        </w:rPr>
      </w:pPr>
      <w:r w:rsidRPr="00FB5437">
        <w:rPr>
          <w:lang w:val="tr-TR"/>
        </w:rPr>
        <w:t>Uygulanan medyan MTX dozu 5 g/m² (DAA 5–8,66; aralık 3–12 g/m²) idi. Üç osteosarkom hastasının tamamına 12 g/m² (en yüksek doz kademesi) uygulanırken, hematolojik maligniteli hastalarda doz 3–5 g/m² aralığında yoğunlaşmıştı. Toksisite yalnızca ilk kürde değil, 1. kürden 5. küre kadar farklı kürlerde gelişti (medyan 2. kür; DAA 1–3,5), bu durum bireyler arası farmakokinetik değişkenliğin rolüne işaret etmektedir.</w:t>
      </w:r>
    </w:p>
    <w:p w14:paraId="7BB2658B" w14:textId="77777777" w:rsidR="00880A99" w:rsidRPr="00FB5437" w:rsidRDefault="00000000" w:rsidP="00390241">
      <w:pPr>
        <w:pStyle w:val="Heading3"/>
        <w:jc w:val="both"/>
        <w:rPr>
          <w:lang w:val="tr-TR"/>
        </w:rPr>
      </w:pPr>
      <w:bookmarkStart w:id="9" w:name="böbrek-fonksiyonları-ve-abh"/>
      <w:bookmarkEnd w:id="8"/>
      <w:r w:rsidRPr="00FB5437">
        <w:rPr>
          <w:lang w:val="tr-TR"/>
        </w:rPr>
        <w:lastRenderedPageBreak/>
        <w:t>Böbrek Fonksiyonları ve ABH</w:t>
      </w:r>
    </w:p>
    <w:p w14:paraId="05EE88B3" w14:textId="77777777" w:rsidR="00880A99" w:rsidRPr="00FB5437" w:rsidRDefault="00000000" w:rsidP="00390241">
      <w:pPr>
        <w:pStyle w:val="FirstParagraph"/>
        <w:jc w:val="both"/>
        <w:rPr>
          <w:lang w:val="tr-TR"/>
        </w:rPr>
      </w:pPr>
      <w:r w:rsidRPr="00FB5437">
        <w:rPr>
          <w:lang w:val="tr-TR"/>
        </w:rPr>
        <w:t>Tedavi öncesi medyan bazal serum kreatinin değeri 0,41 mg/dL (DAA 0,32–0,51) iken, pik kreatinin değeri medyan 1,60 mg/dL’ye (DAA 0,98–1,92) yükseldi. Bazal değere göre medyan 2,86 kat (DAA 2,54–4,66) artış gözlendi. En şiddetli ABH Hasta 3 (Pt 3)da (8,76 kat artış) izlendi. KDIGO sınıflamasına göre üç hasta evre 3, beş hasta evre 2, iki hasta evre 1 ve bir hasta evre 0 olarak değerlendirildi. İnfüzyon süresi (3–24 saat) ile kreatinin artışı arasında belirgin bir lineer ilişki saptanmadı.</w:t>
      </w:r>
    </w:p>
    <w:p w14:paraId="2AFEF09A" w14:textId="77777777" w:rsidR="00880A99" w:rsidRPr="00FB5437" w:rsidRDefault="00000000" w:rsidP="00390241">
      <w:pPr>
        <w:pStyle w:val="Heading3"/>
        <w:jc w:val="both"/>
        <w:rPr>
          <w:lang w:val="tr-TR"/>
        </w:rPr>
      </w:pPr>
      <w:bookmarkStart w:id="10" w:name="hd-etkinliği"/>
      <w:bookmarkEnd w:id="9"/>
      <w:r w:rsidRPr="00FB5437">
        <w:rPr>
          <w:lang w:val="tr-TR"/>
        </w:rPr>
        <w:t>HD Etkinliği</w:t>
      </w:r>
    </w:p>
    <w:p w14:paraId="116118EB" w14:textId="77777777" w:rsidR="00880A99" w:rsidRPr="00FB5437" w:rsidRDefault="00000000" w:rsidP="00390241">
      <w:pPr>
        <w:pStyle w:val="FirstParagraph"/>
        <w:jc w:val="both"/>
        <w:rPr>
          <w:lang w:val="tr-TR"/>
        </w:rPr>
      </w:pPr>
      <w:r w:rsidRPr="00FB5437">
        <w:rPr>
          <w:lang w:val="tr-TR"/>
        </w:rPr>
        <w:t>İlk HD seansı ile plazma MTX düzeyinde ortalama %66,0 ± 12,7 (medyan %66,6; aralık %43,6–81,3) azalma sağlandı. İlk HD seansı MTX infüzyonunun medyan 48. saatinde (aralık 17–78) başlatıldı. Toplamda 11 hastaya 34 HD seansı (hasta başına medyan 2; DAA 1–4) uygulandı. Tüm 34 seans boyunca ortalama MTX azalma oranı %49,0 ± 19,3 (medyan %52,9), kreatinin azalma oranı ise %47,9 ± 16,7 (medyan %49,4) idi. Seanslar komplikasyonsuz gerçekleştirildi. HD seansları ve MTX kinetiği ile ilgili veriler Tablo 2’de özetlenmiştir (bireysel hasta verileri için bkz. Ek Tablo 2).</w:t>
      </w:r>
    </w:p>
    <w:p w14:paraId="5505A219" w14:textId="77777777" w:rsidR="00880A99" w:rsidRPr="00FB5437" w:rsidRDefault="00000000">
      <w:pPr>
        <w:pStyle w:val="BodyText"/>
        <w:rPr>
          <w:lang w:val="tr-TR"/>
        </w:rPr>
      </w:pPr>
      <w:r w:rsidRPr="00FB5437">
        <w:rPr>
          <w:noProof/>
          <w:lang w:val="tr-TR"/>
        </w:rPr>
        <w:lastRenderedPageBreak/>
        <w:drawing>
          <wp:inline distT="0" distB="0" distL="0" distR="0" wp14:anchorId="0AC94EAB" wp14:editId="351E4D79">
            <wp:extent cx="6310745" cy="637309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1.png"/>
                    <pic:cNvPicPr>
                      <a:picLocks noChangeAspect="1" noChangeArrowheads="1"/>
                    </pic:cNvPicPr>
                  </pic:nvPicPr>
                  <pic:blipFill>
                    <a:blip r:embed="rId11"/>
                    <a:stretch>
                      <a:fillRect/>
                    </a:stretch>
                  </pic:blipFill>
                  <pic:spPr bwMode="auto">
                    <a:xfrm>
                      <a:off x="0" y="0"/>
                      <a:ext cx="6394212" cy="6457383"/>
                    </a:xfrm>
                    <a:prstGeom prst="rect">
                      <a:avLst/>
                    </a:prstGeom>
                    <a:noFill/>
                    <a:ln w="9525">
                      <a:noFill/>
                      <a:headEnd/>
                      <a:tailEnd/>
                    </a:ln>
                  </pic:spPr>
                </pic:pic>
              </a:graphicData>
            </a:graphic>
          </wp:inline>
        </w:drawing>
      </w:r>
    </w:p>
    <w:p w14:paraId="542871CC" w14:textId="77777777" w:rsidR="00880A99" w:rsidRPr="00FB5437" w:rsidRDefault="00000000" w:rsidP="00390241">
      <w:pPr>
        <w:pStyle w:val="BodyText"/>
        <w:jc w:val="both"/>
        <w:rPr>
          <w:lang w:val="tr-TR"/>
        </w:rPr>
      </w:pPr>
      <w:r w:rsidRPr="00FB5437">
        <w:rPr>
          <w:b/>
          <w:bCs/>
          <w:lang w:val="tr-TR"/>
        </w:rPr>
        <w:t>Şekil 1.</w:t>
      </w:r>
      <w:r w:rsidRPr="00FB5437">
        <w:rPr>
          <w:lang w:val="tr-TR"/>
        </w:rPr>
        <w:t xml:space="preserve"> Bireysel hasta serum MTX klirens eğrileri ve hemodiyaliz seansları. Her panelde bir hastanın MTX düzeyi (log ölçek) zamana karşı gösterilmiştir. Kırmızı bantlar HD seanslarını, yeşil kesikli çizgi güvenli eşiği (&lt;0,15 µmol/L) temsil etmektedir. Her seanstaki MTX azalma yüzdeleri kırmızı ile gösterilmiştir. Keskin log-lineer düşüşlerin HD seansları ile tutarlı şekilde örtüşmesi, azalmanın müdahaleye bağlı olduğunu doğrulamaktadır.</w:t>
      </w:r>
    </w:p>
    <w:p w14:paraId="2EA27B59" w14:textId="77777777" w:rsidR="00880A99" w:rsidRPr="00FB5437" w:rsidRDefault="00000000" w:rsidP="00390241">
      <w:pPr>
        <w:pStyle w:val="BodyText"/>
        <w:jc w:val="both"/>
        <w:rPr>
          <w:lang w:val="tr-TR"/>
        </w:rPr>
      </w:pPr>
      <w:r w:rsidRPr="00FB5437">
        <w:rPr>
          <w:noProof/>
          <w:lang w:val="tr-TR"/>
        </w:rPr>
        <w:lastRenderedPageBreak/>
        <w:drawing>
          <wp:inline distT="0" distB="0" distL="0" distR="0" wp14:anchorId="71CF5B33" wp14:editId="29C87102">
            <wp:extent cx="5957455" cy="37338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2.png"/>
                    <pic:cNvPicPr>
                      <a:picLocks noChangeAspect="1" noChangeArrowheads="1"/>
                    </pic:cNvPicPr>
                  </pic:nvPicPr>
                  <pic:blipFill>
                    <a:blip r:embed="rId12"/>
                    <a:stretch>
                      <a:fillRect/>
                    </a:stretch>
                  </pic:blipFill>
                  <pic:spPr bwMode="auto">
                    <a:xfrm>
                      <a:off x="0" y="0"/>
                      <a:ext cx="6026773" cy="3777245"/>
                    </a:xfrm>
                    <a:prstGeom prst="rect">
                      <a:avLst/>
                    </a:prstGeom>
                    <a:noFill/>
                    <a:ln w="9525">
                      <a:noFill/>
                      <a:headEnd/>
                      <a:tailEnd/>
                    </a:ln>
                  </pic:spPr>
                </pic:pic>
              </a:graphicData>
            </a:graphic>
          </wp:inline>
        </w:drawing>
      </w:r>
    </w:p>
    <w:p w14:paraId="2A62CFD0" w14:textId="77777777" w:rsidR="00880A99" w:rsidRPr="00FB5437" w:rsidRDefault="00000000" w:rsidP="00390241">
      <w:pPr>
        <w:pStyle w:val="BodyText"/>
        <w:jc w:val="both"/>
        <w:rPr>
          <w:lang w:val="tr-TR"/>
        </w:rPr>
      </w:pPr>
      <w:r w:rsidRPr="00FB5437">
        <w:rPr>
          <w:b/>
          <w:bCs/>
          <w:lang w:val="tr-TR"/>
        </w:rPr>
        <w:t>Şekil 2.</w:t>
      </w:r>
      <w:r w:rsidRPr="00FB5437">
        <w:rPr>
          <w:lang w:val="tr-TR"/>
        </w:rPr>
        <w:t xml:space="preserve"> Tüm hastaların ortak bazda MTX klirens eğrileri (pik MTX = %100). Aşağı yönlü üçgenler HD seans zamanlarını işaretlemektedir. Üçgenlerin eğri kırılma noktalarında kümelenmesi, HD seanslarının MTX klirensinin birincil tetikleyicisi olduğuna ilişkin görsel kanıt sağlamaktadır.</w:t>
      </w:r>
    </w:p>
    <w:p w14:paraId="2BCB272B" w14:textId="38E98BDD" w:rsidR="00880A99" w:rsidRPr="00FB5437" w:rsidRDefault="00000000" w:rsidP="00390241">
      <w:pPr>
        <w:pStyle w:val="BodyText"/>
        <w:jc w:val="both"/>
        <w:rPr>
          <w:lang w:val="tr-TR"/>
        </w:rPr>
      </w:pPr>
      <w:r w:rsidRPr="00FB5437">
        <w:rPr>
          <w:lang w:val="tr-TR"/>
        </w:rPr>
        <w:t xml:space="preserve">Plazma MTX düzeyi medyan 204 saatte (DAA 199–249; aralık 118–350 saat) 0,15 µmol/L’nin altına geriledi. MTX eliminasyon yarı ömrü HD sırasında medyan 25,5 saat (DAA 11,1–31,8), HD arası dönemde medyan 27,4 saat (DAA 23,7–31,4) olarak hesaplandı (Mann-Whitney U = 30,5; p = 0,497). Yüksek pre-HD düzeyli hastalarda HD sırasında belirgin olarak kısa yarı ömürler gözlendi (Pt 11: 9,1 saat; Pt 9: 6,7 saat). İlk 72 saat içindeki ölçümlerden hesaplanan erken MTX eliminasyon yarı ömrü ortalama 9,9 ± 3,5 saat olup, bu değer </w:t>
      </w:r>
      <w:r w:rsidR="00FB5437" w:rsidRPr="00FB5437">
        <w:rPr>
          <w:lang w:val="tr-TR"/>
        </w:rPr>
        <w:t>HDMTX</w:t>
      </w:r>
      <w:r w:rsidRPr="00FB5437">
        <w:rPr>
          <w:lang w:val="tr-TR"/>
        </w:rPr>
        <w:t>’in bilinen eliminasyon yarı ömrü olan 8–15 saat [9] ile uyumludur (medyan R² = 0,87).</w:t>
      </w:r>
    </w:p>
    <w:p w14:paraId="2BAA76D6" w14:textId="77777777" w:rsidR="00880A99" w:rsidRPr="00FB5437" w:rsidRDefault="00000000" w:rsidP="00390241">
      <w:pPr>
        <w:pStyle w:val="BodyText"/>
        <w:jc w:val="both"/>
        <w:rPr>
          <w:lang w:val="tr-TR"/>
        </w:rPr>
      </w:pPr>
      <w:commentRangeStart w:id="11"/>
      <w:r w:rsidRPr="00FB5437">
        <w:rPr>
          <w:lang w:val="tr-TR"/>
        </w:rPr>
        <w:t>İlk HD seansı öncesindeki MTX ölçümlerinden hesaplanan intrinsik (pre-HD) eliminasyon yarı ömrü 4,2–27,3 saat aralığında değişmekte olup (n = 8 değerlendirilebilir hasta), bu değer diyaliz müdahalesi öncesindeki renal klirens kapasitesini yansıtmaktadır. Yavaş intrinsik klirens (uzun pre-HD yarı ömrü) ile pik kreatinin arasında zayıf pozitif eğilim gözlendi (ρ = 0,395; p = 0,333), ancak istatistiksel anlamlılığa ulaşılmadı. Daha çarpıcı olarak, tüm 34 HD seansı değerlendirildiğinde pre-HD MTX düzeyi ile pre-HD kreatinin düzeyi arasında anlamlılık sınırına yakın korelasyon saptandı (ρ = 0,313; p = 0,072); bu bulgu, yüksek MTX düzeylerinin devam eden böbrek hasarıyla ilişkili olduğu hipotezini desteklemektedir.</w:t>
      </w:r>
      <w:commentRangeEnd w:id="11"/>
      <w:r w:rsidR="002865EF">
        <w:rPr>
          <w:rStyle w:val="CommentReference"/>
        </w:rPr>
        <w:commentReference w:id="11"/>
      </w:r>
    </w:p>
    <w:p w14:paraId="459DBDE4" w14:textId="77777777" w:rsidR="00880A99" w:rsidRPr="00FB5437" w:rsidRDefault="00000000" w:rsidP="00390241">
      <w:pPr>
        <w:pStyle w:val="Heading3"/>
        <w:jc w:val="both"/>
        <w:rPr>
          <w:lang w:val="tr-TR"/>
        </w:rPr>
      </w:pPr>
      <w:bookmarkStart w:id="12" w:name="ilk-hd-seansı-zamanlama-ve-sonuçlar"/>
      <w:bookmarkEnd w:id="10"/>
      <w:r w:rsidRPr="00FB5437">
        <w:rPr>
          <w:lang w:val="tr-TR"/>
        </w:rPr>
        <w:lastRenderedPageBreak/>
        <w:t>İlk HD Seansı Zamanlama ve Sonuçlar</w:t>
      </w:r>
    </w:p>
    <w:p w14:paraId="4F8ABEFA" w14:textId="77777777" w:rsidR="00880A99" w:rsidRPr="00FB5437" w:rsidRDefault="00000000" w:rsidP="00390241">
      <w:pPr>
        <w:pStyle w:val="FirstParagraph"/>
        <w:jc w:val="both"/>
        <w:rPr>
          <w:lang w:val="tr-TR"/>
        </w:rPr>
      </w:pPr>
      <w:r w:rsidRPr="00FB5437">
        <w:rPr>
          <w:lang w:val="tr-TR"/>
        </w:rPr>
        <w:t>İlk HD seansının zamanlaması ile toplam klirens süresi arasında anlamlı korelasyon saptanmadı (ρ = 0,211; p = 0,533). Ancak ilk HD öncesi MTX düzeyi ile toplam klirens süresi arasında orta düzeyde pozitif eğilim gözlendi (ρ = 0,400; p = 0,223): yüksek MTX düzeyi ile başlayan hastalar daha uzun toplam klirens süresine ihtiyaç duymakta olup bu durum başlangıç MTX yükü tarafından belirlenmiştir. Pt 1, optimal zamanlama örneğini oluşturmaktadır: en erken HD başlangıcı (17. saat), en yüksek tek seans azalması (%78,6) ve en kısa toplam klirens süresi (176 saat).</w:t>
      </w:r>
    </w:p>
    <w:p w14:paraId="18CD4CEC" w14:textId="77777777" w:rsidR="00880A99" w:rsidRPr="00FB5437" w:rsidRDefault="00000000" w:rsidP="00390241">
      <w:pPr>
        <w:pStyle w:val="Heading3"/>
        <w:jc w:val="both"/>
        <w:rPr>
          <w:lang w:val="tr-TR"/>
        </w:rPr>
      </w:pPr>
      <w:bookmarkStart w:id="13" w:name="ardışık-hd-seanslarında-azalan-etkinlik"/>
      <w:bookmarkEnd w:id="12"/>
      <w:r w:rsidRPr="00FB5437">
        <w:rPr>
          <w:lang w:val="tr-TR"/>
        </w:rPr>
        <w:t>Ardışık HD Seanslarında Azalan Etkinlik</w:t>
      </w:r>
    </w:p>
    <w:p w14:paraId="170CB3E2" w14:textId="77777777" w:rsidR="00880A99" w:rsidRPr="00FB5437" w:rsidRDefault="00000000" w:rsidP="00390241">
      <w:pPr>
        <w:pStyle w:val="FirstParagraph"/>
        <w:jc w:val="both"/>
        <w:rPr>
          <w:lang w:val="tr-TR"/>
        </w:rPr>
      </w:pPr>
      <w:r w:rsidRPr="00FB5437">
        <w:rPr>
          <w:lang w:val="tr-TR"/>
        </w:rPr>
        <w:t>İkiden fazla HD seansı uygulanan hastalarda seans bazında etkinlik analizi yapıldı. Birinci seansta ortalama %66,0 MTX azalması sağlanırken, bu oran 2. seansta %45,3’e, 3. seansta %43,7’ye ve 4. seansta %29,0’a geriledi. Buna karşın kreatinin azalma oranı tüm seanslar boyunca %36,8–53,6 aralığında göreceli sabit kaldı. MTX ve kreatinin klirens paternleri arasındaki bu ayrışma önemli bir farmakokinetik gözlemdir: HD’nin MTX uzaklaştırma kapasitesi azalsa bile, renal replasman işlevini etkin şekilde sürdürdüğünü göstermektedir. MTX’teki azalan verim paterni iki kompartmanlı farmakokinetik davranış ile uyumludur; plazma kompartmanı temizlendikçe doku kompartmanından yavaş redistribüsyon hız sınırlayıcı basamak haline gelmektedir.</w:t>
      </w:r>
    </w:p>
    <w:p w14:paraId="5D5D96C7" w14:textId="77777777" w:rsidR="00880A99" w:rsidRPr="00FB5437" w:rsidRDefault="00000000" w:rsidP="00390241">
      <w:pPr>
        <w:pStyle w:val="BodyText"/>
        <w:jc w:val="both"/>
        <w:rPr>
          <w:lang w:val="tr-TR"/>
        </w:rPr>
      </w:pPr>
      <w:r w:rsidRPr="00FB5437">
        <w:rPr>
          <w:noProof/>
          <w:lang w:val="tr-TR"/>
        </w:rPr>
        <w:drawing>
          <wp:inline distT="0" distB="0" distL="0" distR="0" wp14:anchorId="55F001DB" wp14:editId="7384174E">
            <wp:extent cx="5334000" cy="2088261"/>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fig3.png"/>
                    <pic:cNvPicPr>
                      <a:picLocks noChangeAspect="1" noChangeArrowheads="1"/>
                    </pic:cNvPicPr>
                  </pic:nvPicPr>
                  <pic:blipFill>
                    <a:blip r:embed="rId13"/>
                    <a:stretch>
                      <a:fillRect/>
                    </a:stretch>
                  </pic:blipFill>
                  <pic:spPr bwMode="auto">
                    <a:xfrm>
                      <a:off x="0" y="0"/>
                      <a:ext cx="5334000" cy="2088261"/>
                    </a:xfrm>
                    <a:prstGeom prst="rect">
                      <a:avLst/>
                    </a:prstGeom>
                    <a:noFill/>
                    <a:ln w="9525">
                      <a:noFill/>
                      <a:headEnd/>
                      <a:tailEnd/>
                    </a:ln>
                  </pic:spPr>
                </pic:pic>
              </a:graphicData>
            </a:graphic>
          </wp:inline>
        </w:drawing>
      </w:r>
    </w:p>
    <w:p w14:paraId="6A6E3A8A" w14:textId="77777777" w:rsidR="00880A99" w:rsidRPr="00FB5437" w:rsidRDefault="00000000" w:rsidP="00390241">
      <w:pPr>
        <w:pStyle w:val="BodyText"/>
        <w:jc w:val="both"/>
        <w:rPr>
          <w:lang w:val="tr-TR"/>
        </w:rPr>
      </w:pPr>
      <w:r w:rsidRPr="00FB5437">
        <w:rPr>
          <w:b/>
          <w:bCs/>
          <w:lang w:val="tr-TR"/>
        </w:rPr>
        <w:t>Şekil 3.</w:t>
      </w:r>
      <w:r w:rsidRPr="00FB5437">
        <w:rPr>
          <w:lang w:val="tr-TR"/>
        </w:rPr>
        <w:t xml:space="preserve"> Ardışık HD seanslarında MTX ve kreatinin azalma oranlarının karşılaştırması. Sol panel: ≥2 seans uygulanan hastaların bireysel MTX azalma trajektorileri. Sağ panel: Seans bazında ortalama MTX (mavi) ve kreatinin (kırmızı) azalma oranları. MTX azalması 1. seanstan (%66) itibaren belirgin şekilde düşerken, kreatinin azalması tüm seanslar boyunca %36–54 aralığında sabit kalmaktadır. Bu ayrışma, HD’nin MTX uzaklaştırma kapasitesi azalsa bile renal replasman işlevini sürdürdüğünü göstermektedir.</w:t>
      </w:r>
    </w:p>
    <w:p w14:paraId="21C8AFB4" w14:textId="77777777" w:rsidR="00880A99" w:rsidRPr="00FB5437" w:rsidRDefault="00000000" w:rsidP="00390241">
      <w:pPr>
        <w:pStyle w:val="Heading3"/>
        <w:jc w:val="both"/>
        <w:rPr>
          <w:lang w:val="tr-TR"/>
        </w:rPr>
      </w:pPr>
      <w:bookmarkStart w:id="14" w:name="post-hd-mtx-rebound"/>
      <w:bookmarkEnd w:id="13"/>
      <w:r w:rsidRPr="00FB5437">
        <w:rPr>
          <w:lang w:val="tr-TR"/>
        </w:rPr>
        <w:t>Post-HD MTX Rebound</w:t>
      </w:r>
    </w:p>
    <w:p w14:paraId="2B0951A0" w14:textId="77777777" w:rsidR="00880A99" w:rsidRPr="00FB5437" w:rsidRDefault="00000000" w:rsidP="00390241">
      <w:pPr>
        <w:pStyle w:val="FirstParagraph"/>
        <w:jc w:val="both"/>
        <w:rPr>
          <w:lang w:val="tr-TR"/>
        </w:rPr>
      </w:pPr>
      <w:r w:rsidRPr="00FB5437">
        <w:rPr>
          <w:lang w:val="tr-TR"/>
        </w:rPr>
        <w:t xml:space="preserve">Değerlendirilen 23 HD seansının 6’sında (%26,1) diyaliz sonrası MTX rebound fenomeni (&gt;%5 artış) gözlendi. Medyan rebound büyüklüğü %19,4 (aralık %5,7–%202,5) idi. En belirgin rebound Pt 5da izlendi; post-HD 1,324 µmol/L değeri 2,7 saat içinde 4,005 µmol/L’ye yükseldi. Bu bulgu, tek post-HD ölçümünün gerçek vücut MTX yükünü hafife </w:t>
      </w:r>
      <w:r w:rsidRPr="00FB5437">
        <w:rPr>
          <w:lang w:val="tr-TR"/>
        </w:rPr>
        <w:lastRenderedPageBreak/>
        <w:t>alabileceğini ve HD sonrası 4–6 saat aralıklarla tekrarlanan ölçümlerin önemini göstermektedir.</w:t>
      </w:r>
    </w:p>
    <w:p w14:paraId="1F8D3AAC" w14:textId="77777777" w:rsidR="00880A99" w:rsidRPr="00FB5437" w:rsidRDefault="00000000" w:rsidP="00390241">
      <w:pPr>
        <w:pStyle w:val="Heading3"/>
        <w:jc w:val="both"/>
        <w:rPr>
          <w:lang w:val="tr-TR"/>
        </w:rPr>
      </w:pPr>
      <w:bookmarkStart w:id="15" w:name="doz-toksisite-ilişkisi"/>
      <w:bookmarkEnd w:id="14"/>
      <w:r w:rsidRPr="00FB5437">
        <w:rPr>
          <w:lang w:val="tr-TR"/>
        </w:rPr>
        <w:t>Doz-Toksisite İlişkisi</w:t>
      </w:r>
    </w:p>
    <w:p w14:paraId="0810A045" w14:textId="77777777" w:rsidR="00880A99" w:rsidRPr="00FB5437" w:rsidRDefault="00000000" w:rsidP="00390241">
      <w:pPr>
        <w:pStyle w:val="FirstParagraph"/>
        <w:jc w:val="both"/>
        <w:rPr>
          <w:lang w:val="tr-TR"/>
        </w:rPr>
      </w:pPr>
      <w:r w:rsidRPr="00FB5437">
        <w:rPr>
          <w:lang w:val="tr-TR"/>
        </w:rPr>
        <w:t>MTX dozu (g/m²) ile toksisite parametreleri arasında Spearman korelasyon analizi yapıldı. En güçlü eğilim doz ile pik MTX düzeyi arasında gözlendi (ρ = 0,50; p = 0,116); ancak hiçbir korelasyon istatistiksel anlamlılığa ulaşmadı. Doz ile kreatinin artışı arasında korelasyon saptanmaması (ρ ≈ 0), ABH şiddetinin bu kohortta salt doz bağımlı olmadığını ve hastaya özgü faktörlerle modüle edildiğini düşündürmektedir.</w:t>
      </w:r>
    </w:p>
    <w:p w14:paraId="00E12AFF" w14:textId="77777777" w:rsidR="00880A99" w:rsidRPr="00FB5437" w:rsidRDefault="00000000" w:rsidP="00390241">
      <w:pPr>
        <w:pStyle w:val="Heading3"/>
        <w:jc w:val="both"/>
        <w:rPr>
          <w:lang w:val="tr-TR"/>
        </w:rPr>
      </w:pPr>
      <w:bookmarkStart w:id="16" w:name="böbrek-iyileşme-süresi"/>
      <w:bookmarkEnd w:id="15"/>
      <w:r w:rsidRPr="00FB5437">
        <w:rPr>
          <w:lang w:val="tr-TR"/>
        </w:rPr>
        <w:t>Böbrek İyileşme Süresi</w:t>
      </w:r>
    </w:p>
    <w:p w14:paraId="593B2764" w14:textId="77777777" w:rsidR="00880A99" w:rsidRPr="00FB5437" w:rsidRDefault="00000000" w:rsidP="00390241">
      <w:pPr>
        <w:pStyle w:val="FirstParagraph"/>
        <w:jc w:val="both"/>
        <w:rPr>
          <w:lang w:val="tr-TR"/>
        </w:rPr>
      </w:pPr>
      <w:r w:rsidRPr="00FB5437">
        <w:rPr>
          <w:lang w:val="tr-TR"/>
        </w:rPr>
        <w:t>Renal iyileşme, pik kreatinin değerinin bazalin 1,5 katına veya altına gerilediği ilk zaman noktası olarak tanımlandı. Medyan iyileşme süresi 3,7 gün (DAA 2,1–10,0; aralık 2,0–16,2) idi. Kreatinin artışı &lt;3 kat olan hastalar 2,5 gün içinde iyileşirken, &gt;5 kat artış gösterenler 5–16 gün gerektirdi (ρ = 0,595; p = 0,119). Tüm hastaların takiplerinde kalıcı böbrek hasarı saptanmadı.</w:t>
      </w:r>
    </w:p>
    <w:p w14:paraId="4D630E5B" w14:textId="77777777" w:rsidR="00880A99" w:rsidRPr="00FB5437" w:rsidRDefault="00000000" w:rsidP="00390241">
      <w:pPr>
        <w:pStyle w:val="Heading3"/>
        <w:jc w:val="both"/>
        <w:rPr>
          <w:lang w:val="tr-TR"/>
        </w:rPr>
      </w:pPr>
      <w:bookmarkStart w:id="17" w:name="X11d04ba03efc6e1339f78ff95f023a236bf27eb"/>
      <w:bookmarkEnd w:id="16"/>
      <w:commentRangeStart w:id="18"/>
      <w:r w:rsidRPr="00FB5437">
        <w:rPr>
          <w:lang w:val="tr-TR"/>
        </w:rPr>
        <w:t>MTX ve Kreatinin Klirensinin Bağımsızlığı</w:t>
      </w:r>
    </w:p>
    <w:p w14:paraId="6C2A94FE" w14:textId="77777777" w:rsidR="00880A99" w:rsidRPr="00FB5437" w:rsidRDefault="00000000" w:rsidP="00390241">
      <w:pPr>
        <w:pStyle w:val="FirstParagraph"/>
        <w:jc w:val="both"/>
        <w:rPr>
          <w:lang w:val="tr-TR"/>
        </w:rPr>
      </w:pPr>
      <w:r w:rsidRPr="00FB5437">
        <w:rPr>
          <w:lang w:val="tr-TR"/>
        </w:rPr>
        <w:t>Tüm 34 HD seansında MTX azalma oranı ile kreatinin azalma oranı arasında zayıf ve anlamsız korelasyon saptandı (ρ = 0,229; p = 0,192), bu iki sürecin kısmen bağımsız olduğunu göstermektedir. MTX klirensi plazma konsantrasyon gradyanına bağlıyken, kreatinin uzaklaştırılması sürekli üretim/klirens dengesini yansıtmaktadır.</w:t>
      </w:r>
      <w:commentRangeEnd w:id="18"/>
      <w:r w:rsidR="0051484E">
        <w:rPr>
          <w:rStyle w:val="CommentReference"/>
        </w:rPr>
        <w:commentReference w:id="18"/>
      </w:r>
    </w:p>
    <w:p w14:paraId="38A2CF9B" w14:textId="77777777" w:rsidR="00880A99" w:rsidRPr="00FB5437" w:rsidRDefault="00000000" w:rsidP="00390241">
      <w:pPr>
        <w:pStyle w:val="Heading3"/>
        <w:jc w:val="both"/>
        <w:rPr>
          <w:lang w:val="tr-TR"/>
        </w:rPr>
      </w:pPr>
      <w:bookmarkStart w:id="19" w:name="yatış-süreleri-ve-sonlanım"/>
      <w:bookmarkEnd w:id="17"/>
      <w:r w:rsidRPr="00FB5437">
        <w:rPr>
          <w:lang w:val="tr-TR"/>
        </w:rPr>
        <w:t>Yatış Süreleri ve Sonlanım</w:t>
      </w:r>
    </w:p>
    <w:p w14:paraId="59034666" w14:textId="1E2A3172" w:rsidR="00880A99" w:rsidRPr="00FB5437" w:rsidRDefault="00000000" w:rsidP="00390241">
      <w:pPr>
        <w:pStyle w:val="FirstParagraph"/>
        <w:jc w:val="both"/>
        <w:rPr>
          <w:lang w:val="tr-TR"/>
        </w:rPr>
      </w:pPr>
      <w:r w:rsidRPr="00FB5437">
        <w:rPr>
          <w:lang w:val="tr-TR"/>
        </w:rPr>
        <w:t xml:space="preserve">Medyan yoğun bakım yatış süresi 1 gün (DAA 1–1,5), medyan hastane yatış süresi 15 gün (DAA 12,5–20) idi. En uzun yatışlar (29–30 gün) yüksek kreatinin piki ve yavaş MTX klirensi olan hastalarda gözlendi. </w:t>
      </w:r>
      <w:r w:rsidR="00FB5437" w:rsidRPr="00FB5437">
        <w:rPr>
          <w:lang w:val="tr-TR"/>
        </w:rPr>
        <w:t>HDMTX</w:t>
      </w:r>
      <w:r w:rsidRPr="00FB5437">
        <w:rPr>
          <w:lang w:val="tr-TR"/>
        </w:rPr>
        <w:t xml:space="preserve"> maruziyetine bağlı komplikasyon olarak üç hastada mukozit, bir hastada nötropenik ateş, bir hastada sepsis gelişti. Tüm hastalar yoğun bakım sürecini atlattı, HD’ye bağlı komplikasyon kaydedilmedi ve mortalite gözlenmedi.</w:t>
      </w:r>
    </w:p>
    <w:p w14:paraId="6DB08FC4" w14:textId="77777777" w:rsidR="00880A99" w:rsidRPr="00FB5437" w:rsidRDefault="00822623">
      <w:pPr>
        <w:rPr>
          <w:lang w:val="tr-TR"/>
        </w:rPr>
      </w:pPr>
      <w:r w:rsidRPr="00822623">
        <w:rPr>
          <w:noProof/>
          <w:lang w:val="tr-TR"/>
        </w:rPr>
        <w:pict w14:anchorId="10BE5EBD">
          <v:rect id="_x0000_i1029" alt="" style="width:468pt;height:.05pt;mso-width-percent:0;mso-height-percent:0;mso-width-percent:0;mso-height-percent:0" o:hralign="center" o:hrstd="t" o:hr="t"/>
        </w:pict>
      </w:r>
    </w:p>
    <w:p w14:paraId="298854CE" w14:textId="77777777" w:rsidR="00880A99" w:rsidRPr="00FB5437" w:rsidRDefault="00000000">
      <w:pPr>
        <w:pStyle w:val="FirstParagraph"/>
        <w:rPr>
          <w:lang w:val="tr-TR"/>
        </w:rPr>
      </w:pPr>
      <w:r w:rsidRPr="00FB5437">
        <w:rPr>
          <w:b/>
          <w:bCs/>
          <w:lang w:val="tr-TR"/>
        </w:rPr>
        <w:t>Tablo 1. Hastaların Demografik ve Klinik Özellikleri (n=11)</w:t>
      </w:r>
    </w:p>
    <w:tbl>
      <w:tblPr>
        <w:tblStyle w:val="Table"/>
        <w:tblW w:w="0" w:type="auto"/>
        <w:tblLook w:val="0020" w:firstRow="1" w:lastRow="0" w:firstColumn="0" w:lastColumn="0" w:noHBand="0" w:noVBand="0"/>
      </w:tblPr>
      <w:tblGrid>
        <w:gridCol w:w="4186"/>
        <w:gridCol w:w="2102"/>
      </w:tblGrid>
      <w:tr w:rsidR="00880A99" w:rsidRPr="00FB5437" w14:paraId="49C08803" w14:textId="77777777" w:rsidTr="00880A99">
        <w:trPr>
          <w:cnfStyle w:val="100000000000" w:firstRow="1" w:lastRow="0" w:firstColumn="0" w:lastColumn="0" w:oddVBand="0" w:evenVBand="0" w:oddHBand="0" w:evenHBand="0" w:firstRowFirstColumn="0" w:firstRowLastColumn="0" w:lastRowFirstColumn="0" w:lastRowLastColumn="0"/>
          <w:tblHeader/>
        </w:trPr>
        <w:tc>
          <w:tcPr>
            <w:tcW w:w="0" w:type="auto"/>
          </w:tcPr>
          <w:p w14:paraId="6E2A2D63" w14:textId="77777777" w:rsidR="00880A99" w:rsidRPr="00FB5437" w:rsidRDefault="00000000">
            <w:pPr>
              <w:pStyle w:val="Compact"/>
              <w:rPr>
                <w:lang w:val="tr-TR"/>
              </w:rPr>
            </w:pPr>
            <w:r w:rsidRPr="00FB5437">
              <w:rPr>
                <w:lang w:val="tr-TR"/>
              </w:rPr>
              <w:t>Değişken</w:t>
            </w:r>
          </w:p>
        </w:tc>
        <w:tc>
          <w:tcPr>
            <w:tcW w:w="0" w:type="auto"/>
          </w:tcPr>
          <w:p w14:paraId="631C24E6" w14:textId="77777777" w:rsidR="00880A99" w:rsidRPr="00FB5437" w:rsidRDefault="00000000">
            <w:pPr>
              <w:pStyle w:val="Compact"/>
              <w:rPr>
                <w:lang w:val="tr-TR"/>
              </w:rPr>
            </w:pPr>
            <w:r w:rsidRPr="00FB5437">
              <w:rPr>
                <w:lang w:val="tr-TR"/>
              </w:rPr>
              <w:t>Değer</w:t>
            </w:r>
          </w:p>
        </w:tc>
      </w:tr>
      <w:tr w:rsidR="00880A99" w:rsidRPr="00FB5437" w14:paraId="581DDC53" w14:textId="77777777">
        <w:tc>
          <w:tcPr>
            <w:tcW w:w="0" w:type="auto"/>
          </w:tcPr>
          <w:p w14:paraId="7A2EA99D" w14:textId="77777777" w:rsidR="00880A99" w:rsidRPr="00FB5437" w:rsidRDefault="00000000">
            <w:pPr>
              <w:pStyle w:val="Compact"/>
              <w:rPr>
                <w:lang w:val="tr-TR"/>
              </w:rPr>
            </w:pPr>
            <w:r w:rsidRPr="00FB5437">
              <w:rPr>
                <w:b/>
                <w:bCs/>
                <w:lang w:val="tr-TR"/>
              </w:rPr>
              <w:t>Demografik</w:t>
            </w:r>
          </w:p>
        </w:tc>
        <w:tc>
          <w:tcPr>
            <w:tcW w:w="0" w:type="auto"/>
          </w:tcPr>
          <w:p w14:paraId="6B2DD3A9" w14:textId="77777777" w:rsidR="00880A99" w:rsidRPr="00FB5437" w:rsidRDefault="00880A99">
            <w:pPr>
              <w:pStyle w:val="Compact"/>
              <w:rPr>
                <w:lang w:val="tr-TR"/>
              </w:rPr>
            </w:pPr>
          </w:p>
        </w:tc>
      </w:tr>
      <w:tr w:rsidR="00880A99" w:rsidRPr="00FB5437" w14:paraId="6C7D808F" w14:textId="77777777">
        <w:tc>
          <w:tcPr>
            <w:tcW w:w="0" w:type="auto"/>
          </w:tcPr>
          <w:p w14:paraId="0C9A4594" w14:textId="77777777" w:rsidR="00880A99" w:rsidRPr="00FB5437" w:rsidRDefault="00000000">
            <w:pPr>
              <w:pStyle w:val="Compact"/>
              <w:rPr>
                <w:lang w:val="tr-TR"/>
              </w:rPr>
            </w:pPr>
            <w:r w:rsidRPr="00FB5437">
              <w:rPr>
                <w:lang w:val="tr-TR"/>
              </w:rPr>
              <w:t>Yaş, yıl, medyan (DAA)</w:t>
            </w:r>
          </w:p>
        </w:tc>
        <w:tc>
          <w:tcPr>
            <w:tcW w:w="0" w:type="auto"/>
          </w:tcPr>
          <w:p w14:paraId="156C080C" w14:textId="77777777" w:rsidR="00880A99" w:rsidRPr="00FB5437" w:rsidRDefault="00000000">
            <w:pPr>
              <w:pStyle w:val="Compact"/>
              <w:rPr>
                <w:lang w:val="tr-TR"/>
              </w:rPr>
            </w:pPr>
            <w:r w:rsidRPr="00FB5437">
              <w:rPr>
                <w:lang w:val="tr-TR"/>
              </w:rPr>
              <w:t>11,3 (5,0–13,4)</w:t>
            </w:r>
          </w:p>
        </w:tc>
      </w:tr>
      <w:tr w:rsidR="00880A99" w:rsidRPr="00FB5437" w14:paraId="4B80D5B1" w14:textId="77777777">
        <w:tc>
          <w:tcPr>
            <w:tcW w:w="0" w:type="auto"/>
          </w:tcPr>
          <w:p w14:paraId="25B9E3BD" w14:textId="77777777" w:rsidR="00880A99" w:rsidRPr="00FB5437" w:rsidRDefault="00000000">
            <w:pPr>
              <w:pStyle w:val="Compact"/>
              <w:rPr>
                <w:lang w:val="tr-TR"/>
              </w:rPr>
            </w:pPr>
            <w:r w:rsidRPr="00FB5437">
              <w:rPr>
                <w:lang w:val="tr-TR"/>
              </w:rPr>
              <w:t>Cinsiyet, erkek, n (%)</w:t>
            </w:r>
          </w:p>
        </w:tc>
        <w:tc>
          <w:tcPr>
            <w:tcW w:w="0" w:type="auto"/>
          </w:tcPr>
          <w:p w14:paraId="676291D0" w14:textId="77777777" w:rsidR="00880A99" w:rsidRPr="00FB5437" w:rsidRDefault="00000000">
            <w:pPr>
              <w:pStyle w:val="Compact"/>
              <w:rPr>
                <w:lang w:val="tr-TR"/>
              </w:rPr>
            </w:pPr>
            <w:r w:rsidRPr="00FB5437">
              <w:rPr>
                <w:lang w:val="tr-TR"/>
              </w:rPr>
              <w:t>11 (100)</w:t>
            </w:r>
          </w:p>
        </w:tc>
      </w:tr>
      <w:tr w:rsidR="00880A99" w:rsidRPr="00FB5437" w14:paraId="4B5DBF1D" w14:textId="77777777">
        <w:tc>
          <w:tcPr>
            <w:tcW w:w="0" w:type="auto"/>
          </w:tcPr>
          <w:p w14:paraId="2892CE2E" w14:textId="77777777" w:rsidR="00880A99" w:rsidRPr="00FB5437" w:rsidRDefault="00000000">
            <w:pPr>
              <w:pStyle w:val="Compact"/>
              <w:rPr>
                <w:lang w:val="tr-TR"/>
              </w:rPr>
            </w:pPr>
            <w:r w:rsidRPr="00FB5437">
              <w:rPr>
                <w:lang w:val="tr-TR"/>
              </w:rPr>
              <w:t>Vücut ağırlığı, kg, medyan (DAA)</w:t>
            </w:r>
          </w:p>
        </w:tc>
        <w:tc>
          <w:tcPr>
            <w:tcW w:w="0" w:type="auto"/>
          </w:tcPr>
          <w:p w14:paraId="22FC7D40" w14:textId="77777777" w:rsidR="00880A99" w:rsidRPr="00FB5437" w:rsidRDefault="00000000">
            <w:pPr>
              <w:pStyle w:val="Compact"/>
              <w:rPr>
                <w:lang w:val="tr-TR"/>
              </w:rPr>
            </w:pPr>
            <w:r w:rsidRPr="00FB5437">
              <w:rPr>
                <w:lang w:val="tr-TR"/>
              </w:rPr>
              <w:t>52,0 (28,0–60,3)</w:t>
            </w:r>
          </w:p>
        </w:tc>
      </w:tr>
      <w:tr w:rsidR="00880A99" w:rsidRPr="00FB5437" w14:paraId="5308AD0D" w14:textId="77777777">
        <w:tc>
          <w:tcPr>
            <w:tcW w:w="0" w:type="auto"/>
          </w:tcPr>
          <w:p w14:paraId="6679A495" w14:textId="77777777" w:rsidR="00880A99" w:rsidRPr="00FB5437" w:rsidRDefault="00000000">
            <w:pPr>
              <w:pStyle w:val="Compact"/>
              <w:rPr>
                <w:lang w:val="tr-TR"/>
              </w:rPr>
            </w:pPr>
            <w:r w:rsidRPr="00FB5437">
              <w:rPr>
                <w:lang w:val="tr-TR"/>
              </w:rPr>
              <w:t>Vücut ağırlığı Z-skoru, medyan (aralık)</w:t>
            </w:r>
          </w:p>
        </w:tc>
        <w:tc>
          <w:tcPr>
            <w:tcW w:w="0" w:type="auto"/>
          </w:tcPr>
          <w:p w14:paraId="63ABDB4B" w14:textId="77777777" w:rsidR="00880A99" w:rsidRPr="00FB5437" w:rsidRDefault="00000000">
            <w:pPr>
              <w:pStyle w:val="Compact"/>
              <w:rPr>
                <w:lang w:val="tr-TR"/>
              </w:rPr>
            </w:pPr>
            <w:r w:rsidRPr="00FB5437">
              <w:rPr>
                <w:lang w:val="tr-TR"/>
              </w:rPr>
              <w:t>0,51 (-1,20 – 2,54)</w:t>
            </w:r>
          </w:p>
        </w:tc>
      </w:tr>
      <w:tr w:rsidR="00880A99" w:rsidRPr="00FB5437" w14:paraId="55F4CCE3" w14:textId="77777777">
        <w:tc>
          <w:tcPr>
            <w:tcW w:w="0" w:type="auto"/>
          </w:tcPr>
          <w:p w14:paraId="0EE3BFA4" w14:textId="77777777" w:rsidR="00880A99" w:rsidRPr="00FB5437" w:rsidRDefault="00000000">
            <w:pPr>
              <w:pStyle w:val="Compact"/>
              <w:rPr>
                <w:lang w:val="tr-TR"/>
              </w:rPr>
            </w:pPr>
            <w:r w:rsidRPr="00FB5437">
              <w:rPr>
                <w:b/>
                <w:bCs/>
                <w:lang w:val="tr-TR"/>
              </w:rPr>
              <w:t>Tanı, n (%)</w:t>
            </w:r>
          </w:p>
        </w:tc>
        <w:tc>
          <w:tcPr>
            <w:tcW w:w="0" w:type="auto"/>
          </w:tcPr>
          <w:p w14:paraId="523BA9FA" w14:textId="77777777" w:rsidR="00880A99" w:rsidRPr="00FB5437" w:rsidRDefault="00880A99">
            <w:pPr>
              <w:pStyle w:val="Compact"/>
              <w:rPr>
                <w:lang w:val="tr-TR"/>
              </w:rPr>
            </w:pPr>
          </w:p>
        </w:tc>
      </w:tr>
      <w:tr w:rsidR="00880A99" w:rsidRPr="00FB5437" w14:paraId="5694EEC2" w14:textId="77777777">
        <w:tc>
          <w:tcPr>
            <w:tcW w:w="0" w:type="auto"/>
          </w:tcPr>
          <w:p w14:paraId="2B64FDFA" w14:textId="77777777" w:rsidR="00880A99" w:rsidRPr="00FB5437" w:rsidRDefault="00000000">
            <w:pPr>
              <w:pStyle w:val="Compact"/>
              <w:rPr>
                <w:lang w:val="tr-TR"/>
              </w:rPr>
            </w:pPr>
            <w:r w:rsidRPr="00FB5437">
              <w:rPr>
                <w:lang w:val="tr-TR"/>
              </w:rPr>
              <w:t>Hematolojik malignite</w:t>
            </w:r>
          </w:p>
        </w:tc>
        <w:tc>
          <w:tcPr>
            <w:tcW w:w="0" w:type="auto"/>
          </w:tcPr>
          <w:p w14:paraId="5C702DAB" w14:textId="77777777" w:rsidR="00880A99" w:rsidRPr="00FB5437" w:rsidRDefault="00000000">
            <w:pPr>
              <w:pStyle w:val="Compact"/>
              <w:rPr>
                <w:lang w:val="tr-TR"/>
              </w:rPr>
            </w:pPr>
            <w:r w:rsidRPr="00FB5437">
              <w:rPr>
                <w:lang w:val="tr-TR"/>
              </w:rPr>
              <w:t>8 (72,7)</w:t>
            </w:r>
          </w:p>
        </w:tc>
      </w:tr>
      <w:tr w:rsidR="00880A99" w:rsidRPr="00FB5437" w14:paraId="7C3FC5A1" w14:textId="77777777">
        <w:tc>
          <w:tcPr>
            <w:tcW w:w="0" w:type="auto"/>
          </w:tcPr>
          <w:p w14:paraId="2A986910" w14:textId="77777777" w:rsidR="00880A99" w:rsidRPr="00FB5437" w:rsidRDefault="00000000">
            <w:pPr>
              <w:pStyle w:val="Compact"/>
              <w:rPr>
                <w:lang w:val="tr-TR"/>
              </w:rPr>
            </w:pPr>
            <w:r w:rsidRPr="00FB5437">
              <w:rPr>
                <w:lang w:val="tr-TR"/>
              </w:rPr>
              <w:lastRenderedPageBreak/>
              <w:t>Lenfoma</w:t>
            </w:r>
          </w:p>
        </w:tc>
        <w:tc>
          <w:tcPr>
            <w:tcW w:w="0" w:type="auto"/>
          </w:tcPr>
          <w:p w14:paraId="34034376" w14:textId="77777777" w:rsidR="00880A99" w:rsidRPr="00FB5437" w:rsidRDefault="00000000">
            <w:pPr>
              <w:pStyle w:val="Compact"/>
              <w:rPr>
                <w:lang w:val="tr-TR"/>
              </w:rPr>
            </w:pPr>
            <w:r w:rsidRPr="00FB5437">
              <w:rPr>
                <w:lang w:val="tr-TR"/>
              </w:rPr>
              <w:t>6 (54,5)</w:t>
            </w:r>
          </w:p>
        </w:tc>
      </w:tr>
      <w:tr w:rsidR="00880A99" w:rsidRPr="00FB5437" w14:paraId="0CA3FB93" w14:textId="77777777">
        <w:tc>
          <w:tcPr>
            <w:tcW w:w="0" w:type="auto"/>
          </w:tcPr>
          <w:p w14:paraId="358DA16F" w14:textId="77777777" w:rsidR="00880A99" w:rsidRPr="00FB5437" w:rsidRDefault="00000000">
            <w:pPr>
              <w:pStyle w:val="Compact"/>
              <w:rPr>
                <w:lang w:val="tr-TR"/>
              </w:rPr>
            </w:pPr>
            <w:r w:rsidRPr="00FB5437">
              <w:rPr>
                <w:lang w:val="tr-TR"/>
              </w:rPr>
              <w:t>Akut lenfoblastik lösemi</w:t>
            </w:r>
          </w:p>
        </w:tc>
        <w:tc>
          <w:tcPr>
            <w:tcW w:w="0" w:type="auto"/>
          </w:tcPr>
          <w:p w14:paraId="1576E10A" w14:textId="77777777" w:rsidR="00880A99" w:rsidRPr="00FB5437" w:rsidRDefault="00000000">
            <w:pPr>
              <w:pStyle w:val="Compact"/>
              <w:rPr>
                <w:lang w:val="tr-TR"/>
              </w:rPr>
            </w:pPr>
            <w:r w:rsidRPr="00FB5437">
              <w:rPr>
                <w:lang w:val="tr-TR"/>
              </w:rPr>
              <w:t>2 (18,2)</w:t>
            </w:r>
          </w:p>
        </w:tc>
      </w:tr>
      <w:tr w:rsidR="00880A99" w:rsidRPr="00FB5437" w14:paraId="58A6BB2B" w14:textId="77777777">
        <w:tc>
          <w:tcPr>
            <w:tcW w:w="0" w:type="auto"/>
          </w:tcPr>
          <w:p w14:paraId="09F7000F" w14:textId="77777777" w:rsidR="00880A99" w:rsidRPr="00FB5437" w:rsidRDefault="00000000">
            <w:pPr>
              <w:pStyle w:val="Compact"/>
              <w:rPr>
                <w:lang w:val="tr-TR"/>
              </w:rPr>
            </w:pPr>
            <w:r w:rsidRPr="00FB5437">
              <w:rPr>
                <w:lang w:val="tr-TR"/>
              </w:rPr>
              <w:t>Osteosarkom</w:t>
            </w:r>
          </w:p>
        </w:tc>
        <w:tc>
          <w:tcPr>
            <w:tcW w:w="0" w:type="auto"/>
          </w:tcPr>
          <w:p w14:paraId="63CA0821" w14:textId="77777777" w:rsidR="00880A99" w:rsidRPr="00FB5437" w:rsidRDefault="00000000">
            <w:pPr>
              <w:pStyle w:val="Compact"/>
              <w:rPr>
                <w:lang w:val="tr-TR"/>
              </w:rPr>
            </w:pPr>
            <w:r w:rsidRPr="00FB5437">
              <w:rPr>
                <w:lang w:val="tr-TR"/>
              </w:rPr>
              <w:t>3 (27,3)</w:t>
            </w:r>
          </w:p>
        </w:tc>
      </w:tr>
      <w:tr w:rsidR="00880A99" w:rsidRPr="00FB5437" w14:paraId="38DF129D" w14:textId="77777777">
        <w:tc>
          <w:tcPr>
            <w:tcW w:w="0" w:type="auto"/>
          </w:tcPr>
          <w:p w14:paraId="0F675104" w14:textId="77777777" w:rsidR="00880A99" w:rsidRPr="00FB5437" w:rsidRDefault="00000000">
            <w:pPr>
              <w:pStyle w:val="Compact"/>
              <w:rPr>
                <w:lang w:val="tr-TR"/>
              </w:rPr>
            </w:pPr>
            <w:r w:rsidRPr="00FB5437">
              <w:rPr>
                <w:b/>
                <w:bCs/>
                <w:lang w:val="tr-TR"/>
              </w:rPr>
              <w:t>MTX tedavisi</w:t>
            </w:r>
          </w:p>
        </w:tc>
        <w:tc>
          <w:tcPr>
            <w:tcW w:w="0" w:type="auto"/>
          </w:tcPr>
          <w:p w14:paraId="099BCB9E" w14:textId="77777777" w:rsidR="00880A99" w:rsidRPr="00FB5437" w:rsidRDefault="00880A99">
            <w:pPr>
              <w:pStyle w:val="Compact"/>
              <w:rPr>
                <w:lang w:val="tr-TR"/>
              </w:rPr>
            </w:pPr>
          </w:p>
        </w:tc>
      </w:tr>
      <w:tr w:rsidR="00880A99" w:rsidRPr="00FB5437" w14:paraId="414C6716" w14:textId="77777777">
        <w:tc>
          <w:tcPr>
            <w:tcW w:w="0" w:type="auto"/>
          </w:tcPr>
          <w:p w14:paraId="60D9DCF0" w14:textId="77777777" w:rsidR="00880A99" w:rsidRPr="00FB5437" w:rsidRDefault="00000000">
            <w:pPr>
              <w:pStyle w:val="Compact"/>
              <w:rPr>
                <w:lang w:val="tr-TR"/>
              </w:rPr>
            </w:pPr>
            <w:r w:rsidRPr="00FB5437">
              <w:rPr>
                <w:lang w:val="tr-TR"/>
              </w:rPr>
              <w:t>MTX dozu, g/m², medyan (DAA)</w:t>
            </w:r>
          </w:p>
        </w:tc>
        <w:tc>
          <w:tcPr>
            <w:tcW w:w="0" w:type="auto"/>
          </w:tcPr>
          <w:p w14:paraId="20FDBD1B" w14:textId="77777777" w:rsidR="00880A99" w:rsidRPr="00FB5437" w:rsidRDefault="00000000">
            <w:pPr>
              <w:pStyle w:val="Compact"/>
              <w:rPr>
                <w:lang w:val="tr-TR"/>
              </w:rPr>
            </w:pPr>
            <w:r w:rsidRPr="00FB5437">
              <w:rPr>
                <w:lang w:val="tr-TR"/>
              </w:rPr>
              <w:t>5,00 (5,00–8,66)</w:t>
            </w:r>
          </w:p>
        </w:tc>
      </w:tr>
      <w:tr w:rsidR="00880A99" w:rsidRPr="00FB5437" w14:paraId="798A49C7" w14:textId="77777777">
        <w:tc>
          <w:tcPr>
            <w:tcW w:w="0" w:type="auto"/>
          </w:tcPr>
          <w:p w14:paraId="2B1B8C43" w14:textId="77777777" w:rsidR="00880A99" w:rsidRPr="00FB5437" w:rsidRDefault="00000000">
            <w:pPr>
              <w:pStyle w:val="Compact"/>
              <w:rPr>
                <w:lang w:val="tr-TR"/>
              </w:rPr>
            </w:pPr>
            <w:r w:rsidRPr="00FB5437">
              <w:rPr>
                <w:lang w:val="tr-TR"/>
              </w:rPr>
              <w:t>İnfüzyon süresi, saat, medyan (DAA)</w:t>
            </w:r>
          </w:p>
        </w:tc>
        <w:tc>
          <w:tcPr>
            <w:tcW w:w="0" w:type="auto"/>
          </w:tcPr>
          <w:p w14:paraId="5AE0B4F0" w14:textId="77777777" w:rsidR="00880A99" w:rsidRPr="00FB5437" w:rsidRDefault="00000000">
            <w:pPr>
              <w:pStyle w:val="Compact"/>
              <w:rPr>
                <w:lang w:val="tr-TR"/>
              </w:rPr>
            </w:pPr>
            <w:r w:rsidRPr="00FB5437">
              <w:rPr>
                <w:lang w:val="tr-TR"/>
              </w:rPr>
              <w:t>24 (5–24)</w:t>
            </w:r>
          </w:p>
        </w:tc>
      </w:tr>
      <w:tr w:rsidR="00880A99" w:rsidRPr="00FB5437" w14:paraId="49A864C6" w14:textId="77777777">
        <w:tc>
          <w:tcPr>
            <w:tcW w:w="0" w:type="auto"/>
          </w:tcPr>
          <w:p w14:paraId="493D5B64" w14:textId="77777777" w:rsidR="00880A99" w:rsidRPr="00FB5437" w:rsidRDefault="00000000">
            <w:pPr>
              <w:pStyle w:val="Compact"/>
              <w:rPr>
                <w:lang w:val="tr-TR"/>
              </w:rPr>
            </w:pPr>
            <w:r w:rsidRPr="00FB5437">
              <w:rPr>
                <w:lang w:val="tr-TR"/>
              </w:rPr>
              <w:t>Toksisite gelişen kür, medyan (DAA)</w:t>
            </w:r>
          </w:p>
        </w:tc>
        <w:tc>
          <w:tcPr>
            <w:tcW w:w="0" w:type="auto"/>
          </w:tcPr>
          <w:p w14:paraId="51E7EE28" w14:textId="77777777" w:rsidR="00880A99" w:rsidRPr="00FB5437" w:rsidRDefault="00000000">
            <w:pPr>
              <w:pStyle w:val="Compact"/>
              <w:rPr>
                <w:lang w:val="tr-TR"/>
              </w:rPr>
            </w:pPr>
            <w:r w:rsidRPr="00FB5437">
              <w:rPr>
                <w:lang w:val="tr-TR"/>
              </w:rPr>
              <w:t>2 (1–3,5)</w:t>
            </w:r>
          </w:p>
        </w:tc>
      </w:tr>
      <w:tr w:rsidR="00880A99" w:rsidRPr="00FB5437" w14:paraId="2A1FA816" w14:textId="77777777">
        <w:tc>
          <w:tcPr>
            <w:tcW w:w="0" w:type="auto"/>
          </w:tcPr>
          <w:p w14:paraId="5C2EDD84" w14:textId="77777777" w:rsidR="00880A99" w:rsidRPr="00FB5437" w:rsidRDefault="00000000">
            <w:pPr>
              <w:pStyle w:val="Compact"/>
              <w:rPr>
                <w:lang w:val="tr-TR"/>
              </w:rPr>
            </w:pPr>
            <w:r w:rsidRPr="00FB5437">
              <w:rPr>
                <w:b/>
                <w:bCs/>
                <w:lang w:val="tr-TR"/>
              </w:rPr>
              <w:t>Böbrek fonksiyonları</w:t>
            </w:r>
          </w:p>
        </w:tc>
        <w:tc>
          <w:tcPr>
            <w:tcW w:w="0" w:type="auto"/>
          </w:tcPr>
          <w:p w14:paraId="0CF4E5C7" w14:textId="77777777" w:rsidR="00880A99" w:rsidRPr="00FB5437" w:rsidRDefault="00880A99">
            <w:pPr>
              <w:pStyle w:val="Compact"/>
              <w:rPr>
                <w:lang w:val="tr-TR"/>
              </w:rPr>
            </w:pPr>
          </w:p>
        </w:tc>
      </w:tr>
      <w:tr w:rsidR="00880A99" w:rsidRPr="00FB5437" w14:paraId="49874DB5" w14:textId="77777777">
        <w:tc>
          <w:tcPr>
            <w:tcW w:w="0" w:type="auto"/>
          </w:tcPr>
          <w:p w14:paraId="1B800E97" w14:textId="77777777" w:rsidR="00880A99" w:rsidRPr="00FB5437" w:rsidRDefault="00000000">
            <w:pPr>
              <w:pStyle w:val="Compact"/>
              <w:rPr>
                <w:lang w:val="tr-TR"/>
              </w:rPr>
            </w:pPr>
            <w:r w:rsidRPr="00FB5437">
              <w:rPr>
                <w:lang w:val="tr-TR"/>
              </w:rPr>
              <w:t>Bazal kreatinin, mg/dL, medyan (DAA)</w:t>
            </w:r>
          </w:p>
        </w:tc>
        <w:tc>
          <w:tcPr>
            <w:tcW w:w="0" w:type="auto"/>
          </w:tcPr>
          <w:p w14:paraId="1ABC6BFB" w14:textId="77777777" w:rsidR="00880A99" w:rsidRPr="00FB5437" w:rsidRDefault="00000000">
            <w:pPr>
              <w:pStyle w:val="Compact"/>
              <w:rPr>
                <w:lang w:val="tr-TR"/>
              </w:rPr>
            </w:pPr>
            <w:r w:rsidRPr="00FB5437">
              <w:rPr>
                <w:lang w:val="tr-TR"/>
              </w:rPr>
              <w:t>0,41 (0,32–0,51)</w:t>
            </w:r>
          </w:p>
        </w:tc>
      </w:tr>
      <w:tr w:rsidR="00880A99" w:rsidRPr="00FB5437" w14:paraId="41E1D336" w14:textId="77777777">
        <w:tc>
          <w:tcPr>
            <w:tcW w:w="0" w:type="auto"/>
          </w:tcPr>
          <w:p w14:paraId="66BCE434" w14:textId="77777777" w:rsidR="00880A99" w:rsidRPr="00FB5437" w:rsidRDefault="00000000">
            <w:pPr>
              <w:pStyle w:val="Compact"/>
              <w:rPr>
                <w:lang w:val="tr-TR"/>
              </w:rPr>
            </w:pPr>
            <w:r w:rsidRPr="00FB5437">
              <w:rPr>
                <w:lang w:val="tr-TR"/>
              </w:rPr>
              <w:t>Pik kreatinin, mg/dL, medyan (DAA)</w:t>
            </w:r>
          </w:p>
        </w:tc>
        <w:tc>
          <w:tcPr>
            <w:tcW w:w="0" w:type="auto"/>
          </w:tcPr>
          <w:p w14:paraId="778B9BB8" w14:textId="77777777" w:rsidR="00880A99" w:rsidRPr="00FB5437" w:rsidRDefault="00000000">
            <w:pPr>
              <w:pStyle w:val="Compact"/>
              <w:rPr>
                <w:lang w:val="tr-TR"/>
              </w:rPr>
            </w:pPr>
            <w:r w:rsidRPr="00FB5437">
              <w:rPr>
                <w:lang w:val="tr-TR"/>
              </w:rPr>
              <w:t>1,60 (0,98–1,92)</w:t>
            </w:r>
          </w:p>
        </w:tc>
      </w:tr>
      <w:tr w:rsidR="00880A99" w:rsidRPr="00FB5437" w14:paraId="59546794" w14:textId="77777777">
        <w:tc>
          <w:tcPr>
            <w:tcW w:w="0" w:type="auto"/>
          </w:tcPr>
          <w:p w14:paraId="0F7091B7" w14:textId="77777777" w:rsidR="00880A99" w:rsidRPr="00FB5437" w:rsidRDefault="00000000">
            <w:pPr>
              <w:pStyle w:val="Compact"/>
              <w:rPr>
                <w:lang w:val="tr-TR"/>
              </w:rPr>
            </w:pPr>
            <w:r w:rsidRPr="00FB5437">
              <w:rPr>
                <w:lang w:val="tr-TR"/>
              </w:rPr>
              <w:t>Kreatinin artış katı, medyan (DAA)</w:t>
            </w:r>
          </w:p>
        </w:tc>
        <w:tc>
          <w:tcPr>
            <w:tcW w:w="0" w:type="auto"/>
          </w:tcPr>
          <w:p w14:paraId="6C92DDD0" w14:textId="77777777" w:rsidR="00880A99" w:rsidRPr="00FB5437" w:rsidRDefault="00000000">
            <w:pPr>
              <w:pStyle w:val="Compact"/>
              <w:rPr>
                <w:lang w:val="tr-TR"/>
              </w:rPr>
            </w:pPr>
            <w:r w:rsidRPr="00FB5437">
              <w:rPr>
                <w:lang w:val="tr-TR"/>
              </w:rPr>
              <w:t>2,86 (2,54–4,66)</w:t>
            </w:r>
          </w:p>
        </w:tc>
      </w:tr>
      <w:tr w:rsidR="00880A99" w:rsidRPr="00FB5437" w14:paraId="2767E9A2" w14:textId="77777777">
        <w:tc>
          <w:tcPr>
            <w:tcW w:w="0" w:type="auto"/>
          </w:tcPr>
          <w:p w14:paraId="16166BB7" w14:textId="77777777" w:rsidR="00880A99" w:rsidRPr="00FB5437" w:rsidRDefault="00000000">
            <w:pPr>
              <w:pStyle w:val="Compact"/>
              <w:rPr>
                <w:lang w:val="tr-TR"/>
              </w:rPr>
            </w:pPr>
            <w:r w:rsidRPr="00FB5437">
              <w:rPr>
                <w:lang w:val="tr-TR"/>
              </w:rPr>
              <w:t>KDIGO evresi 0 / 1 / 2 / 3, n</w:t>
            </w:r>
          </w:p>
        </w:tc>
        <w:tc>
          <w:tcPr>
            <w:tcW w:w="0" w:type="auto"/>
          </w:tcPr>
          <w:p w14:paraId="752F01E0" w14:textId="77777777" w:rsidR="00880A99" w:rsidRPr="00FB5437" w:rsidRDefault="00000000">
            <w:pPr>
              <w:pStyle w:val="Compact"/>
              <w:rPr>
                <w:lang w:val="tr-TR"/>
              </w:rPr>
            </w:pPr>
            <w:r w:rsidRPr="00FB5437">
              <w:rPr>
                <w:lang w:val="tr-TR"/>
              </w:rPr>
              <w:t>1 / 2 / 5 / 3</w:t>
            </w:r>
          </w:p>
        </w:tc>
      </w:tr>
      <w:tr w:rsidR="00880A99" w:rsidRPr="00FB5437" w14:paraId="762E40FF" w14:textId="77777777">
        <w:tc>
          <w:tcPr>
            <w:tcW w:w="0" w:type="auto"/>
          </w:tcPr>
          <w:p w14:paraId="587ABE0C" w14:textId="77777777" w:rsidR="00880A99" w:rsidRPr="00FB5437" w:rsidRDefault="00000000">
            <w:pPr>
              <w:pStyle w:val="Compact"/>
              <w:rPr>
                <w:lang w:val="tr-TR"/>
              </w:rPr>
            </w:pPr>
            <w:r w:rsidRPr="00FB5437">
              <w:rPr>
                <w:b/>
                <w:bCs/>
                <w:lang w:val="tr-TR"/>
              </w:rPr>
              <w:t>Komplikasyonlar (ABH dışı), n (%)</w:t>
            </w:r>
          </w:p>
        </w:tc>
        <w:tc>
          <w:tcPr>
            <w:tcW w:w="0" w:type="auto"/>
          </w:tcPr>
          <w:p w14:paraId="77D9B629" w14:textId="77777777" w:rsidR="00880A99" w:rsidRPr="00FB5437" w:rsidRDefault="00880A99">
            <w:pPr>
              <w:pStyle w:val="Compact"/>
              <w:rPr>
                <w:lang w:val="tr-TR"/>
              </w:rPr>
            </w:pPr>
          </w:p>
        </w:tc>
      </w:tr>
      <w:tr w:rsidR="00880A99" w:rsidRPr="00FB5437" w14:paraId="550B972C" w14:textId="77777777">
        <w:tc>
          <w:tcPr>
            <w:tcW w:w="0" w:type="auto"/>
          </w:tcPr>
          <w:p w14:paraId="67806B73" w14:textId="77777777" w:rsidR="00880A99" w:rsidRPr="00FB5437" w:rsidRDefault="00000000">
            <w:pPr>
              <w:pStyle w:val="Compact"/>
              <w:rPr>
                <w:lang w:val="tr-TR"/>
              </w:rPr>
            </w:pPr>
            <w:r w:rsidRPr="00FB5437">
              <w:rPr>
                <w:lang w:val="tr-TR"/>
              </w:rPr>
              <w:t>Mukozit</w:t>
            </w:r>
          </w:p>
        </w:tc>
        <w:tc>
          <w:tcPr>
            <w:tcW w:w="0" w:type="auto"/>
          </w:tcPr>
          <w:p w14:paraId="44A6FB83" w14:textId="77777777" w:rsidR="00880A99" w:rsidRPr="00FB5437" w:rsidRDefault="00000000">
            <w:pPr>
              <w:pStyle w:val="Compact"/>
              <w:rPr>
                <w:lang w:val="tr-TR"/>
              </w:rPr>
            </w:pPr>
            <w:r w:rsidRPr="00FB5437">
              <w:rPr>
                <w:lang w:val="tr-TR"/>
              </w:rPr>
              <w:t>3 (27,3)</w:t>
            </w:r>
          </w:p>
        </w:tc>
      </w:tr>
      <w:tr w:rsidR="00880A99" w:rsidRPr="00FB5437" w14:paraId="6D9AFBA3" w14:textId="77777777">
        <w:tc>
          <w:tcPr>
            <w:tcW w:w="0" w:type="auto"/>
          </w:tcPr>
          <w:p w14:paraId="38B350DF" w14:textId="77777777" w:rsidR="00880A99" w:rsidRPr="00FB5437" w:rsidRDefault="00000000">
            <w:pPr>
              <w:pStyle w:val="Compact"/>
              <w:rPr>
                <w:lang w:val="tr-TR"/>
              </w:rPr>
            </w:pPr>
            <w:r w:rsidRPr="00FB5437">
              <w:rPr>
                <w:lang w:val="tr-TR"/>
              </w:rPr>
              <w:t>Nötropenik ateş / nötropeni</w:t>
            </w:r>
          </w:p>
        </w:tc>
        <w:tc>
          <w:tcPr>
            <w:tcW w:w="0" w:type="auto"/>
          </w:tcPr>
          <w:p w14:paraId="52324557" w14:textId="77777777" w:rsidR="00880A99" w:rsidRPr="00FB5437" w:rsidRDefault="00000000">
            <w:pPr>
              <w:pStyle w:val="Compact"/>
              <w:rPr>
                <w:lang w:val="tr-TR"/>
              </w:rPr>
            </w:pPr>
            <w:r w:rsidRPr="00FB5437">
              <w:rPr>
                <w:lang w:val="tr-TR"/>
              </w:rPr>
              <w:t>2 (18,2)</w:t>
            </w:r>
          </w:p>
        </w:tc>
      </w:tr>
      <w:tr w:rsidR="00880A99" w:rsidRPr="00FB5437" w14:paraId="17C1255F" w14:textId="77777777">
        <w:tc>
          <w:tcPr>
            <w:tcW w:w="0" w:type="auto"/>
          </w:tcPr>
          <w:p w14:paraId="6DB47EAB" w14:textId="77777777" w:rsidR="00880A99" w:rsidRPr="00FB5437" w:rsidRDefault="00000000">
            <w:pPr>
              <w:pStyle w:val="Compact"/>
              <w:rPr>
                <w:lang w:val="tr-TR"/>
              </w:rPr>
            </w:pPr>
            <w:r w:rsidRPr="00FB5437">
              <w:rPr>
                <w:lang w:val="tr-TR"/>
              </w:rPr>
              <w:t>Sepsis</w:t>
            </w:r>
          </w:p>
        </w:tc>
        <w:tc>
          <w:tcPr>
            <w:tcW w:w="0" w:type="auto"/>
          </w:tcPr>
          <w:p w14:paraId="406C59E3" w14:textId="77777777" w:rsidR="00880A99" w:rsidRPr="00FB5437" w:rsidRDefault="00000000">
            <w:pPr>
              <w:pStyle w:val="Compact"/>
              <w:rPr>
                <w:lang w:val="tr-TR"/>
              </w:rPr>
            </w:pPr>
            <w:r w:rsidRPr="00FB5437">
              <w:rPr>
                <w:lang w:val="tr-TR"/>
              </w:rPr>
              <w:t>1 (9,1)</w:t>
            </w:r>
          </w:p>
        </w:tc>
      </w:tr>
      <w:tr w:rsidR="00880A99" w:rsidRPr="00FB5437" w14:paraId="48DFE669" w14:textId="77777777">
        <w:tc>
          <w:tcPr>
            <w:tcW w:w="0" w:type="auto"/>
          </w:tcPr>
          <w:p w14:paraId="67C3610F" w14:textId="77777777" w:rsidR="00880A99" w:rsidRPr="00FB5437" w:rsidRDefault="00000000">
            <w:pPr>
              <w:pStyle w:val="Compact"/>
              <w:rPr>
                <w:lang w:val="tr-TR"/>
              </w:rPr>
            </w:pPr>
            <w:r w:rsidRPr="00FB5437">
              <w:rPr>
                <w:lang w:val="tr-TR"/>
              </w:rPr>
              <w:t>Hepatit</w:t>
            </w:r>
          </w:p>
        </w:tc>
        <w:tc>
          <w:tcPr>
            <w:tcW w:w="0" w:type="auto"/>
          </w:tcPr>
          <w:p w14:paraId="4D6F7B74" w14:textId="77777777" w:rsidR="00880A99" w:rsidRPr="00FB5437" w:rsidRDefault="00000000">
            <w:pPr>
              <w:pStyle w:val="Compact"/>
              <w:rPr>
                <w:lang w:val="tr-TR"/>
              </w:rPr>
            </w:pPr>
            <w:r w:rsidRPr="00FB5437">
              <w:rPr>
                <w:lang w:val="tr-TR"/>
              </w:rPr>
              <w:t>1 (9,1)</w:t>
            </w:r>
          </w:p>
        </w:tc>
      </w:tr>
    </w:tbl>
    <w:p w14:paraId="509718BE" w14:textId="77777777" w:rsidR="00880A99" w:rsidRPr="00FB5437" w:rsidRDefault="00000000">
      <w:pPr>
        <w:pStyle w:val="BodyText"/>
        <w:rPr>
          <w:lang w:val="tr-TR"/>
        </w:rPr>
      </w:pPr>
      <w:r w:rsidRPr="00FB5437">
        <w:rPr>
          <w:lang w:val="tr-TR"/>
        </w:rPr>
        <w:t>Kısaltmalar: DAA: çeyrekler arası aralık, MTX: metotreksat, KDIGO: Kidney Disease Improving Global Outcomes, ABH: akut böbrek hasarı. Bireysel hasta verileri Ek Tablo 1’de sunulmuştur.</w:t>
      </w:r>
    </w:p>
    <w:p w14:paraId="4F9D1F9E" w14:textId="77777777" w:rsidR="00880A99" w:rsidRPr="00FB5437" w:rsidRDefault="00822623">
      <w:pPr>
        <w:rPr>
          <w:lang w:val="tr-TR"/>
        </w:rPr>
      </w:pPr>
      <w:r w:rsidRPr="00822623">
        <w:rPr>
          <w:noProof/>
          <w:lang w:val="tr-TR"/>
        </w:rPr>
        <w:pict w14:anchorId="03EF8443">
          <v:rect id="_x0000_i1028" alt="" style="width:468pt;height:.05pt;mso-width-percent:0;mso-height-percent:0;mso-width-percent:0;mso-height-percent:0" o:hralign="center" o:hrstd="t" o:hr="t"/>
        </w:pict>
      </w:r>
    </w:p>
    <w:p w14:paraId="59D2CE22" w14:textId="77777777" w:rsidR="00880A99" w:rsidRPr="00FB5437" w:rsidRDefault="00000000">
      <w:pPr>
        <w:pStyle w:val="FirstParagraph"/>
        <w:rPr>
          <w:lang w:val="tr-TR"/>
        </w:rPr>
      </w:pPr>
      <w:r w:rsidRPr="00FB5437">
        <w:rPr>
          <w:b/>
          <w:bCs/>
          <w:lang w:val="tr-TR"/>
        </w:rPr>
        <w:t>Tablo 2. Hemodiyaliz Etkinliği ve Klinik Sonuçlar (n=11)</w:t>
      </w:r>
    </w:p>
    <w:tbl>
      <w:tblPr>
        <w:tblStyle w:val="Table"/>
        <w:tblW w:w="5000" w:type="pct"/>
        <w:tblLook w:val="0020" w:firstRow="1" w:lastRow="0" w:firstColumn="0" w:lastColumn="0" w:noHBand="0" w:noVBand="0"/>
      </w:tblPr>
      <w:tblGrid>
        <w:gridCol w:w="7229"/>
        <w:gridCol w:w="2347"/>
      </w:tblGrid>
      <w:tr w:rsidR="00880A99" w:rsidRPr="00FB5437" w14:paraId="7D122155" w14:textId="77777777" w:rsidTr="00880A99">
        <w:trPr>
          <w:cnfStyle w:val="100000000000" w:firstRow="1" w:lastRow="0" w:firstColumn="0" w:lastColumn="0" w:oddVBand="0" w:evenVBand="0" w:oddHBand="0" w:evenHBand="0" w:firstRowFirstColumn="0" w:firstRowLastColumn="0" w:lastRowFirstColumn="0" w:lastRowLastColumn="0"/>
          <w:tblHeader/>
        </w:trPr>
        <w:tc>
          <w:tcPr>
            <w:tcW w:w="0" w:type="auto"/>
          </w:tcPr>
          <w:p w14:paraId="073AD11C" w14:textId="77777777" w:rsidR="00880A99" w:rsidRPr="00FB5437" w:rsidRDefault="00000000">
            <w:pPr>
              <w:pStyle w:val="Compact"/>
              <w:rPr>
                <w:lang w:val="tr-TR"/>
              </w:rPr>
            </w:pPr>
            <w:r w:rsidRPr="00FB5437">
              <w:rPr>
                <w:lang w:val="tr-TR"/>
              </w:rPr>
              <w:t>Değişken</w:t>
            </w:r>
          </w:p>
        </w:tc>
        <w:tc>
          <w:tcPr>
            <w:tcW w:w="0" w:type="auto"/>
          </w:tcPr>
          <w:p w14:paraId="7674E214" w14:textId="77777777" w:rsidR="00880A99" w:rsidRPr="00FB5437" w:rsidRDefault="00000000">
            <w:pPr>
              <w:pStyle w:val="Compact"/>
              <w:rPr>
                <w:lang w:val="tr-TR"/>
              </w:rPr>
            </w:pPr>
            <w:r w:rsidRPr="00FB5437">
              <w:rPr>
                <w:lang w:val="tr-TR"/>
              </w:rPr>
              <w:t>Değer</w:t>
            </w:r>
          </w:p>
        </w:tc>
      </w:tr>
      <w:tr w:rsidR="00880A99" w:rsidRPr="00FB5437" w14:paraId="63A5401A" w14:textId="77777777">
        <w:tc>
          <w:tcPr>
            <w:tcW w:w="0" w:type="auto"/>
          </w:tcPr>
          <w:p w14:paraId="3B95B4B0" w14:textId="77777777" w:rsidR="00880A99" w:rsidRPr="00FB5437" w:rsidRDefault="00000000">
            <w:pPr>
              <w:pStyle w:val="Compact"/>
              <w:rPr>
                <w:lang w:val="tr-TR"/>
              </w:rPr>
            </w:pPr>
            <w:r w:rsidRPr="00FB5437">
              <w:rPr>
                <w:b/>
                <w:bCs/>
                <w:lang w:val="tr-TR"/>
              </w:rPr>
              <w:t>MTX kinetiği</w:t>
            </w:r>
          </w:p>
        </w:tc>
        <w:tc>
          <w:tcPr>
            <w:tcW w:w="0" w:type="auto"/>
          </w:tcPr>
          <w:p w14:paraId="794192AF" w14:textId="77777777" w:rsidR="00880A99" w:rsidRPr="00FB5437" w:rsidRDefault="00880A99">
            <w:pPr>
              <w:pStyle w:val="Compact"/>
              <w:rPr>
                <w:lang w:val="tr-TR"/>
              </w:rPr>
            </w:pPr>
          </w:p>
        </w:tc>
      </w:tr>
      <w:tr w:rsidR="00880A99" w:rsidRPr="00FB5437" w14:paraId="74C4AC8C" w14:textId="77777777">
        <w:tc>
          <w:tcPr>
            <w:tcW w:w="0" w:type="auto"/>
          </w:tcPr>
          <w:p w14:paraId="5599214D" w14:textId="77777777" w:rsidR="00880A99" w:rsidRPr="00FB5437" w:rsidRDefault="00000000">
            <w:pPr>
              <w:pStyle w:val="Compact"/>
              <w:rPr>
                <w:lang w:val="tr-TR"/>
              </w:rPr>
            </w:pPr>
            <w:r w:rsidRPr="00FB5437">
              <w:rPr>
                <w:lang w:val="tr-TR"/>
              </w:rPr>
              <w:t>Pik MTX düzeyi, µmol/L, medyan (DAA)</w:t>
            </w:r>
          </w:p>
        </w:tc>
        <w:tc>
          <w:tcPr>
            <w:tcW w:w="0" w:type="auto"/>
          </w:tcPr>
          <w:p w14:paraId="6E9F6A7A" w14:textId="77777777" w:rsidR="00880A99" w:rsidRPr="00FB5437" w:rsidRDefault="00000000">
            <w:pPr>
              <w:pStyle w:val="Compact"/>
              <w:rPr>
                <w:lang w:val="tr-TR"/>
              </w:rPr>
            </w:pPr>
            <w:r w:rsidRPr="00FB5437">
              <w:rPr>
                <w:lang w:val="tr-TR"/>
              </w:rPr>
              <w:t>22,3 (12,6–157,2)</w:t>
            </w:r>
          </w:p>
        </w:tc>
      </w:tr>
      <w:tr w:rsidR="00880A99" w:rsidRPr="00FB5437" w14:paraId="57BBD8DF" w14:textId="77777777">
        <w:tc>
          <w:tcPr>
            <w:tcW w:w="0" w:type="auto"/>
          </w:tcPr>
          <w:p w14:paraId="381C7C28" w14:textId="77777777" w:rsidR="00880A99" w:rsidRPr="00FB5437" w:rsidRDefault="00000000">
            <w:pPr>
              <w:pStyle w:val="Compact"/>
              <w:rPr>
                <w:lang w:val="tr-TR"/>
              </w:rPr>
            </w:pPr>
            <w:r w:rsidRPr="00FB5437">
              <w:rPr>
                <w:lang w:val="tr-TR"/>
              </w:rPr>
              <w:t>Pre-HD MTX düzeyi, µmol/L, medyan (DAA)</w:t>
            </w:r>
          </w:p>
        </w:tc>
        <w:tc>
          <w:tcPr>
            <w:tcW w:w="0" w:type="auto"/>
          </w:tcPr>
          <w:p w14:paraId="37D3E9C4" w14:textId="77777777" w:rsidR="00880A99" w:rsidRPr="00FB5437" w:rsidRDefault="00000000">
            <w:pPr>
              <w:pStyle w:val="Compact"/>
              <w:rPr>
                <w:lang w:val="tr-TR"/>
              </w:rPr>
            </w:pPr>
            <w:r w:rsidRPr="00FB5437">
              <w:rPr>
                <w:lang w:val="tr-TR"/>
              </w:rPr>
              <w:t>12,9 (9,2–31,1)</w:t>
            </w:r>
          </w:p>
        </w:tc>
      </w:tr>
      <w:tr w:rsidR="00880A99" w:rsidRPr="00FB5437" w14:paraId="75D08BD2" w14:textId="77777777">
        <w:tc>
          <w:tcPr>
            <w:tcW w:w="0" w:type="auto"/>
          </w:tcPr>
          <w:p w14:paraId="5C7BC697" w14:textId="77777777" w:rsidR="00880A99" w:rsidRPr="00FB5437" w:rsidRDefault="00000000">
            <w:pPr>
              <w:pStyle w:val="Compact"/>
              <w:rPr>
                <w:lang w:val="tr-TR"/>
              </w:rPr>
            </w:pPr>
            <w:r w:rsidRPr="00FB5437">
              <w:rPr>
                <w:lang w:val="tr-TR"/>
              </w:rPr>
              <w:t>Post-1. HD MTX düzeyi, µmol/L, medyan (DAA)</w:t>
            </w:r>
          </w:p>
        </w:tc>
        <w:tc>
          <w:tcPr>
            <w:tcW w:w="0" w:type="auto"/>
          </w:tcPr>
          <w:p w14:paraId="137E780F" w14:textId="77777777" w:rsidR="00880A99" w:rsidRPr="00FB5437" w:rsidRDefault="00000000">
            <w:pPr>
              <w:pStyle w:val="Compact"/>
              <w:rPr>
                <w:lang w:val="tr-TR"/>
              </w:rPr>
            </w:pPr>
            <w:r w:rsidRPr="00FB5437">
              <w:rPr>
                <w:lang w:val="tr-TR"/>
              </w:rPr>
              <w:t>5,4 (2,9–11,0)</w:t>
            </w:r>
          </w:p>
        </w:tc>
      </w:tr>
      <w:tr w:rsidR="00880A99" w:rsidRPr="00FB5437" w14:paraId="54B3DCA9" w14:textId="77777777">
        <w:tc>
          <w:tcPr>
            <w:tcW w:w="0" w:type="auto"/>
          </w:tcPr>
          <w:p w14:paraId="5C90F637" w14:textId="77777777" w:rsidR="00880A99" w:rsidRPr="00FB5437" w:rsidRDefault="00000000">
            <w:pPr>
              <w:pStyle w:val="Compact"/>
              <w:rPr>
                <w:lang w:val="tr-TR"/>
              </w:rPr>
            </w:pPr>
            <w:r w:rsidRPr="00FB5437">
              <w:rPr>
                <w:lang w:val="tr-TR"/>
              </w:rPr>
              <w:t>1. seans MTX azalma oranı, %, ortalama ± SS</w:t>
            </w:r>
          </w:p>
        </w:tc>
        <w:tc>
          <w:tcPr>
            <w:tcW w:w="0" w:type="auto"/>
          </w:tcPr>
          <w:p w14:paraId="404290A5" w14:textId="77777777" w:rsidR="00880A99" w:rsidRPr="00FB5437" w:rsidRDefault="00000000">
            <w:pPr>
              <w:pStyle w:val="Compact"/>
              <w:rPr>
                <w:lang w:val="tr-TR"/>
              </w:rPr>
            </w:pPr>
            <w:r w:rsidRPr="00FB5437">
              <w:rPr>
                <w:lang w:val="tr-TR"/>
              </w:rPr>
              <w:t>66,0 ± 12,7</w:t>
            </w:r>
          </w:p>
        </w:tc>
      </w:tr>
      <w:tr w:rsidR="00880A99" w:rsidRPr="00FB5437" w14:paraId="6C2B2B3E" w14:textId="77777777">
        <w:tc>
          <w:tcPr>
            <w:tcW w:w="0" w:type="auto"/>
          </w:tcPr>
          <w:p w14:paraId="13252D9E" w14:textId="77777777" w:rsidR="00880A99" w:rsidRPr="00FB5437" w:rsidRDefault="00000000">
            <w:pPr>
              <w:pStyle w:val="Compact"/>
              <w:rPr>
                <w:lang w:val="tr-TR"/>
              </w:rPr>
            </w:pPr>
            <w:r w:rsidRPr="00FB5437">
              <w:rPr>
                <w:lang w:val="tr-TR"/>
              </w:rPr>
              <w:t>Tüm seanslar MTX azalma oranı, %, ortalama ± SS</w:t>
            </w:r>
          </w:p>
        </w:tc>
        <w:tc>
          <w:tcPr>
            <w:tcW w:w="0" w:type="auto"/>
          </w:tcPr>
          <w:p w14:paraId="1453C14C" w14:textId="77777777" w:rsidR="00880A99" w:rsidRPr="00FB5437" w:rsidRDefault="00000000">
            <w:pPr>
              <w:pStyle w:val="Compact"/>
              <w:rPr>
                <w:lang w:val="tr-TR"/>
              </w:rPr>
            </w:pPr>
            <w:r w:rsidRPr="00FB5437">
              <w:rPr>
                <w:lang w:val="tr-TR"/>
              </w:rPr>
              <w:t>49,0 ± 19,3</w:t>
            </w:r>
          </w:p>
        </w:tc>
      </w:tr>
      <w:tr w:rsidR="00880A99" w:rsidRPr="00FB5437" w14:paraId="24AB781B" w14:textId="77777777">
        <w:tc>
          <w:tcPr>
            <w:tcW w:w="0" w:type="auto"/>
          </w:tcPr>
          <w:p w14:paraId="4F26D0ED" w14:textId="77777777" w:rsidR="00880A99" w:rsidRPr="00FB5437" w:rsidRDefault="00000000">
            <w:pPr>
              <w:pStyle w:val="Compact"/>
              <w:rPr>
                <w:lang w:val="tr-TR"/>
              </w:rPr>
            </w:pPr>
            <w:r w:rsidRPr="00FB5437">
              <w:rPr>
                <w:lang w:val="tr-TR"/>
              </w:rPr>
              <w:t>Tüm seanslar Cr azalma oranı, %, ortalama ± SS</w:t>
            </w:r>
          </w:p>
        </w:tc>
        <w:tc>
          <w:tcPr>
            <w:tcW w:w="0" w:type="auto"/>
          </w:tcPr>
          <w:p w14:paraId="1F29E10D" w14:textId="77777777" w:rsidR="00880A99" w:rsidRPr="00FB5437" w:rsidRDefault="00000000">
            <w:pPr>
              <w:pStyle w:val="Compact"/>
              <w:rPr>
                <w:lang w:val="tr-TR"/>
              </w:rPr>
            </w:pPr>
            <w:r w:rsidRPr="00FB5437">
              <w:rPr>
                <w:lang w:val="tr-TR"/>
              </w:rPr>
              <w:t>47,9 ± 16,7</w:t>
            </w:r>
          </w:p>
        </w:tc>
      </w:tr>
      <w:tr w:rsidR="00880A99" w:rsidRPr="00FB5437" w14:paraId="323A6C2B" w14:textId="77777777">
        <w:tc>
          <w:tcPr>
            <w:tcW w:w="0" w:type="auto"/>
          </w:tcPr>
          <w:p w14:paraId="612B691E" w14:textId="77777777" w:rsidR="00880A99" w:rsidRPr="00FB5437" w:rsidRDefault="00000000">
            <w:pPr>
              <w:pStyle w:val="Compact"/>
              <w:rPr>
                <w:lang w:val="tr-TR"/>
              </w:rPr>
            </w:pPr>
            <w:r w:rsidRPr="00FB5437">
              <w:rPr>
                <w:lang w:val="tr-TR"/>
              </w:rPr>
              <w:t>MTX vs Cr azalma korelasyonu (34 seans)</w:t>
            </w:r>
          </w:p>
        </w:tc>
        <w:tc>
          <w:tcPr>
            <w:tcW w:w="0" w:type="auto"/>
          </w:tcPr>
          <w:p w14:paraId="596C7E69" w14:textId="77777777" w:rsidR="00880A99" w:rsidRPr="00FB5437" w:rsidRDefault="00000000">
            <w:pPr>
              <w:pStyle w:val="Compact"/>
              <w:rPr>
                <w:lang w:val="tr-TR"/>
              </w:rPr>
            </w:pPr>
            <w:r w:rsidRPr="00FB5437">
              <w:rPr>
                <w:lang w:val="tr-TR"/>
              </w:rPr>
              <w:t>ρ = 0,23; p = 0,192</w:t>
            </w:r>
          </w:p>
        </w:tc>
      </w:tr>
      <w:tr w:rsidR="00880A99" w:rsidRPr="00FB5437" w14:paraId="52459352" w14:textId="77777777">
        <w:tc>
          <w:tcPr>
            <w:tcW w:w="0" w:type="auto"/>
          </w:tcPr>
          <w:p w14:paraId="0654884A" w14:textId="77777777" w:rsidR="00880A99" w:rsidRPr="00FB5437" w:rsidRDefault="00000000">
            <w:pPr>
              <w:pStyle w:val="Compact"/>
              <w:rPr>
                <w:lang w:val="tr-TR"/>
              </w:rPr>
            </w:pPr>
            <w:r w:rsidRPr="00FB5437">
              <w:rPr>
                <w:lang w:val="tr-TR"/>
              </w:rPr>
              <w:t>MTX &lt;0,15 µmol/L’ye ulaşma süresi, saat, medyan (DAA)</w:t>
            </w:r>
          </w:p>
        </w:tc>
        <w:tc>
          <w:tcPr>
            <w:tcW w:w="0" w:type="auto"/>
          </w:tcPr>
          <w:p w14:paraId="73FD2A1D" w14:textId="77777777" w:rsidR="00880A99" w:rsidRPr="00FB5437" w:rsidRDefault="00000000">
            <w:pPr>
              <w:pStyle w:val="Compact"/>
              <w:rPr>
                <w:lang w:val="tr-TR"/>
              </w:rPr>
            </w:pPr>
            <w:r w:rsidRPr="00FB5437">
              <w:rPr>
                <w:lang w:val="tr-TR"/>
              </w:rPr>
              <w:t>204 (199–249)</w:t>
            </w:r>
          </w:p>
        </w:tc>
      </w:tr>
      <w:tr w:rsidR="00880A99" w:rsidRPr="00FB5437" w14:paraId="71B0E537" w14:textId="77777777">
        <w:tc>
          <w:tcPr>
            <w:tcW w:w="0" w:type="auto"/>
          </w:tcPr>
          <w:p w14:paraId="52318322" w14:textId="77777777" w:rsidR="00880A99" w:rsidRPr="00FB5437" w:rsidRDefault="00000000">
            <w:pPr>
              <w:pStyle w:val="Compact"/>
              <w:rPr>
                <w:lang w:val="tr-TR"/>
              </w:rPr>
            </w:pPr>
            <w:r w:rsidRPr="00FB5437">
              <w:rPr>
                <w:b/>
                <w:bCs/>
                <w:lang w:val="tr-TR"/>
              </w:rPr>
              <w:t>HD detayları</w:t>
            </w:r>
          </w:p>
        </w:tc>
        <w:tc>
          <w:tcPr>
            <w:tcW w:w="0" w:type="auto"/>
          </w:tcPr>
          <w:p w14:paraId="5080A118" w14:textId="77777777" w:rsidR="00880A99" w:rsidRPr="00FB5437" w:rsidRDefault="00880A99">
            <w:pPr>
              <w:pStyle w:val="Compact"/>
              <w:rPr>
                <w:lang w:val="tr-TR"/>
              </w:rPr>
            </w:pPr>
          </w:p>
        </w:tc>
      </w:tr>
      <w:tr w:rsidR="00880A99" w:rsidRPr="00FB5437" w14:paraId="2983656A" w14:textId="77777777">
        <w:tc>
          <w:tcPr>
            <w:tcW w:w="0" w:type="auto"/>
          </w:tcPr>
          <w:p w14:paraId="2A566478" w14:textId="77777777" w:rsidR="00880A99" w:rsidRPr="00FB5437" w:rsidRDefault="00000000">
            <w:pPr>
              <w:pStyle w:val="Compact"/>
              <w:rPr>
                <w:lang w:val="tr-TR"/>
              </w:rPr>
            </w:pPr>
            <w:r w:rsidRPr="00FB5437">
              <w:rPr>
                <w:lang w:val="tr-TR"/>
              </w:rPr>
              <w:t>HD başlama saati, medyan (aralık)</w:t>
            </w:r>
          </w:p>
        </w:tc>
        <w:tc>
          <w:tcPr>
            <w:tcW w:w="0" w:type="auto"/>
          </w:tcPr>
          <w:p w14:paraId="4F59223D" w14:textId="77777777" w:rsidR="00880A99" w:rsidRPr="00FB5437" w:rsidRDefault="00000000">
            <w:pPr>
              <w:pStyle w:val="Compact"/>
              <w:rPr>
                <w:lang w:val="tr-TR"/>
              </w:rPr>
            </w:pPr>
            <w:r w:rsidRPr="00FB5437">
              <w:rPr>
                <w:lang w:val="tr-TR"/>
              </w:rPr>
              <w:t>48 (17–78)</w:t>
            </w:r>
          </w:p>
        </w:tc>
      </w:tr>
      <w:tr w:rsidR="00880A99" w:rsidRPr="00FB5437" w14:paraId="18DA07E6" w14:textId="77777777">
        <w:tc>
          <w:tcPr>
            <w:tcW w:w="0" w:type="auto"/>
          </w:tcPr>
          <w:p w14:paraId="30D65286" w14:textId="77777777" w:rsidR="00880A99" w:rsidRPr="00FB5437" w:rsidRDefault="00000000">
            <w:pPr>
              <w:pStyle w:val="Compact"/>
              <w:rPr>
                <w:lang w:val="tr-TR"/>
              </w:rPr>
            </w:pPr>
            <w:r w:rsidRPr="00FB5437">
              <w:rPr>
                <w:lang w:val="tr-TR"/>
              </w:rPr>
              <w:lastRenderedPageBreak/>
              <w:t>Hasta başına HD seans sayısı, medyan (DAA)</w:t>
            </w:r>
          </w:p>
        </w:tc>
        <w:tc>
          <w:tcPr>
            <w:tcW w:w="0" w:type="auto"/>
          </w:tcPr>
          <w:p w14:paraId="2928AF4E" w14:textId="77777777" w:rsidR="00880A99" w:rsidRPr="00FB5437" w:rsidRDefault="00000000">
            <w:pPr>
              <w:pStyle w:val="Compact"/>
              <w:rPr>
                <w:lang w:val="tr-TR"/>
              </w:rPr>
            </w:pPr>
            <w:r w:rsidRPr="00FB5437">
              <w:rPr>
                <w:lang w:val="tr-TR"/>
              </w:rPr>
              <w:t>2 (1–4)</w:t>
            </w:r>
          </w:p>
        </w:tc>
      </w:tr>
      <w:tr w:rsidR="00880A99" w:rsidRPr="00FB5437" w14:paraId="38A8FBF8" w14:textId="77777777">
        <w:tc>
          <w:tcPr>
            <w:tcW w:w="0" w:type="auto"/>
          </w:tcPr>
          <w:p w14:paraId="7F6DBDBF" w14:textId="77777777" w:rsidR="00880A99" w:rsidRPr="00FB5437" w:rsidRDefault="00000000">
            <w:pPr>
              <w:pStyle w:val="Compact"/>
              <w:rPr>
                <w:lang w:val="tr-TR"/>
              </w:rPr>
            </w:pPr>
            <w:r w:rsidRPr="00FB5437">
              <w:rPr>
                <w:lang w:val="tr-TR"/>
              </w:rPr>
              <w:t>Toplam uygulanan HD seansı</w:t>
            </w:r>
          </w:p>
        </w:tc>
        <w:tc>
          <w:tcPr>
            <w:tcW w:w="0" w:type="auto"/>
          </w:tcPr>
          <w:p w14:paraId="30153542" w14:textId="77777777" w:rsidR="00880A99" w:rsidRPr="00FB5437" w:rsidRDefault="00000000">
            <w:pPr>
              <w:pStyle w:val="Compact"/>
              <w:rPr>
                <w:lang w:val="tr-TR"/>
              </w:rPr>
            </w:pPr>
            <w:r w:rsidRPr="00FB5437">
              <w:rPr>
                <w:lang w:val="tr-TR"/>
              </w:rPr>
              <w:t>34</w:t>
            </w:r>
          </w:p>
        </w:tc>
      </w:tr>
      <w:tr w:rsidR="00880A99" w:rsidRPr="00FB5437" w14:paraId="4D7C95FA" w14:textId="77777777">
        <w:tc>
          <w:tcPr>
            <w:tcW w:w="0" w:type="auto"/>
          </w:tcPr>
          <w:p w14:paraId="45D72E83" w14:textId="77777777" w:rsidR="00880A99" w:rsidRPr="00FB5437" w:rsidRDefault="00000000">
            <w:pPr>
              <w:pStyle w:val="Compact"/>
              <w:rPr>
                <w:lang w:val="tr-TR"/>
              </w:rPr>
            </w:pPr>
            <w:r w:rsidRPr="00FB5437">
              <w:rPr>
                <w:lang w:val="tr-TR"/>
              </w:rPr>
              <w:t>HD’ye bağlı komplikasyon, n</w:t>
            </w:r>
          </w:p>
        </w:tc>
        <w:tc>
          <w:tcPr>
            <w:tcW w:w="0" w:type="auto"/>
          </w:tcPr>
          <w:p w14:paraId="6B203420" w14:textId="77777777" w:rsidR="00880A99" w:rsidRPr="00FB5437" w:rsidRDefault="00000000">
            <w:pPr>
              <w:pStyle w:val="Compact"/>
              <w:rPr>
                <w:lang w:val="tr-TR"/>
              </w:rPr>
            </w:pPr>
            <w:r w:rsidRPr="00FB5437">
              <w:rPr>
                <w:lang w:val="tr-TR"/>
              </w:rPr>
              <w:t>0</w:t>
            </w:r>
          </w:p>
        </w:tc>
      </w:tr>
      <w:tr w:rsidR="00880A99" w:rsidRPr="00FB5437" w14:paraId="2CDE34CA" w14:textId="77777777">
        <w:tc>
          <w:tcPr>
            <w:tcW w:w="0" w:type="auto"/>
          </w:tcPr>
          <w:p w14:paraId="3F92764E" w14:textId="77777777" w:rsidR="00880A99" w:rsidRPr="00FB5437" w:rsidRDefault="00000000">
            <w:pPr>
              <w:pStyle w:val="Compact"/>
              <w:rPr>
                <w:lang w:val="tr-TR"/>
              </w:rPr>
            </w:pPr>
            <w:r w:rsidRPr="00FB5437">
              <w:rPr>
                <w:b/>
                <w:bCs/>
                <w:lang w:val="tr-TR"/>
              </w:rPr>
              <w:t>Ardışık seans etkinliği — MTX azalma, ortalama ± SS (%)</w:t>
            </w:r>
          </w:p>
        </w:tc>
        <w:tc>
          <w:tcPr>
            <w:tcW w:w="0" w:type="auto"/>
          </w:tcPr>
          <w:p w14:paraId="70D16A0C" w14:textId="77777777" w:rsidR="00880A99" w:rsidRPr="00FB5437" w:rsidRDefault="00880A99">
            <w:pPr>
              <w:pStyle w:val="Compact"/>
              <w:rPr>
                <w:lang w:val="tr-TR"/>
              </w:rPr>
            </w:pPr>
          </w:p>
        </w:tc>
      </w:tr>
      <w:tr w:rsidR="00880A99" w:rsidRPr="00FB5437" w14:paraId="644FE88D" w14:textId="77777777">
        <w:tc>
          <w:tcPr>
            <w:tcW w:w="0" w:type="auto"/>
          </w:tcPr>
          <w:p w14:paraId="639BE88C" w14:textId="77777777" w:rsidR="00880A99" w:rsidRPr="00FB5437" w:rsidRDefault="00000000">
            <w:pPr>
              <w:pStyle w:val="Compact"/>
              <w:rPr>
                <w:lang w:val="tr-TR"/>
              </w:rPr>
            </w:pPr>
            <w:r w:rsidRPr="00FB5437">
              <w:rPr>
                <w:lang w:val="tr-TR"/>
              </w:rPr>
              <w:t>1. seans (n=11)</w:t>
            </w:r>
          </w:p>
        </w:tc>
        <w:tc>
          <w:tcPr>
            <w:tcW w:w="0" w:type="auto"/>
          </w:tcPr>
          <w:p w14:paraId="6F35216B" w14:textId="77777777" w:rsidR="00880A99" w:rsidRPr="00FB5437" w:rsidRDefault="00000000">
            <w:pPr>
              <w:pStyle w:val="Compact"/>
              <w:rPr>
                <w:lang w:val="tr-TR"/>
              </w:rPr>
            </w:pPr>
            <w:r w:rsidRPr="00FB5437">
              <w:rPr>
                <w:lang w:val="tr-TR"/>
              </w:rPr>
              <w:t>66,0 ± 12,7</w:t>
            </w:r>
          </w:p>
        </w:tc>
      </w:tr>
      <w:tr w:rsidR="00880A99" w:rsidRPr="00FB5437" w14:paraId="10F82BFA" w14:textId="77777777">
        <w:tc>
          <w:tcPr>
            <w:tcW w:w="0" w:type="auto"/>
          </w:tcPr>
          <w:p w14:paraId="68994B9A" w14:textId="77777777" w:rsidR="00880A99" w:rsidRPr="00FB5437" w:rsidRDefault="00000000">
            <w:pPr>
              <w:pStyle w:val="Compact"/>
              <w:rPr>
                <w:lang w:val="tr-TR"/>
              </w:rPr>
            </w:pPr>
            <w:r w:rsidRPr="00FB5437">
              <w:rPr>
                <w:lang w:val="tr-TR"/>
              </w:rPr>
              <w:t>2. seans (n=6)</w:t>
            </w:r>
          </w:p>
        </w:tc>
        <w:tc>
          <w:tcPr>
            <w:tcW w:w="0" w:type="auto"/>
          </w:tcPr>
          <w:p w14:paraId="5BF63FBD" w14:textId="77777777" w:rsidR="00880A99" w:rsidRPr="00FB5437" w:rsidRDefault="00000000">
            <w:pPr>
              <w:pStyle w:val="Compact"/>
              <w:rPr>
                <w:lang w:val="tr-TR"/>
              </w:rPr>
            </w:pPr>
            <w:r w:rsidRPr="00FB5437">
              <w:rPr>
                <w:lang w:val="tr-TR"/>
              </w:rPr>
              <w:t>45,3 ± 15,2</w:t>
            </w:r>
          </w:p>
        </w:tc>
      </w:tr>
      <w:tr w:rsidR="00880A99" w:rsidRPr="00FB5437" w14:paraId="22E89627" w14:textId="77777777">
        <w:tc>
          <w:tcPr>
            <w:tcW w:w="0" w:type="auto"/>
          </w:tcPr>
          <w:p w14:paraId="1BBBC208" w14:textId="77777777" w:rsidR="00880A99" w:rsidRPr="00FB5437" w:rsidRDefault="00000000">
            <w:pPr>
              <w:pStyle w:val="Compact"/>
              <w:rPr>
                <w:lang w:val="tr-TR"/>
              </w:rPr>
            </w:pPr>
            <w:r w:rsidRPr="00FB5437">
              <w:rPr>
                <w:lang w:val="tr-TR"/>
              </w:rPr>
              <w:t>3. seans (n=5)</w:t>
            </w:r>
          </w:p>
        </w:tc>
        <w:tc>
          <w:tcPr>
            <w:tcW w:w="0" w:type="auto"/>
          </w:tcPr>
          <w:p w14:paraId="0D0F66D4" w14:textId="77777777" w:rsidR="00880A99" w:rsidRPr="00FB5437" w:rsidRDefault="00000000">
            <w:pPr>
              <w:pStyle w:val="Compact"/>
              <w:rPr>
                <w:lang w:val="tr-TR"/>
              </w:rPr>
            </w:pPr>
            <w:r w:rsidRPr="00FB5437">
              <w:rPr>
                <w:lang w:val="tr-TR"/>
              </w:rPr>
              <w:t>43,7 ± 18,1</w:t>
            </w:r>
          </w:p>
        </w:tc>
      </w:tr>
      <w:tr w:rsidR="00880A99" w:rsidRPr="00FB5437" w14:paraId="20F1C671" w14:textId="77777777">
        <w:tc>
          <w:tcPr>
            <w:tcW w:w="0" w:type="auto"/>
          </w:tcPr>
          <w:p w14:paraId="4FD5266A" w14:textId="77777777" w:rsidR="00880A99" w:rsidRPr="00FB5437" w:rsidRDefault="00000000">
            <w:pPr>
              <w:pStyle w:val="Compact"/>
              <w:rPr>
                <w:lang w:val="tr-TR"/>
              </w:rPr>
            </w:pPr>
            <w:r w:rsidRPr="00FB5437">
              <w:rPr>
                <w:lang w:val="tr-TR"/>
              </w:rPr>
              <w:t>4. seans (n=4)</w:t>
            </w:r>
          </w:p>
        </w:tc>
        <w:tc>
          <w:tcPr>
            <w:tcW w:w="0" w:type="auto"/>
          </w:tcPr>
          <w:p w14:paraId="3F2F9EF4" w14:textId="77777777" w:rsidR="00880A99" w:rsidRPr="00FB5437" w:rsidRDefault="00000000">
            <w:pPr>
              <w:pStyle w:val="Compact"/>
              <w:rPr>
                <w:lang w:val="tr-TR"/>
              </w:rPr>
            </w:pPr>
            <w:r w:rsidRPr="00FB5437">
              <w:rPr>
                <w:lang w:val="tr-TR"/>
              </w:rPr>
              <w:t>29,0 ± 21,4</w:t>
            </w:r>
          </w:p>
        </w:tc>
      </w:tr>
      <w:tr w:rsidR="00880A99" w:rsidRPr="00FB5437" w14:paraId="45356AE8" w14:textId="77777777">
        <w:tc>
          <w:tcPr>
            <w:tcW w:w="0" w:type="auto"/>
          </w:tcPr>
          <w:p w14:paraId="7656A1AF" w14:textId="77777777" w:rsidR="00880A99" w:rsidRPr="00FB5437" w:rsidRDefault="00000000">
            <w:pPr>
              <w:pStyle w:val="Compact"/>
              <w:rPr>
                <w:lang w:val="tr-TR"/>
              </w:rPr>
            </w:pPr>
            <w:r w:rsidRPr="00FB5437">
              <w:rPr>
                <w:b/>
                <w:bCs/>
                <w:lang w:val="tr-TR"/>
              </w:rPr>
              <w:t>Ardışık seans — Kreatinin azalma, ortalama ± SS (%)</w:t>
            </w:r>
          </w:p>
        </w:tc>
        <w:tc>
          <w:tcPr>
            <w:tcW w:w="0" w:type="auto"/>
          </w:tcPr>
          <w:p w14:paraId="74859F19" w14:textId="77777777" w:rsidR="00880A99" w:rsidRPr="00FB5437" w:rsidRDefault="00880A99">
            <w:pPr>
              <w:pStyle w:val="Compact"/>
              <w:rPr>
                <w:lang w:val="tr-TR"/>
              </w:rPr>
            </w:pPr>
          </w:p>
        </w:tc>
      </w:tr>
      <w:tr w:rsidR="00880A99" w:rsidRPr="00FB5437" w14:paraId="357179A8" w14:textId="77777777">
        <w:tc>
          <w:tcPr>
            <w:tcW w:w="0" w:type="auto"/>
          </w:tcPr>
          <w:p w14:paraId="2D53249E" w14:textId="77777777" w:rsidR="00880A99" w:rsidRPr="00FB5437" w:rsidRDefault="00000000">
            <w:pPr>
              <w:pStyle w:val="Compact"/>
              <w:rPr>
                <w:lang w:val="tr-TR"/>
              </w:rPr>
            </w:pPr>
            <w:r w:rsidRPr="00FB5437">
              <w:rPr>
                <w:lang w:val="tr-TR"/>
              </w:rPr>
              <w:t>1. seans (n=11)</w:t>
            </w:r>
          </w:p>
        </w:tc>
        <w:tc>
          <w:tcPr>
            <w:tcW w:w="0" w:type="auto"/>
          </w:tcPr>
          <w:p w14:paraId="69B08F2C" w14:textId="77777777" w:rsidR="00880A99" w:rsidRPr="00FB5437" w:rsidRDefault="00000000">
            <w:pPr>
              <w:pStyle w:val="Compact"/>
              <w:rPr>
                <w:lang w:val="tr-TR"/>
              </w:rPr>
            </w:pPr>
            <w:r w:rsidRPr="00FB5437">
              <w:rPr>
                <w:lang w:val="tr-TR"/>
              </w:rPr>
              <w:t>47,0 ± 16,9</w:t>
            </w:r>
          </w:p>
        </w:tc>
      </w:tr>
      <w:tr w:rsidR="00880A99" w:rsidRPr="00FB5437" w14:paraId="0AF12418" w14:textId="77777777">
        <w:tc>
          <w:tcPr>
            <w:tcW w:w="0" w:type="auto"/>
          </w:tcPr>
          <w:p w14:paraId="5D54E05F" w14:textId="77777777" w:rsidR="00880A99" w:rsidRPr="00FB5437" w:rsidRDefault="00000000">
            <w:pPr>
              <w:pStyle w:val="Compact"/>
              <w:rPr>
                <w:lang w:val="tr-TR"/>
              </w:rPr>
            </w:pPr>
            <w:r w:rsidRPr="00FB5437">
              <w:rPr>
                <w:lang w:val="tr-TR"/>
              </w:rPr>
              <w:t>2. seans (n=6)</w:t>
            </w:r>
          </w:p>
        </w:tc>
        <w:tc>
          <w:tcPr>
            <w:tcW w:w="0" w:type="auto"/>
          </w:tcPr>
          <w:p w14:paraId="1C307B26" w14:textId="77777777" w:rsidR="00880A99" w:rsidRPr="00FB5437" w:rsidRDefault="00000000">
            <w:pPr>
              <w:pStyle w:val="Compact"/>
              <w:rPr>
                <w:lang w:val="tr-TR"/>
              </w:rPr>
            </w:pPr>
            <w:r w:rsidRPr="00FB5437">
              <w:rPr>
                <w:lang w:val="tr-TR"/>
              </w:rPr>
              <w:t>40,0 ± 17,1</w:t>
            </w:r>
          </w:p>
        </w:tc>
      </w:tr>
      <w:tr w:rsidR="00880A99" w:rsidRPr="00FB5437" w14:paraId="33F8FBCB" w14:textId="77777777">
        <w:tc>
          <w:tcPr>
            <w:tcW w:w="0" w:type="auto"/>
          </w:tcPr>
          <w:p w14:paraId="6002648A" w14:textId="77777777" w:rsidR="00880A99" w:rsidRPr="00FB5437" w:rsidRDefault="00000000">
            <w:pPr>
              <w:pStyle w:val="Compact"/>
              <w:rPr>
                <w:lang w:val="tr-TR"/>
              </w:rPr>
            </w:pPr>
            <w:r w:rsidRPr="00FB5437">
              <w:rPr>
                <w:lang w:val="tr-TR"/>
              </w:rPr>
              <w:t>3. seans (n=5)</w:t>
            </w:r>
          </w:p>
        </w:tc>
        <w:tc>
          <w:tcPr>
            <w:tcW w:w="0" w:type="auto"/>
          </w:tcPr>
          <w:p w14:paraId="56D7E855" w14:textId="77777777" w:rsidR="00880A99" w:rsidRPr="00FB5437" w:rsidRDefault="00000000">
            <w:pPr>
              <w:pStyle w:val="Compact"/>
              <w:rPr>
                <w:lang w:val="tr-TR"/>
              </w:rPr>
            </w:pPr>
            <w:r w:rsidRPr="00FB5437">
              <w:rPr>
                <w:lang w:val="tr-TR"/>
              </w:rPr>
              <w:t>53,6 ± 7,7</w:t>
            </w:r>
          </w:p>
        </w:tc>
      </w:tr>
      <w:tr w:rsidR="00880A99" w:rsidRPr="00FB5437" w14:paraId="795AE3F0" w14:textId="77777777">
        <w:tc>
          <w:tcPr>
            <w:tcW w:w="0" w:type="auto"/>
          </w:tcPr>
          <w:p w14:paraId="71E05856" w14:textId="77777777" w:rsidR="00880A99" w:rsidRPr="00FB5437" w:rsidRDefault="00000000">
            <w:pPr>
              <w:pStyle w:val="Compact"/>
              <w:rPr>
                <w:lang w:val="tr-TR"/>
              </w:rPr>
            </w:pPr>
            <w:r w:rsidRPr="00FB5437">
              <w:rPr>
                <w:lang w:val="tr-TR"/>
              </w:rPr>
              <w:t>4. seans (n=4)</w:t>
            </w:r>
          </w:p>
        </w:tc>
        <w:tc>
          <w:tcPr>
            <w:tcW w:w="0" w:type="auto"/>
          </w:tcPr>
          <w:p w14:paraId="46A9C0EB" w14:textId="77777777" w:rsidR="00880A99" w:rsidRPr="00FB5437" w:rsidRDefault="00000000">
            <w:pPr>
              <w:pStyle w:val="Compact"/>
              <w:rPr>
                <w:lang w:val="tr-TR"/>
              </w:rPr>
            </w:pPr>
            <w:r w:rsidRPr="00FB5437">
              <w:rPr>
                <w:lang w:val="tr-TR"/>
              </w:rPr>
              <w:t>36,8 ± 25,0</w:t>
            </w:r>
          </w:p>
        </w:tc>
      </w:tr>
      <w:tr w:rsidR="00880A99" w:rsidRPr="00FB5437" w14:paraId="586DD458" w14:textId="77777777">
        <w:tc>
          <w:tcPr>
            <w:tcW w:w="0" w:type="auto"/>
          </w:tcPr>
          <w:p w14:paraId="2EE775F5" w14:textId="77777777" w:rsidR="00880A99" w:rsidRPr="00FB5437" w:rsidRDefault="00000000">
            <w:pPr>
              <w:pStyle w:val="Compact"/>
              <w:rPr>
                <w:lang w:val="tr-TR"/>
              </w:rPr>
            </w:pPr>
            <w:r w:rsidRPr="00FB5437">
              <w:rPr>
                <w:b/>
                <w:bCs/>
                <w:lang w:val="tr-TR"/>
              </w:rPr>
              <w:t>Farmakokinetik</w:t>
            </w:r>
          </w:p>
        </w:tc>
        <w:tc>
          <w:tcPr>
            <w:tcW w:w="0" w:type="auto"/>
          </w:tcPr>
          <w:p w14:paraId="00A516F1" w14:textId="77777777" w:rsidR="00880A99" w:rsidRPr="00FB5437" w:rsidRDefault="00880A99">
            <w:pPr>
              <w:pStyle w:val="Compact"/>
              <w:rPr>
                <w:lang w:val="tr-TR"/>
              </w:rPr>
            </w:pPr>
          </w:p>
        </w:tc>
      </w:tr>
      <w:tr w:rsidR="00880A99" w:rsidRPr="00FB5437" w14:paraId="3CB6C959" w14:textId="77777777">
        <w:tc>
          <w:tcPr>
            <w:tcW w:w="0" w:type="auto"/>
          </w:tcPr>
          <w:p w14:paraId="0878280A" w14:textId="77777777" w:rsidR="00880A99" w:rsidRPr="00FB5437" w:rsidRDefault="00000000">
            <w:pPr>
              <w:pStyle w:val="Compact"/>
              <w:rPr>
                <w:lang w:val="tr-TR"/>
              </w:rPr>
            </w:pPr>
            <w:r w:rsidRPr="00FB5437">
              <w:rPr>
                <w:lang w:val="tr-TR"/>
              </w:rPr>
              <w:t>MTX yarı ömrü HD sırasında, saat, medyan (DAA)</w:t>
            </w:r>
          </w:p>
        </w:tc>
        <w:tc>
          <w:tcPr>
            <w:tcW w:w="0" w:type="auto"/>
          </w:tcPr>
          <w:p w14:paraId="04A4AE13" w14:textId="77777777" w:rsidR="00880A99" w:rsidRPr="00FB5437" w:rsidRDefault="00000000">
            <w:pPr>
              <w:pStyle w:val="Compact"/>
              <w:rPr>
                <w:lang w:val="tr-TR"/>
              </w:rPr>
            </w:pPr>
            <w:r w:rsidRPr="00FB5437">
              <w:rPr>
                <w:lang w:val="tr-TR"/>
              </w:rPr>
              <w:t>25,5 (11,1–31,8)</w:t>
            </w:r>
          </w:p>
        </w:tc>
      </w:tr>
      <w:tr w:rsidR="00880A99" w:rsidRPr="00FB5437" w14:paraId="4246F25A" w14:textId="77777777">
        <w:tc>
          <w:tcPr>
            <w:tcW w:w="0" w:type="auto"/>
          </w:tcPr>
          <w:p w14:paraId="4B5728E2" w14:textId="77777777" w:rsidR="00880A99" w:rsidRPr="00FB5437" w:rsidRDefault="00000000">
            <w:pPr>
              <w:pStyle w:val="Compact"/>
              <w:rPr>
                <w:lang w:val="tr-TR"/>
              </w:rPr>
            </w:pPr>
            <w:r w:rsidRPr="00FB5437">
              <w:rPr>
                <w:lang w:val="tr-TR"/>
              </w:rPr>
              <w:t>MTX yarı ömrü HD arası, saat, medyan (DAA)</w:t>
            </w:r>
          </w:p>
        </w:tc>
        <w:tc>
          <w:tcPr>
            <w:tcW w:w="0" w:type="auto"/>
          </w:tcPr>
          <w:p w14:paraId="69C83FDD" w14:textId="77777777" w:rsidR="00880A99" w:rsidRPr="00FB5437" w:rsidRDefault="00000000">
            <w:pPr>
              <w:pStyle w:val="Compact"/>
              <w:rPr>
                <w:lang w:val="tr-TR"/>
              </w:rPr>
            </w:pPr>
            <w:r w:rsidRPr="00FB5437">
              <w:rPr>
                <w:lang w:val="tr-TR"/>
              </w:rPr>
              <w:t>27,4 (23,7–31,4)</w:t>
            </w:r>
          </w:p>
        </w:tc>
      </w:tr>
      <w:tr w:rsidR="00880A99" w:rsidRPr="00FB5437" w14:paraId="1689A216" w14:textId="77777777">
        <w:tc>
          <w:tcPr>
            <w:tcW w:w="0" w:type="auto"/>
          </w:tcPr>
          <w:p w14:paraId="36CC4435" w14:textId="77777777" w:rsidR="00880A99" w:rsidRPr="00FB5437" w:rsidRDefault="00000000">
            <w:pPr>
              <w:pStyle w:val="Compact"/>
              <w:rPr>
                <w:lang w:val="tr-TR"/>
              </w:rPr>
            </w:pPr>
            <w:r w:rsidRPr="00FB5437">
              <w:rPr>
                <w:lang w:val="tr-TR"/>
              </w:rPr>
              <w:t>Erken MTX eliminasyon yarı ömrü, saat, ortalama ± SS</w:t>
            </w:r>
          </w:p>
        </w:tc>
        <w:tc>
          <w:tcPr>
            <w:tcW w:w="0" w:type="auto"/>
          </w:tcPr>
          <w:p w14:paraId="5561731A" w14:textId="77777777" w:rsidR="00880A99" w:rsidRPr="00FB5437" w:rsidRDefault="00000000">
            <w:pPr>
              <w:pStyle w:val="Compact"/>
              <w:rPr>
                <w:lang w:val="tr-TR"/>
              </w:rPr>
            </w:pPr>
            <w:r w:rsidRPr="00FB5437">
              <w:rPr>
                <w:lang w:val="tr-TR"/>
              </w:rPr>
              <w:t>9,9 ± 3,5</w:t>
            </w:r>
          </w:p>
        </w:tc>
      </w:tr>
      <w:tr w:rsidR="00880A99" w:rsidRPr="00FB5437" w14:paraId="19891E41" w14:textId="77777777">
        <w:tc>
          <w:tcPr>
            <w:tcW w:w="0" w:type="auto"/>
          </w:tcPr>
          <w:p w14:paraId="391BE036" w14:textId="77777777" w:rsidR="00880A99" w:rsidRPr="00FB5437" w:rsidRDefault="00000000">
            <w:pPr>
              <w:pStyle w:val="Compact"/>
              <w:rPr>
                <w:lang w:val="tr-TR"/>
              </w:rPr>
            </w:pPr>
            <w:r w:rsidRPr="00FB5437">
              <w:rPr>
                <w:lang w:val="tr-TR"/>
              </w:rPr>
              <w:t>İntrinsik (pre-HD) MTX yarı ömrü, saat, aralık (n=8)</w:t>
            </w:r>
          </w:p>
        </w:tc>
        <w:tc>
          <w:tcPr>
            <w:tcW w:w="0" w:type="auto"/>
          </w:tcPr>
          <w:p w14:paraId="7D75569F" w14:textId="77777777" w:rsidR="00880A99" w:rsidRPr="00FB5437" w:rsidRDefault="00000000">
            <w:pPr>
              <w:pStyle w:val="Compact"/>
              <w:rPr>
                <w:lang w:val="tr-TR"/>
              </w:rPr>
            </w:pPr>
            <w:r w:rsidRPr="00FB5437">
              <w:rPr>
                <w:lang w:val="tr-TR"/>
              </w:rPr>
              <w:t>4,2–27,3</w:t>
            </w:r>
          </w:p>
        </w:tc>
      </w:tr>
      <w:tr w:rsidR="00880A99" w:rsidRPr="00FB5437" w14:paraId="59A25891" w14:textId="77777777">
        <w:tc>
          <w:tcPr>
            <w:tcW w:w="0" w:type="auto"/>
          </w:tcPr>
          <w:p w14:paraId="3C5A6D45" w14:textId="77777777" w:rsidR="00880A99" w:rsidRPr="00FB5437" w:rsidRDefault="00000000">
            <w:pPr>
              <w:pStyle w:val="Compact"/>
              <w:rPr>
                <w:lang w:val="tr-TR"/>
              </w:rPr>
            </w:pPr>
            <w:r w:rsidRPr="00FB5437">
              <w:rPr>
                <w:lang w:val="tr-TR"/>
              </w:rPr>
              <w:t>Post-HD rebound oranı, n/toplam (%)</w:t>
            </w:r>
          </w:p>
        </w:tc>
        <w:tc>
          <w:tcPr>
            <w:tcW w:w="0" w:type="auto"/>
          </w:tcPr>
          <w:p w14:paraId="741EB8BE" w14:textId="77777777" w:rsidR="00880A99" w:rsidRPr="00FB5437" w:rsidRDefault="00000000">
            <w:pPr>
              <w:pStyle w:val="Compact"/>
              <w:rPr>
                <w:lang w:val="tr-TR"/>
              </w:rPr>
            </w:pPr>
            <w:r w:rsidRPr="00FB5437">
              <w:rPr>
                <w:lang w:val="tr-TR"/>
              </w:rPr>
              <w:t>6/23 (26,1)</w:t>
            </w:r>
          </w:p>
        </w:tc>
      </w:tr>
      <w:tr w:rsidR="00880A99" w:rsidRPr="00FB5437" w14:paraId="42193F7F" w14:textId="77777777">
        <w:tc>
          <w:tcPr>
            <w:tcW w:w="0" w:type="auto"/>
          </w:tcPr>
          <w:p w14:paraId="442CA325" w14:textId="77777777" w:rsidR="00880A99" w:rsidRPr="00FB5437" w:rsidRDefault="00000000">
            <w:pPr>
              <w:pStyle w:val="Compact"/>
              <w:rPr>
                <w:lang w:val="tr-TR"/>
              </w:rPr>
            </w:pPr>
            <w:r w:rsidRPr="00FB5437">
              <w:rPr>
                <w:lang w:val="tr-TR"/>
              </w:rPr>
              <w:t>Pre-HD MTX vs Pre-HD Cr korelasyonu (34 seans)</w:t>
            </w:r>
          </w:p>
        </w:tc>
        <w:tc>
          <w:tcPr>
            <w:tcW w:w="0" w:type="auto"/>
          </w:tcPr>
          <w:p w14:paraId="7F7B8E91" w14:textId="77777777" w:rsidR="00880A99" w:rsidRPr="00FB5437" w:rsidRDefault="00000000">
            <w:pPr>
              <w:pStyle w:val="Compact"/>
              <w:rPr>
                <w:lang w:val="tr-TR"/>
              </w:rPr>
            </w:pPr>
            <w:r w:rsidRPr="00FB5437">
              <w:rPr>
                <w:lang w:val="tr-TR"/>
              </w:rPr>
              <w:t>ρ = 0,31; p = 0,072</w:t>
            </w:r>
          </w:p>
        </w:tc>
      </w:tr>
      <w:tr w:rsidR="00880A99" w:rsidRPr="00FB5437" w14:paraId="0E6C52D9" w14:textId="77777777">
        <w:tc>
          <w:tcPr>
            <w:tcW w:w="0" w:type="auto"/>
          </w:tcPr>
          <w:p w14:paraId="5DA5B77D" w14:textId="77777777" w:rsidR="00880A99" w:rsidRPr="00FB5437" w:rsidRDefault="00000000">
            <w:pPr>
              <w:pStyle w:val="Compact"/>
              <w:rPr>
                <w:lang w:val="tr-TR"/>
              </w:rPr>
            </w:pPr>
            <w:r w:rsidRPr="00FB5437">
              <w:rPr>
                <w:b/>
                <w:bCs/>
                <w:lang w:val="tr-TR"/>
              </w:rPr>
              <w:t>İlk HD zamanlama korelasyonları</w:t>
            </w:r>
          </w:p>
        </w:tc>
        <w:tc>
          <w:tcPr>
            <w:tcW w:w="0" w:type="auto"/>
          </w:tcPr>
          <w:p w14:paraId="397D13C6" w14:textId="77777777" w:rsidR="00880A99" w:rsidRPr="00FB5437" w:rsidRDefault="00880A99">
            <w:pPr>
              <w:pStyle w:val="Compact"/>
              <w:rPr>
                <w:lang w:val="tr-TR"/>
              </w:rPr>
            </w:pPr>
          </w:p>
        </w:tc>
      </w:tr>
      <w:tr w:rsidR="00880A99" w:rsidRPr="00FB5437" w14:paraId="407FDD5E" w14:textId="77777777">
        <w:tc>
          <w:tcPr>
            <w:tcW w:w="0" w:type="auto"/>
          </w:tcPr>
          <w:p w14:paraId="6CB2FFFC" w14:textId="77777777" w:rsidR="00880A99" w:rsidRPr="00FB5437" w:rsidRDefault="00000000">
            <w:pPr>
              <w:pStyle w:val="Compact"/>
              <w:rPr>
                <w:lang w:val="tr-TR"/>
              </w:rPr>
            </w:pPr>
            <w:r w:rsidRPr="00FB5437">
              <w:rPr>
                <w:lang w:val="tr-TR"/>
              </w:rPr>
              <w:t>HD zamanlaması vs toplam klirens süresi</w:t>
            </w:r>
          </w:p>
        </w:tc>
        <w:tc>
          <w:tcPr>
            <w:tcW w:w="0" w:type="auto"/>
          </w:tcPr>
          <w:p w14:paraId="2A134662" w14:textId="77777777" w:rsidR="00880A99" w:rsidRPr="00FB5437" w:rsidRDefault="00000000">
            <w:pPr>
              <w:pStyle w:val="Compact"/>
              <w:rPr>
                <w:lang w:val="tr-TR"/>
              </w:rPr>
            </w:pPr>
            <w:r w:rsidRPr="00FB5437">
              <w:rPr>
                <w:lang w:val="tr-TR"/>
              </w:rPr>
              <w:t>ρ = 0,21; p = 0,533</w:t>
            </w:r>
          </w:p>
        </w:tc>
      </w:tr>
      <w:tr w:rsidR="00880A99" w:rsidRPr="00FB5437" w14:paraId="5463523E" w14:textId="77777777">
        <w:tc>
          <w:tcPr>
            <w:tcW w:w="0" w:type="auto"/>
          </w:tcPr>
          <w:p w14:paraId="045C28BB" w14:textId="77777777" w:rsidR="00880A99" w:rsidRPr="00FB5437" w:rsidRDefault="00000000">
            <w:pPr>
              <w:pStyle w:val="Compact"/>
              <w:rPr>
                <w:lang w:val="tr-TR"/>
              </w:rPr>
            </w:pPr>
            <w:r w:rsidRPr="00FB5437">
              <w:rPr>
                <w:lang w:val="tr-TR"/>
              </w:rPr>
              <w:t>Pre-HD MTX vs toplam klirens süresi</w:t>
            </w:r>
          </w:p>
        </w:tc>
        <w:tc>
          <w:tcPr>
            <w:tcW w:w="0" w:type="auto"/>
          </w:tcPr>
          <w:p w14:paraId="5E934FA5" w14:textId="77777777" w:rsidR="00880A99" w:rsidRPr="00FB5437" w:rsidRDefault="00000000">
            <w:pPr>
              <w:pStyle w:val="Compact"/>
              <w:rPr>
                <w:lang w:val="tr-TR"/>
              </w:rPr>
            </w:pPr>
            <w:r w:rsidRPr="00FB5437">
              <w:rPr>
                <w:lang w:val="tr-TR"/>
              </w:rPr>
              <w:t>ρ = 0,40; p = 0,223</w:t>
            </w:r>
          </w:p>
        </w:tc>
      </w:tr>
      <w:tr w:rsidR="00880A99" w:rsidRPr="00FB5437" w14:paraId="3ADDCC88" w14:textId="77777777">
        <w:tc>
          <w:tcPr>
            <w:tcW w:w="0" w:type="auto"/>
          </w:tcPr>
          <w:p w14:paraId="0157048C" w14:textId="77777777" w:rsidR="00880A99" w:rsidRPr="00FB5437" w:rsidRDefault="00000000">
            <w:pPr>
              <w:pStyle w:val="Compact"/>
              <w:rPr>
                <w:lang w:val="tr-TR"/>
              </w:rPr>
            </w:pPr>
            <w:r w:rsidRPr="00FB5437">
              <w:rPr>
                <w:b/>
                <w:bCs/>
                <w:lang w:val="tr-TR"/>
              </w:rPr>
              <w:t>Sonuçlar</w:t>
            </w:r>
          </w:p>
        </w:tc>
        <w:tc>
          <w:tcPr>
            <w:tcW w:w="0" w:type="auto"/>
          </w:tcPr>
          <w:p w14:paraId="0256112E" w14:textId="77777777" w:rsidR="00880A99" w:rsidRPr="00FB5437" w:rsidRDefault="00880A99">
            <w:pPr>
              <w:pStyle w:val="Compact"/>
              <w:rPr>
                <w:lang w:val="tr-TR"/>
              </w:rPr>
            </w:pPr>
          </w:p>
        </w:tc>
      </w:tr>
      <w:tr w:rsidR="00880A99" w:rsidRPr="00FB5437" w14:paraId="641DBF43" w14:textId="77777777">
        <w:tc>
          <w:tcPr>
            <w:tcW w:w="0" w:type="auto"/>
          </w:tcPr>
          <w:p w14:paraId="69FC52EF" w14:textId="77777777" w:rsidR="00880A99" w:rsidRPr="00FB5437" w:rsidRDefault="00000000">
            <w:pPr>
              <w:pStyle w:val="Compact"/>
              <w:rPr>
                <w:lang w:val="tr-TR"/>
              </w:rPr>
            </w:pPr>
            <w:r w:rsidRPr="00FB5437">
              <w:rPr>
                <w:lang w:val="tr-TR"/>
              </w:rPr>
              <w:t>Böbrek iyileşme süresi, gün, medyan (DAA)</w:t>
            </w:r>
          </w:p>
        </w:tc>
        <w:tc>
          <w:tcPr>
            <w:tcW w:w="0" w:type="auto"/>
          </w:tcPr>
          <w:p w14:paraId="10067E08" w14:textId="77777777" w:rsidR="00880A99" w:rsidRPr="00FB5437" w:rsidRDefault="00000000">
            <w:pPr>
              <w:pStyle w:val="Compact"/>
              <w:rPr>
                <w:lang w:val="tr-TR"/>
              </w:rPr>
            </w:pPr>
            <w:r w:rsidRPr="00FB5437">
              <w:rPr>
                <w:lang w:val="tr-TR"/>
              </w:rPr>
              <w:t>3,7 (2,1–10,0)</w:t>
            </w:r>
          </w:p>
        </w:tc>
      </w:tr>
      <w:tr w:rsidR="00880A99" w:rsidRPr="00FB5437" w14:paraId="65531C9C" w14:textId="77777777">
        <w:tc>
          <w:tcPr>
            <w:tcW w:w="0" w:type="auto"/>
          </w:tcPr>
          <w:p w14:paraId="643F5CAE" w14:textId="77777777" w:rsidR="00880A99" w:rsidRPr="00FB5437" w:rsidRDefault="00000000">
            <w:pPr>
              <w:pStyle w:val="Compact"/>
              <w:rPr>
                <w:lang w:val="tr-TR"/>
              </w:rPr>
            </w:pPr>
            <w:r w:rsidRPr="00FB5437">
              <w:rPr>
                <w:lang w:val="tr-TR"/>
              </w:rPr>
              <w:t>YBÜ yatış süresi, gün, medyan (DAA)</w:t>
            </w:r>
          </w:p>
        </w:tc>
        <w:tc>
          <w:tcPr>
            <w:tcW w:w="0" w:type="auto"/>
          </w:tcPr>
          <w:p w14:paraId="6DD37C44" w14:textId="77777777" w:rsidR="00880A99" w:rsidRPr="00FB5437" w:rsidRDefault="00000000">
            <w:pPr>
              <w:pStyle w:val="Compact"/>
              <w:rPr>
                <w:lang w:val="tr-TR"/>
              </w:rPr>
            </w:pPr>
            <w:r w:rsidRPr="00FB5437">
              <w:rPr>
                <w:lang w:val="tr-TR"/>
              </w:rPr>
              <w:t>1 (1–1,5)</w:t>
            </w:r>
          </w:p>
        </w:tc>
      </w:tr>
      <w:tr w:rsidR="00880A99" w:rsidRPr="00FB5437" w14:paraId="5E1FA4BD" w14:textId="77777777">
        <w:tc>
          <w:tcPr>
            <w:tcW w:w="0" w:type="auto"/>
          </w:tcPr>
          <w:p w14:paraId="407D79B1" w14:textId="77777777" w:rsidR="00880A99" w:rsidRPr="00FB5437" w:rsidRDefault="00000000">
            <w:pPr>
              <w:pStyle w:val="Compact"/>
              <w:rPr>
                <w:lang w:val="tr-TR"/>
              </w:rPr>
            </w:pPr>
            <w:r w:rsidRPr="00FB5437">
              <w:rPr>
                <w:lang w:val="tr-TR"/>
              </w:rPr>
              <w:t>Hastane yatış süresi, gün, medyan (DAA)</w:t>
            </w:r>
          </w:p>
        </w:tc>
        <w:tc>
          <w:tcPr>
            <w:tcW w:w="0" w:type="auto"/>
          </w:tcPr>
          <w:p w14:paraId="28B26028" w14:textId="77777777" w:rsidR="00880A99" w:rsidRPr="00FB5437" w:rsidRDefault="00000000">
            <w:pPr>
              <w:pStyle w:val="Compact"/>
              <w:rPr>
                <w:lang w:val="tr-TR"/>
              </w:rPr>
            </w:pPr>
            <w:r w:rsidRPr="00FB5437">
              <w:rPr>
                <w:lang w:val="tr-TR"/>
              </w:rPr>
              <w:t>15 (12,5–20)</w:t>
            </w:r>
          </w:p>
        </w:tc>
      </w:tr>
      <w:tr w:rsidR="00880A99" w:rsidRPr="00FB5437" w14:paraId="7F08F867" w14:textId="77777777">
        <w:tc>
          <w:tcPr>
            <w:tcW w:w="0" w:type="auto"/>
          </w:tcPr>
          <w:p w14:paraId="7EFFC810" w14:textId="77777777" w:rsidR="00880A99" w:rsidRPr="00FB5437" w:rsidRDefault="00000000">
            <w:pPr>
              <w:pStyle w:val="Compact"/>
              <w:rPr>
                <w:lang w:val="tr-TR"/>
              </w:rPr>
            </w:pPr>
            <w:r w:rsidRPr="00FB5437">
              <w:rPr>
                <w:lang w:val="tr-TR"/>
              </w:rPr>
              <w:t>Kalıcı böbrek hasarı, n</w:t>
            </w:r>
          </w:p>
        </w:tc>
        <w:tc>
          <w:tcPr>
            <w:tcW w:w="0" w:type="auto"/>
          </w:tcPr>
          <w:p w14:paraId="35AB131C" w14:textId="77777777" w:rsidR="00880A99" w:rsidRPr="00FB5437" w:rsidRDefault="00000000">
            <w:pPr>
              <w:pStyle w:val="Compact"/>
              <w:rPr>
                <w:lang w:val="tr-TR"/>
              </w:rPr>
            </w:pPr>
            <w:r w:rsidRPr="00FB5437">
              <w:rPr>
                <w:lang w:val="tr-TR"/>
              </w:rPr>
              <w:t>0</w:t>
            </w:r>
          </w:p>
        </w:tc>
      </w:tr>
      <w:tr w:rsidR="00880A99" w:rsidRPr="00FB5437" w14:paraId="2C23E142" w14:textId="77777777">
        <w:tc>
          <w:tcPr>
            <w:tcW w:w="0" w:type="auto"/>
          </w:tcPr>
          <w:p w14:paraId="162E8274" w14:textId="77777777" w:rsidR="00880A99" w:rsidRPr="00FB5437" w:rsidRDefault="00000000">
            <w:pPr>
              <w:pStyle w:val="Compact"/>
              <w:rPr>
                <w:lang w:val="tr-TR"/>
              </w:rPr>
            </w:pPr>
            <w:r w:rsidRPr="00FB5437">
              <w:rPr>
                <w:lang w:val="tr-TR"/>
              </w:rPr>
              <w:t>Mortalite, n</w:t>
            </w:r>
          </w:p>
        </w:tc>
        <w:tc>
          <w:tcPr>
            <w:tcW w:w="0" w:type="auto"/>
          </w:tcPr>
          <w:p w14:paraId="114F595C" w14:textId="77777777" w:rsidR="00880A99" w:rsidRPr="00FB5437" w:rsidRDefault="00000000">
            <w:pPr>
              <w:pStyle w:val="Compact"/>
              <w:rPr>
                <w:lang w:val="tr-TR"/>
              </w:rPr>
            </w:pPr>
            <w:r w:rsidRPr="00FB5437">
              <w:rPr>
                <w:lang w:val="tr-TR"/>
              </w:rPr>
              <w:t>0</w:t>
            </w:r>
          </w:p>
        </w:tc>
      </w:tr>
    </w:tbl>
    <w:p w14:paraId="77857BB6" w14:textId="77777777" w:rsidR="00880A99" w:rsidRPr="00FB5437" w:rsidRDefault="00000000">
      <w:pPr>
        <w:pStyle w:val="BodyText"/>
        <w:rPr>
          <w:lang w:val="tr-TR"/>
        </w:rPr>
      </w:pPr>
      <w:r w:rsidRPr="00FB5437">
        <w:rPr>
          <w:lang w:val="tr-TR"/>
        </w:rPr>
        <w:t>Kısaltmalar: MTX: metotreksat, HD: hemodiyaliz, DAA: çeyrekler arası aralık, SS: standart sapma, YBÜ: yoğun bakım ünitesi, Cr: kreatinin. Bireysel hasta verileri Ek Tablo 2’de sunulmuştur.</w:t>
      </w:r>
    </w:p>
    <w:p w14:paraId="56E7F40B" w14:textId="77777777" w:rsidR="00880A99" w:rsidRPr="00FB5437" w:rsidRDefault="00822623">
      <w:pPr>
        <w:rPr>
          <w:lang w:val="tr-TR"/>
        </w:rPr>
      </w:pPr>
      <w:r w:rsidRPr="00822623">
        <w:rPr>
          <w:noProof/>
          <w:lang w:val="tr-TR"/>
        </w:rPr>
        <w:pict w14:anchorId="6E2A667E">
          <v:rect id="_x0000_i1027" alt="" style="width:468pt;height:.05pt;mso-width-percent:0;mso-height-percent:0;mso-width-percent:0;mso-height-percent:0" o:hralign="center" o:hrstd="t" o:hr="t"/>
        </w:pict>
      </w:r>
    </w:p>
    <w:p w14:paraId="1B8A3EA9" w14:textId="77777777" w:rsidR="00880A99" w:rsidRPr="00FB5437" w:rsidRDefault="00000000" w:rsidP="00390241">
      <w:pPr>
        <w:pStyle w:val="Heading2"/>
        <w:jc w:val="both"/>
        <w:rPr>
          <w:lang w:val="tr-TR"/>
        </w:rPr>
      </w:pPr>
      <w:bookmarkStart w:id="20" w:name="tartışma"/>
      <w:bookmarkEnd w:id="6"/>
      <w:bookmarkEnd w:id="19"/>
      <w:r w:rsidRPr="00FB5437">
        <w:rPr>
          <w:lang w:val="tr-TR"/>
        </w:rPr>
        <w:lastRenderedPageBreak/>
        <w:t>Tartışma</w:t>
      </w:r>
    </w:p>
    <w:p w14:paraId="2192AC1E" w14:textId="4BE744BD" w:rsidR="00880A99" w:rsidRPr="00FB5437" w:rsidRDefault="00000000" w:rsidP="00390241">
      <w:pPr>
        <w:pStyle w:val="FirstParagraph"/>
        <w:jc w:val="both"/>
        <w:rPr>
          <w:lang w:val="tr-TR"/>
        </w:rPr>
      </w:pPr>
      <w:r w:rsidRPr="00FB5437">
        <w:rPr>
          <w:lang w:val="tr-TR"/>
        </w:rPr>
        <w:t xml:space="preserve">Bu çalışmada, </w:t>
      </w:r>
      <w:r w:rsidR="00FB5437" w:rsidRPr="00FB5437">
        <w:rPr>
          <w:lang w:val="tr-TR"/>
        </w:rPr>
        <w:t>HDMTX</w:t>
      </w:r>
      <w:r w:rsidRPr="00FB5437">
        <w:rPr>
          <w:lang w:val="tr-TR"/>
        </w:rPr>
        <w:t xml:space="preserve"> tedavisi sonrası gelişen MTX toksisitesi ve ABH’de düşük akımlı konvansiyonel</w:t>
      </w:r>
      <w:r w:rsidR="006431C8">
        <w:rPr>
          <w:lang w:val="tr-TR"/>
        </w:rPr>
        <w:t xml:space="preserve"> intermittant</w:t>
      </w:r>
      <w:r w:rsidRPr="00FB5437">
        <w:rPr>
          <w:lang w:val="tr-TR"/>
        </w:rPr>
        <w:t xml:space="preserve"> HD’nin etkin ve güvenli bir tedavi seçeneği olduğu, 11 pediatrik hastadan oluşan genişletilmiş bir kohort ile gösterilmiştir.</w:t>
      </w:r>
    </w:p>
    <w:p w14:paraId="12E1C2C2" w14:textId="77777777" w:rsidR="00880A99" w:rsidRPr="00FB5437" w:rsidRDefault="00000000" w:rsidP="00390241">
      <w:pPr>
        <w:pStyle w:val="BodyText"/>
        <w:jc w:val="both"/>
        <w:rPr>
          <w:lang w:val="tr-TR"/>
        </w:rPr>
      </w:pPr>
      <w:r w:rsidRPr="00FB5437">
        <w:rPr>
          <w:lang w:val="tr-TR"/>
        </w:rPr>
        <w:t>MTX’in molekül ağırlığı 454 Dalton olup, küçük molekül sınıfına girmektedir. Düşük akımlı diyalizör membranları 500 Dalton’un altındaki moleküllerin temizlenmesinde etkilidir [16,17]. Bu nedenle, MTX’in uzaklaştırılması için yüksek akımlı membranların zorunlu olmadığını savunuyoruz. Yüksek akımlı membranlar 10.000–15.000 Dalton arasındaki potansiyel toksik proteinlerin uzaklaştırılmasında popüler hale gelmiş olsa da, MTX gibi küçük moleküller için bu avantaj gereksizdir [16]. Kohortumuzda ilk HD seansında ortalama %66,0 MTX azalması sağlanmıştır. Literatürde yüksek akımlı HD ile bildirilen tek seans azalma oranları medyan %75,7 (aralık %42–94) [42], hemoperfüzyon ile %54–55 [45,46] ve hemodiyafiltrasyon ile değişken oranlar arasındadır [23,28,29]. Düşük akımlı diyalizörlerle elde ettiğimiz %66’lık azalma, bu yöntemlerle karşılaştırılabilir düzeydedir ve MTX uzaklaştırılmasında membran tipinden çok diyaliz parametrelerinin (kan akım hızı, seans süresi, zamanlama) belirleyici olduğunu düşündürmektedir.</w:t>
      </w:r>
    </w:p>
    <w:p w14:paraId="79F9475E" w14:textId="7A7C48E5" w:rsidR="00880A99" w:rsidRPr="00FB5437" w:rsidRDefault="00000000" w:rsidP="00390241">
      <w:pPr>
        <w:pStyle w:val="BodyText"/>
        <w:jc w:val="both"/>
        <w:rPr>
          <w:lang w:val="tr-TR"/>
        </w:rPr>
      </w:pPr>
      <w:commentRangeStart w:id="21"/>
      <w:r w:rsidRPr="00FB5437">
        <w:rPr>
          <w:lang w:val="tr-TR"/>
        </w:rPr>
        <w:t xml:space="preserve">ABH, </w:t>
      </w:r>
      <w:r w:rsidR="00FB5437" w:rsidRPr="00FB5437">
        <w:rPr>
          <w:lang w:val="tr-TR"/>
        </w:rPr>
        <w:t>HDMTX</w:t>
      </w:r>
      <w:r w:rsidRPr="00FB5437">
        <w:rPr>
          <w:lang w:val="tr-TR"/>
        </w:rPr>
        <w:t xml:space="preserve"> tedavisinde en önemli risk faktörüdür. ABH, MTX klirensini daha da bozarak toksisite amplifikasyonuna yol açan bir kısır döngü oluşturur. </w:t>
      </w:r>
      <w:commentRangeEnd w:id="21"/>
      <w:r w:rsidR="008E686D">
        <w:rPr>
          <w:rStyle w:val="CommentReference"/>
        </w:rPr>
        <w:commentReference w:id="21"/>
      </w:r>
      <w:r w:rsidRPr="00FB5437">
        <w:rPr>
          <w:lang w:val="tr-TR"/>
        </w:rPr>
        <w:t xml:space="preserve">Çalışmamızda KDIGO sınıflamasına göre üç hasta evre 3, beş hasta evre 2, iki hasta evre 1 ve bir hasta evre 0 ABH ile değerlendirilmiştir. Bu durum literatürle uyumludur. Güncel çalışmalar, </w:t>
      </w:r>
      <w:r w:rsidR="00FB5437" w:rsidRPr="00FB5437">
        <w:rPr>
          <w:lang w:val="tr-TR"/>
        </w:rPr>
        <w:t>HDMTX</w:t>
      </w:r>
      <w:r w:rsidRPr="00FB5437">
        <w:rPr>
          <w:lang w:val="tr-TR"/>
        </w:rPr>
        <w:t xml:space="preserve"> sonrası ABH insidansının daha önce düşünülenden yüksek olabileceğini göstermektedir. Latcha ve ark. büyük bir erişkin kohortunda %32,1 ABH oranı bildirmiştir [12]. Bizim kohortumuzda ABH oranı %90,9 (10/11 hasta) olup bu yüksek oran, çalışmamıza yalnızca HD gerektiren ağır vakaların dahil edilmiş olmasını yansıtmaktadır. Tentoni ve ark. erken MTX eliminasyon yarı ömrünün ABH biyobelirteci olarak kullanılabileceğini göstermiştir (düzeltilmiş OR 1,29/saat artış) [34]. Bizim kohortumuzda da benzer yaklaşımla hesaplanan erken MTX yarı ömrü ortalama 9,9 ± 3,5 saat olup, </w:t>
      </w:r>
      <w:r w:rsidR="00FB5437" w:rsidRPr="00FB5437">
        <w:rPr>
          <w:lang w:val="tr-TR"/>
        </w:rPr>
        <w:t>HDMTX</w:t>
      </w:r>
      <w:r w:rsidRPr="00FB5437">
        <w:rPr>
          <w:lang w:val="tr-TR"/>
        </w:rPr>
        <w:t xml:space="preserve">’in beklenen eliminasyon yarı ömrü (8–15 saat) [9] ile uyumludur. </w:t>
      </w:r>
      <w:commentRangeStart w:id="22"/>
      <w:r w:rsidRPr="00FB5437">
        <w:rPr>
          <w:lang w:val="tr-TR"/>
        </w:rPr>
        <w:t xml:space="preserve">Kohortumuzda 10/11 hastada ABH gelişmiş olması nedeniyle Tentoni’nin eşik değerinin doğrulanması mümkün olmamıştır; ancak log-lineer model uyumlarının mükemmel olması (medyan R² = 0,87), erken MTX ölçümlerinin güvenilir farmakokinetik karakterizasyon sağladığını göstermektedir. Daha büyük prospektif kohortlarda erken yarı ömür yaklaşımı, HD başlangıç kararını destekleyen erken bir biyobelirteç olarak serum kreatinini tamamlayabilir. </w:t>
      </w:r>
      <w:commentRangeEnd w:id="22"/>
      <w:r w:rsidR="00D343F2">
        <w:rPr>
          <w:rStyle w:val="CommentReference"/>
        </w:rPr>
        <w:commentReference w:id="22"/>
      </w:r>
      <w:r w:rsidRPr="00FB5437">
        <w:rPr>
          <w:lang w:val="tr-TR"/>
        </w:rPr>
        <w:t xml:space="preserve">Rice ve ark. ise </w:t>
      </w:r>
      <w:r w:rsidR="00FB5437" w:rsidRPr="00FB5437">
        <w:rPr>
          <w:lang w:val="tr-TR"/>
        </w:rPr>
        <w:t>HDMTX</w:t>
      </w:r>
      <w:r w:rsidRPr="00FB5437">
        <w:rPr>
          <w:lang w:val="tr-TR"/>
        </w:rPr>
        <w:t xml:space="preserve"> sonrası ABH’yi öngörmek için çok değişkenli bir prediksiyon modeli geliştirmiş ve bağımsız bir kohortta doğrulamıştır [13]. Bu modelde ≥55 yaş, erkek cinsiyet ve düşük </w:t>
      </w:r>
      <w:r w:rsidR="00FB5437" w:rsidRPr="00FB5437">
        <w:rPr>
          <w:lang w:val="tr-TR"/>
        </w:rPr>
        <w:t>HDMTX</w:t>
      </w:r>
      <w:r w:rsidRPr="00FB5437">
        <w:rPr>
          <w:lang w:val="tr-TR"/>
        </w:rPr>
        <w:t xml:space="preserve"> kür sayısının yanı sıra vücut yüzey alanı, Charlson Komorbidite İndeksi ve tahmini glomerüler filtrasyon hızı ABH ile anlamlı şekilde ilişkili bulunmuş olup, modelin c-istatistiği derivasyon kohortunda 0,72, validasyon kohortunda 0,72 olarak bildirilmiştir [13].</w:t>
      </w:r>
    </w:p>
    <w:p w14:paraId="6B33D882" w14:textId="77777777" w:rsidR="00880A99" w:rsidRPr="00FB5437" w:rsidRDefault="00000000" w:rsidP="00390241">
      <w:pPr>
        <w:pStyle w:val="BodyText"/>
        <w:jc w:val="both"/>
        <w:rPr>
          <w:lang w:val="tr-TR"/>
        </w:rPr>
      </w:pPr>
      <w:r w:rsidRPr="00FB5437">
        <w:rPr>
          <w:lang w:val="tr-TR"/>
        </w:rPr>
        <w:t xml:space="preserve">Önemli bir bulgu olarak, tüm 34 HD seansı analiz edildiğinde pre-HD MTX düzeyi ile pre-HD kreatinin düzeyi arasında anlamlılık sınırına yakın pozitif korelasyon saptanmıştır (ρ = 0,31; p = 0,072). Ayrıca, HD öncesi intrinsik MTX eliminasyon yarı ömrünün (4,2–27,3 saat) pik kreatinin ile zayıf pozitif eğilim göstermesi (ρ = 0,395; p = 0,333), yavaş MTX </w:t>
      </w:r>
      <w:r w:rsidRPr="00FB5437">
        <w:rPr>
          <w:lang w:val="tr-TR"/>
        </w:rPr>
        <w:lastRenderedPageBreak/>
        <w:t>klirensinin daha şiddetli ABH ile ilişkili olabileceğini düşündürmektedir. Bu bulgular, yüksek MTX düzeylerinin devam eden böbrek hasarıyla ilişkili olduğu hipoteziyle uyumlu olup, plazma MTX’inin hızlı düşürülmesinin ABH şiddetini azaltabileceği yönündeki gerekçeyi dolaylı olarak desteklemektedir.</w:t>
      </w:r>
    </w:p>
    <w:p w14:paraId="3F05DAB4" w14:textId="24CFD7B8" w:rsidR="00880A99" w:rsidRPr="00FB5437" w:rsidRDefault="00000000" w:rsidP="00390241">
      <w:pPr>
        <w:pStyle w:val="BodyText"/>
        <w:jc w:val="both"/>
        <w:rPr>
          <w:lang w:val="tr-TR"/>
        </w:rPr>
      </w:pPr>
      <w:r w:rsidRPr="00FB5437">
        <w:rPr>
          <w:lang w:val="tr-TR"/>
        </w:rPr>
        <w:t xml:space="preserve">Glucarpidase, MTX toksisitesinin en etkin tedavisidir. Gupta ve ark. tarafından yapılan ve 684 erişkin hastayı içeren büyük çok merkezli çalışmada, glucarpidase alan hastaların renal iyileşme olasılığının almayanlara göre 2,43 kat daha yüksek olduğu bildirilmiştir (düzeltilmiş OR 2,43; %95 GA 1,38–4,27). Bu etki, 60 saat içinde glucarpidase verilenlerde (OR 4,94) ve evre 3 ABH’de (OR 7,08) daha belirgindir [25]. Vila ve ark. pediatrik deneyimlerinde 15 hastanın tamamında glucarpidase sonrası renal fonksiyonların normalize olduğunu, 11 hastanın sonraki </w:t>
      </w:r>
      <w:r w:rsidR="00FB5437" w:rsidRPr="00FB5437">
        <w:rPr>
          <w:lang w:val="tr-TR"/>
        </w:rPr>
        <w:t>HDMTX</w:t>
      </w:r>
      <w:r w:rsidRPr="00FB5437">
        <w:rPr>
          <w:lang w:val="tr-TR"/>
        </w:rPr>
        <w:t xml:space="preserve"> kürlerini sorunsuz aldığını raporlamıştır [35].</w:t>
      </w:r>
    </w:p>
    <w:p w14:paraId="5EA3FF62" w14:textId="33E280E5" w:rsidR="00880A99" w:rsidRPr="00FB5437" w:rsidRDefault="00000000" w:rsidP="00390241">
      <w:pPr>
        <w:pStyle w:val="BodyText"/>
        <w:jc w:val="both"/>
        <w:rPr>
          <w:lang w:val="tr-TR"/>
        </w:rPr>
      </w:pPr>
      <w:r w:rsidRPr="00FB5437">
        <w:rPr>
          <w:lang w:val="tr-TR"/>
        </w:rPr>
        <w:t xml:space="preserve">Ancak glucarpidase’ın yüksek maliyeti küresel erişilebilirliğini ciddi şekilde sınırlamaktadır. Kala ve ark. tarafından yapılan ekonomik analizde, ABD koşullarında zamanında glucarpidase kullanımının hasta başına 188.525 ABD doları, HD’nin 234.487 ABD doları maliyeti olduğu hesaplanmıştır [27]. Bu hesaplamalar yüksek gelirli ülkelerin sağlık sistemi maliyetlerini yansıtmaktadır. Bizim ülkemizde ise yoğun bakım yatışı ve HD’nin toplam maliyeti, glucarpidase tedavisinin yaklaşık 70 katı daha ucuzdur. Gros ve ark. İspanya’daki Delphi çalışmasında </w:t>
      </w:r>
      <w:r w:rsidR="00FB5437" w:rsidRPr="00FB5437">
        <w:rPr>
          <w:lang w:val="tr-TR"/>
        </w:rPr>
        <w:t>HDMTX</w:t>
      </w:r>
      <w:r w:rsidRPr="00FB5437">
        <w:rPr>
          <w:lang w:val="tr-TR"/>
        </w:rPr>
        <w:t xml:space="preserve">-ABH hastalarının %90’ının hastanelerinde HD imkânı bulunduğunu, glucarpidase’ın ise ancak hastaların %60’ında kullanılabildiğini bildirmiştir [36]. Al Manasour ve ark. tarafından Orta Doğu bölgesinden yayımlanan konsensüs belgesi, 13 uzmanın katılımıyla modifiye Delphi yöntemi kullanılarak 50 konsensüs maddesi üzerinde %75’in üzerinde uzlaşı sağlamıştır [32]. Bu konsensüste glucarpidase’ın </w:t>
      </w:r>
      <w:r w:rsidR="00FB5437" w:rsidRPr="00FB5437">
        <w:rPr>
          <w:lang w:val="tr-TR"/>
        </w:rPr>
        <w:t>HDMTX</w:t>
      </w:r>
      <w:r w:rsidRPr="00FB5437">
        <w:rPr>
          <w:lang w:val="tr-TR"/>
        </w:rPr>
        <w:t xml:space="preserve"> toksisitesi ve ABH’de ilk seçenek olarak önerilmesine karşın, erişilemediği durumlarda yüksek akımlı HD’nin acil tedavi seçeneği olarak kullanılması açıkça tavsiye edilmiştir. Belge ayrıca, Birleşik Arap Emirlikleri’nin düzenleyici çerçevesinin glucarpidase, lökovorin, bikarbonat ve diüretiklerin sağlık kuruluşlarında stoklanmasını zorunlu kıldığını; ancak bölgedeki birçok ülkede bu imkânın bulunmadığını vurgulamıştır [32]. Bu durum, glucarpidase erişiminin bölgeler arası belirgin eşitsizlik gösterdiğini ve HD’nin birçok merkez için fiilen tek seçenek olduğunu ortaya koymaktadır. Bizim çalışmamız, bu bağlamda konvansiyonel düşük akımlı HD’nin bile yeterli MTX uzaklaştırılması sağlayabildiğine ilişkin doğrudan kanıt sunmaktadır.</w:t>
      </w:r>
    </w:p>
    <w:p w14:paraId="54894431" w14:textId="77777777" w:rsidR="00880A99" w:rsidRPr="00FB5437" w:rsidRDefault="00000000" w:rsidP="00390241">
      <w:pPr>
        <w:pStyle w:val="BodyText"/>
        <w:jc w:val="both"/>
        <w:rPr>
          <w:lang w:val="tr-TR"/>
        </w:rPr>
      </w:pPr>
      <w:r w:rsidRPr="00FB5437">
        <w:rPr>
          <w:lang w:val="tr-TR"/>
        </w:rPr>
        <w:t>Glucarpidase’ın ABH gelişmiş hastalardaki etkinliği konusunda önemli bir bilgi boşluğu bulunmaktadır. Purzycki ve ark. glucarpidase’ın bulunmadığı bir ortamda yüksek akımlı HD ve ardından CRRT ile başarılı yönetim bildirmiştir [37]. Corbisier ve ark. ise MTX’e bağlı akut karaciğer yetmezliğinde moleküler adsorbent resirkülasyon sistemi (MARS) ve SVVHDF ile başarılı tedavi sunmuşlardır [38].</w:t>
      </w:r>
    </w:p>
    <w:p w14:paraId="3109F3BA" w14:textId="16C1A279" w:rsidR="00880A99" w:rsidRPr="00FB5437" w:rsidRDefault="00000000" w:rsidP="00390241">
      <w:pPr>
        <w:pStyle w:val="BodyText"/>
        <w:jc w:val="both"/>
        <w:rPr>
          <w:lang w:val="tr-TR"/>
        </w:rPr>
      </w:pPr>
      <w:r w:rsidRPr="00FB5437">
        <w:rPr>
          <w:lang w:val="tr-TR"/>
        </w:rPr>
        <w:t>Çalışmamızda HD etkinliği ardışık seanslarda azalmış olup en etkili seans ilk seanstır</w:t>
      </w:r>
      <w:r w:rsidR="00821E09">
        <w:rPr>
          <w:lang w:val="tr-TR"/>
        </w:rPr>
        <w:t>, 1. seansta %66’dan %29’lara kadar düşmüştür.</w:t>
      </w:r>
      <w:r w:rsidRPr="00FB5437">
        <w:rPr>
          <w:lang w:val="tr-TR"/>
        </w:rPr>
        <w:t xml:space="preserve"> Bu azalan verim paterni iki kompartmanlı farmakokinetik modelle açıklanabilir: ilk seanslar plazma MTX’ini etkin şekilde temizlerken, sonraki seanslarda doku kompartmanından </w:t>
      </w:r>
      <w:r w:rsidR="00821E09">
        <w:rPr>
          <w:lang w:val="tr-TR"/>
        </w:rPr>
        <w:t>ve albümin</w:t>
      </w:r>
      <w:r w:rsidR="00F053BA">
        <w:rPr>
          <w:lang w:val="tr-TR"/>
        </w:rPr>
        <w:t xml:space="preserve"> v</w:t>
      </w:r>
      <w:r w:rsidR="00821E09">
        <w:rPr>
          <w:lang w:val="tr-TR"/>
        </w:rPr>
        <w:t>e</w:t>
      </w:r>
      <w:r w:rsidR="00F053BA">
        <w:rPr>
          <w:lang w:val="tr-TR"/>
        </w:rPr>
        <w:t xml:space="preserve"> plazma proteinlerine bağlı MTX’in </w:t>
      </w:r>
      <w:r w:rsidRPr="00FB5437">
        <w:rPr>
          <w:lang w:val="tr-TR"/>
        </w:rPr>
        <w:t>plazma kompartmanına yavaş redistribüsyon</w:t>
      </w:r>
      <w:r w:rsidR="00F053BA">
        <w:rPr>
          <w:lang w:val="tr-TR"/>
        </w:rPr>
        <w:t>u</w:t>
      </w:r>
      <w:r w:rsidRPr="00FB5437">
        <w:rPr>
          <w:lang w:val="tr-TR"/>
        </w:rPr>
        <w:t xml:space="preserve"> hız sınırlayıcı basamak haline gelmektedir. Post-HD rebound fenomeninin seansların %26,1’inde </w:t>
      </w:r>
      <w:r w:rsidRPr="00FB5437">
        <w:rPr>
          <w:lang w:val="tr-TR"/>
        </w:rPr>
        <w:lastRenderedPageBreak/>
        <w:t>gözlenmesi bu mekanizmayı desteklemektedir. Sakran ve ark. da benzer şekilde her diyaliz seansı sonrası MTX konsantrasyonlarının trough değerlerinin %40’ı kadar rebound gösterdiğini bildirmiştir [28].</w:t>
      </w:r>
    </w:p>
    <w:p w14:paraId="65D7FDEF" w14:textId="686F2A29" w:rsidR="00880A99" w:rsidRPr="00FB5437" w:rsidRDefault="00000000" w:rsidP="00390241">
      <w:pPr>
        <w:pStyle w:val="BodyText"/>
        <w:jc w:val="both"/>
        <w:rPr>
          <w:lang w:val="tr-TR"/>
        </w:rPr>
      </w:pPr>
      <w:r w:rsidRPr="00FB5437">
        <w:rPr>
          <w:lang w:val="tr-TR"/>
        </w:rPr>
        <w:t>Çalışmamızdaki en dikkat çekici farmakokinetik bulgu, ardışık seanslarda MTX ve kreatinin klirens paternlerinin ayrışmasıdır. MTX azalma oranı 1. seanstan itibaren belirgin şekilde düşerken, kreatinin azalma oranı tüm seanslar boyunca %36–54 aralığında sabit kalmıştır. Hatta geç seanslarda MTX azalmasının minimal olduğu durumlarda bile (örn. Pt 4, 4. seans: yalnızca %0,4 MTX azalması) kreatinin azalması %43,9 olarak devam etmiştir. Bu bulgu, HD’nin MTX uzaklaştırma kapasitesi plato yaptığında bile renal replasman işlevini sürdürdüğünü kanıtlamaktadır. Bu çift işlevlilik — hem MTX uzaklaştırılması hem de ABH tedavisi</w:t>
      </w:r>
      <w:r w:rsidR="008C3EC9">
        <w:rPr>
          <w:lang w:val="tr-TR"/>
        </w:rPr>
        <w:t>nde</w:t>
      </w:r>
      <w:r w:rsidRPr="00FB5437">
        <w:rPr>
          <w:lang w:val="tr-TR"/>
        </w:rPr>
        <w:t xml:space="preserve"> HD’yi glucarpidase’dan farklılaştıran önemli bir avantajdır, çünkü glucarpidase yalnızca plazma MTX düzeylerini düşürür ancak böbrek fonksiyonlarını doğrudan iyileştirmez.</w:t>
      </w:r>
    </w:p>
    <w:p w14:paraId="2A35B216" w14:textId="77777777" w:rsidR="00880A99" w:rsidRPr="00FB5437" w:rsidRDefault="00000000" w:rsidP="00390241">
      <w:pPr>
        <w:pStyle w:val="BodyText"/>
        <w:jc w:val="both"/>
        <w:rPr>
          <w:lang w:val="tr-TR"/>
        </w:rPr>
      </w:pPr>
      <w:r w:rsidRPr="00FB5437">
        <w:rPr>
          <w:lang w:val="tr-TR"/>
        </w:rPr>
        <w:t>Bu bulgular, HD seanslarının özellikle plazma MTX konsantrasyonunun en yüksek olduğu ilk 24–48 saat içinde yoğunlaştırılması gerektiğini desteklemektedir.</w:t>
      </w:r>
    </w:p>
    <w:p w14:paraId="68FDBDEC" w14:textId="77777777" w:rsidR="00880A99" w:rsidRPr="00FB5437" w:rsidRDefault="00000000" w:rsidP="00390241">
      <w:pPr>
        <w:pStyle w:val="BodyText"/>
        <w:jc w:val="both"/>
        <w:rPr>
          <w:lang w:val="tr-TR"/>
        </w:rPr>
      </w:pPr>
      <w:r w:rsidRPr="00FB5437">
        <w:rPr>
          <w:lang w:val="tr-TR"/>
        </w:rPr>
        <w:t>Çalışmamızda doz ile toksisite parametreleri arasında anlamlı korelasyon saptanmaması, MTX toksisitesinin salt doz bağımlı olmadığını göstermektedir. MTHFR gen varyantları gibi farmakogenetik faktörler, bireyler arası toksisite farklılıklarında önemli rol oynayabilir [39–41]. Al Manasour ve ark. konsensüs belgesinde de farmakogenomik profillemenin gelecekte tedavi bireyselleştirmesinde kritik öneme sahip olacağı vurgulanmıştır [32].</w:t>
      </w:r>
    </w:p>
    <w:p w14:paraId="696BEEF5" w14:textId="6F903318" w:rsidR="00880A99" w:rsidRPr="00FB5437" w:rsidRDefault="00FB5437" w:rsidP="00390241">
      <w:pPr>
        <w:pStyle w:val="BodyText"/>
        <w:jc w:val="both"/>
        <w:rPr>
          <w:lang w:val="tr-TR"/>
        </w:rPr>
      </w:pPr>
      <w:r w:rsidRPr="00FB5437">
        <w:rPr>
          <w:lang w:val="tr-TR"/>
        </w:rPr>
        <w:t>HDMTX</w:t>
      </w:r>
      <w:r w:rsidR="00000000" w:rsidRPr="00FB5437">
        <w:rPr>
          <w:lang w:val="tr-TR"/>
        </w:rPr>
        <w:t>’e bağlı ABH’nin uzun vadeli sonuçları tam olarak araştırılmamıştır; ancak böyle bir hasar sonrasında nefron kaybının kronik böbrek hastalığına yol açabileceği gösterilmiştir [8]. Çalışmamızda tüm hastaların böbrek fonksiyonları medyan 3,7 günde normale dönmüş olup takiplerde kalıcı böbrek hasarı saptanmamıştır.</w:t>
      </w:r>
    </w:p>
    <w:p w14:paraId="6CBB203E" w14:textId="77777777" w:rsidR="00880A99" w:rsidRPr="00FB5437" w:rsidRDefault="00000000" w:rsidP="00390241">
      <w:pPr>
        <w:pStyle w:val="Heading3"/>
        <w:jc w:val="both"/>
        <w:rPr>
          <w:lang w:val="tr-TR"/>
        </w:rPr>
      </w:pPr>
      <w:bookmarkStart w:id="23" w:name="çalışmanın-kısıtlılıkları"/>
      <w:r w:rsidRPr="00FB5437">
        <w:rPr>
          <w:lang w:val="tr-TR"/>
        </w:rPr>
        <w:t>Çalışmanın Kısıtlılıkları</w:t>
      </w:r>
    </w:p>
    <w:p w14:paraId="61D0D24C" w14:textId="77777777" w:rsidR="00880A99" w:rsidRPr="00FB5437" w:rsidRDefault="00000000" w:rsidP="00390241">
      <w:pPr>
        <w:pStyle w:val="FirstParagraph"/>
        <w:jc w:val="both"/>
        <w:rPr>
          <w:lang w:val="tr-TR"/>
        </w:rPr>
      </w:pPr>
      <w:r w:rsidRPr="00FB5437">
        <w:rPr>
          <w:lang w:val="tr-TR"/>
        </w:rPr>
        <w:t>Bu çalışma retrospektif tasarımda ve tek merkezli olup, hasta sayısı göreceli olarak küçüktür. Kontrol grubu bulunmadığından HD’nin etkinliği, spontan eliminasyon ile doğrudan karşılaştırılamamaktadır. Ancak bireysel hasta MTX eğrilerinde HD seansları ile eş zamanlı keskin düşüşlerin gözlenmesi, azalmanın müdahaleye bağlı olduğunu desteklemektedir. Tüm hastaların erkek olması cinsiyet açısından genelleme yapılmasını kısıtlamaktadır. Farmakogenetik analizler tüm hastalarda yapılamamıştır. MTX ölçümlerinin immünoassay yöntemiyle yapılması, özellikle düşük konsantrasyonlarda ölçüm doğruluğunu etkileyebilir.</w:t>
      </w:r>
    </w:p>
    <w:p w14:paraId="23209D7B" w14:textId="77777777" w:rsidR="00880A99" w:rsidRPr="00FB5437" w:rsidRDefault="00000000" w:rsidP="00390241">
      <w:pPr>
        <w:pStyle w:val="Heading3"/>
        <w:jc w:val="both"/>
        <w:rPr>
          <w:lang w:val="tr-TR"/>
        </w:rPr>
      </w:pPr>
      <w:bookmarkStart w:id="24" w:name="gelecek-çalışmalara-yönelik-öneriler"/>
      <w:bookmarkEnd w:id="23"/>
      <w:r w:rsidRPr="00FB5437">
        <w:rPr>
          <w:lang w:val="tr-TR"/>
        </w:rPr>
        <w:t>Gelecek Çalışmalara Yönelik Öneriler</w:t>
      </w:r>
    </w:p>
    <w:p w14:paraId="3546326E" w14:textId="00F43A81" w:rsidR="00880A99" w:rsidRPr="00FB5437" w:rsidRDefault="00000000" w:rsidP="00390241">
      <w:pPr>
        <w:pStyle w:val="FirstParagraph"/>
        <w:jc w:val="both"/>
        <w:rPr>
          <w:lang w:val="tr-TR"/>
        </w:rPr>
      </w:pPr>
      <w:r w:rsidRPr="00FB5437">
        <w:rPr>
          <w:lang w:val="tr-TR"/>
        </w:rPr>
        <w:t xml:space="preserve">Bu çalışmanın bulguları ışığında birkaç önemli araştırma alanı belirlenmiştir. Birincisi, düşük akımlı ve yüksek akımlı HD’nin MTX uzaklaştırma etkinliğinin doğrudan karşılaştırıldığı prospektif, çok merkezli randomize kontrollü çalışmalara ihtiyaç vardır; EXTRIP çalışma grubu da bu konuda kanıt eksikliğine dikkat çekmiştir [14]. İkincisi, erken MTX eliminasyon yarı ömrünün ABH biyobelirteci olarak kullanılabilirliği daha büyük pediatrik kohortlarda doğrulanmalıdır; Tentoni ve ark.’nın 169 hastalık kohortta gösterdiği </w:t>
      </w:r>
      <w:r w:rsidRPr="00FB5437">
        <w:rPr>
          <w:lang w:val="tr-TR"/>
        </w:rPr>
        <w:lastRenderedPageBreak/>
        <w:t xml:space="preserve">prediktif değer (düzeltilmiş OR 1,29/saat artış) [34], bu yaklaşımın HD başlangıç zamanlamasını optimize etme potansiyelini desteklemektedir. Üçüncüsü, MTHFR, SLCO1B1 ve ABCG2 gibi gen polimorfizmlerinin MTX toksisitesi ve HD yanıtı üzerine etkisi sistematik olarak araştırılmalıdır; Campbell ve ark.’nın farmakogenetik şemsiye derlemesi [39] ve Vila ve ark.’nın pediatrik serisinde bildirilen SLCO1B1 ve ABCG2 fenotipleme bulguları [35], bu genlerin MTX klirensini etkileyebileceğini düşündürmektedir. Dördüncüsü, düşük ve orta gelirli ülkelerde HD bazlı MTX uzaklaştırma stratejilerinin maliyet-etkinlik analizi yapılmalıdır; Kala ve ark.’nın ABD’ye özgü ekonomik modeli [27] farklı sağlık sistemi bağlamlarına uyarlanarak genelleştirilmelidir. Son olarak, </w:t>
      </w:r>
      <w:r w:rsidR="00FB5437" w:rsidRPr="00FB5437">
        <w:rPr>
          <w:lang w:val="tr-TR"/>
        </w:rPr>
        <w:t>HDMTX</w:t>
      </w:r>
      <w:r w:rsidRPr="00FB5437">
        <w:rPr>
          <w:lang w:val="tr-TR"/>
        </w:rPr>
        <w:t xml:space="preserve"> sonrası ABH geçiren çocuklarda uzun vadeli renal sonuçların (kronik böbrek hastalığı gelişimi, nefron kaybı) prospektif izlem çalışmalarıyla değerlendirilmesi gerekmektedir; Latcha ve ark.’nın erişkin kohortundaki %57,3 renal iyileşme oranı [12], pediatrik popülasyonda bu konunun araştırılması gerekliliğini vurgulamaktadır.</w:t>
      </w:r>
    </w:p>
    <w:p w14:paraId="61096905" w14:textId="77777777" w:rsidR="00880A99" w:rsidRPr="00FB5437" w:rsidRDefault="00822623">
      <w:pPr>
        <w:rPr>
          <w:lang w:val="tr-TR"/>
        </w:rPr>
      </w:pPr>
      <w:r w:rsidRPr="00822623">
        <w:rPr>
          <w:noProof/>
          <w:lang w:val="tr-TR"/>
        </w:rPr>
        <w:pict w14:anchorId="18B439AE">
          <v:rect id="_x0000_i1026" alt="" style="width:468pt;height:.05pt;mso-width-percent:0;mso-height-percent:0;mso-width-percent:0;mso-height-percent:0" o:hralign="center" o:hrstd="t" o:hr="t"/>
        </w:pict>
      </w:r>
    </w:p>
    <w:p w14:paraId="410ED476" w14:textId="77777777" w:rsidR="00880A99" w:rsidRPr="00FB5437" w:rsidRDefault="00000000">
      <w:pPr>
        <w:pStyle w:val="Heading2"/>
        <w:rPr>
          <w:lang w:val="tr-TR"/>
        </w:rPr>
      </w:pPr>
      <w:bookmarkStart w:id="25" w:name="sonuç"/>
      <w:bookmarkEnd w:id="20"/>
      <w:bookmarkEnd w:id="24"/>
      <w:r w:rsidRPr="00FB5437">
        <w:rPr>
          <w:lang w:val="tr-TR"/>
        </w:rPr>
        <w:t>Sonuç</w:t>
      </w:r>
    </w:p>
    <w:p w14:paraId="70F97F11" w14:textId="0589B1D0" w:rsidR="00880A99" w:rsidRPr="00FB5437" w:rsidRDefault="00000000">
      <w:pPr>
        <w:pStyle w:val="FirstParagraph"/>
        <w:rPr>
          <w:lang w:val="tr-TR"/>
        </w:rPr>
      </w:pPr>
      <w:r w:rsidRPr="00FB5437">
        <w:rPr>
          <w:lang w:val="tr-TR"/>
        </w:rPr>
        <w:t xml:space="preserve">Bu genişletilmiş vaka serisinde, </w:t>
      </w:r>
      <w:r w:rsidR="00FB5437" w:rsidRPr="00FB5437">
        <w:rPr>
          <w:lang w:val="tr-TR"/>
        </w:rPr>
        <w:t>HDMTX</w:t>
      </w:r>
      <w:r w:rsidRPr="00FB5437">
        <w:rPr>
          <w:lang w:val="tr-TR"/>
        </w:rPr>
        <w:t xml:space="preserve"> tedavisi sonrası ABH ve MTX toksisitesi gelişen pediatrik hastalarda konvansiyonel düşük akımlı HD’nin etkili ve güvenli bir MTX uzaklaştırma yöntemi olduğu gösterilmiştir. MTX’in düşük molekül ağırlığı (454 Da) göz önüne alındığında, yüksek akımlı membranlar MTX diyalizi için zorunlu değildir. HD, MTX eliminasyonunu hızlandırmanın yanı sıra eş zamanlı ABH tedavisi de sağlayarak çift işlevli bir tedavi modalitesi sunmaktadır. Ardışık seanslarda MTX klirensinin azalmasına karşın kreatinin klirensinin sabit kalması bu çift işlevliliği doğrulamaktadır. Özellikle glucarpidase’ın erişilemediği veya karşılanamadığı düşük ve orta gelirli ülkelerde, konvansiyonel HD </w:t>
      </w:r>
      <w:r w:rsidR="00FB5437" w:rsidRPr="00FB5437">
        <w:rPr>
          <w:lang w:val="tr-TR"/>
        </w:rPr>
        <w:t>HDMTX</w:t>
      </w:r>
      <w:r w:rsidRPr="00FB5437">
        <w:rPr>
          <w:lang w:val="tr-TR"/>
        </w:rPr>
        <w:t xml:space="preserve"> toksisitesi yönetiminde temel tedavi seçeneği olarak değerlendirilmelidir.</w:t>
      </w:r>
    </w:p>
    <w:p w14:paraId="2E8CA4F7" w14:textId="77777777" w:rsidR="00880A99" w:rsidRPr="00FB5437" w:rsidRDefault="00822623">
      <w:pPr>
        <w:rPr>
          <w:lang w:val="tr-TR"/>
        </w:rPr>
      </w:pPr>
      <w:r w:rsidRPr="00822623">
        <w:rPr>
          <w:noProof/>
          <w:lang w:val="tr-TR"/>
        </w:rPr>
        <w:pict w14:anchorId="14D2B774">
          <v:rect id="_x0000_i1025" alt="" style="width:468pt;height:.05pt;mso-width-percent:0;mso-height-percent:0;mso-width-percent:0;mso-height-percent:0" o:hralign="center" o:hrstd="t" o:hr="t"/>
        </w:pict>
      </w:r>
    </w:p>
    <w:p w14:paraId="64A15FE2" w14:textId="77777777" w:rsidR="00880A99" w:rsidRPr="00FB5437" w:rsidRDefault="00000000">
      <w:pPr>
        <w:pStyle w:val="Heading2"/>
        <w:rPr>
          <w:lang w:val="tr-TR"/>
        </w:rPr>
      </w:pPr>
      <w:bookmarkStart w:id="26" w:name="kaynaklar"/>
      <w:bookmarkEnd w:id="25"/>
      <w:r w:rsidRPr="00FB5437">
        <w:rPr>
          <w:lang w:val="tr-TR"/>
        </w:rPr>
        <w:t>Kaynaklar</w:t>
      </w:r>
    </w:p>
    <w:p w14:paraId="1DE85E3C" w14:textId="77777777" w:rsidR="00880A99" w:rsidRPr="00FB5437" w:rsidRDefault="00000000">
      <w:pPr>
        <w:numPr>
          <w:ilvl w:val="0"/>
          <w:numId w:val="2"/>
        </w:numPr>
        <w:rPr>
          <w:lang w:val="tr-TR"/>
        </w:rPr>
      </w:pPr>
      <w:r w:rsidRPr="00FB5437">
        <w:rPr>
          <w:lang w:val="tr-TR"/>
        </w:rPr>
        <w:t>Bertino J, Kamen B, Romanini A. Cancer Medicine. 1997;907-922.</w:t>
      </w:r>
    </w:p>
    <w:p w14:paraId="7673E44F" w14:textId="77777777" w:rsidR="00880A99" w:rsidRPr="00FB5437" w:rsidRDefault="00000000">
      <w:pPr>
        <w:numPr>
          <w:ilvl w:val="0"/>
          <w:numId w:val="2"/>
        </w:numPr>
        <w:rPr>
          <w:lang w:val="tr-TR"/>
        </w:rPr>
      </w:pPr>
      <w:r w:rsidRPr="00FB5437">
        <w:rPr>
          <w:lang w:val="tr-TR"/>
        </w:rPr>
        <w:t>Khan ZA, Tripathi R, Mishra B. Methotrexate: a detailed review on drug delivery and clinical aspects. Expert Opin Drug Deliv. 2012;9(2):151-169. doi:10.1517/17425247.2012.642362</w:t>
      </w:r>
    </w:p>
    <w:p w14:paraId="570A9399" w14:textId="77777777" w:rsidR="00880A99" w:rsidRPr="00FB5437" w:rsidRDefault="00000000">
      <w:pPr>
        <w:numPr>
          <w:ilvl w:val="0"/>
          <w:numId w:val="2"/>
        </w:numPr>
        <w:rPr>
          <w:lang w:val="tr-TR"/>
        </w:rPr>
      </w:pPr>
      <w:r w:rsidRPr="00FB5437">
        <w:rPr>
          <w:lang w:val="tr-TR"/>
        </w:rPr>
        <w:t>Widemann BC, Adamson PC. Understanding and managing methotrexate nephrotoxicity. Oncologist. 2006;11(6):694-703. doi:10.1634/theoncologist.11-6-694</w:t>
      </w:r>
    </w:p>
    <w:p w14:paraId="4BCD39CF" w14:textId="77777777" w:rsidR="00880A99" w:rsidRPr="00FB5437" w:rsidRDefault="00000000">
      <w:pPr>
        <w:numPr>
          <w:ilvl w:val="0"/>
          <w:numId w:val="2"/>
        </w:numPr>
        <w:rPr>
          <w:lang w:val="tr-TR"/>
        </w:rPr>
      </w:pPr>
      <w:r w:rsidRPr="00FB5437">
        <w:rPr>
          <w:lang w:val="tr-TR"/>
        </w:rPr>
        <w:t>Whelan JS, Bielack SS, Marina N, et al. EURAMOS-1, an international randomised study for osteosarcoma: results from pre-randomisation treatment. Ann Oncol. 2015;26(2):407-414. doi:10.1093/annonc/mdu526</w:t>
      </w:r>
    </w:p>
    <w:p w14:paraId="1B2FA340" w14:textId="77777777" w:rsidR="00880A99" w:rsidRPr="00FB5437" w:rsidRDefault="00000000">
      <w:pPr>
        <w:numPr>
          <w:ilvl w:val="0"/>
          <w:numId w:val="2"/>
        </w:numPr>
        <w:rPr>
          <w:lang w:val="tr-TR"/>
        </w:rPr>
      </w:pPr>
      <w:r w:rsidRPr="00FB5437">
        <w:rPr>
          <w:lang w:val="tr-TR"/>
        </w:rPr>
        <w:t xml:space="preserve">Patte C, Auperin A, Gerrard M, et al. Results of the randomized international FAB/LMB96 trial for intermediate risk B-cell non-Hodgkin lymphoma in children </w:t>
      </w:r>
      <w:r w:rsidRPr="00FB5437">
        <w:rPr>
          <w:lang w:val="tr-TR"/>
        </w:rPr>
        <w:lastRenderedPageBreak/>
        <w:t>and adolescents. Blood. 2006;109(7):2773-2780. doi:10.1182/blood-2006-07-036673</w:t>
      </w:r>
    </w:p>
    <w:p w14:paraId="0D969B0E" w14:textId="77777777" w:rsidR="00880A99" w:rsidRPr="00FB5437" w:rsidRDefault="00000000">
      <w:pPr>
        <w:numPr>
          <w:ilvl w:val="0"/>
          <w:numId w:val="2"/>
        </w:numPr>
        <w:rPr>
          <w:lang w:val="tr-TR"/>
        </w:rPr>
      </w:pPr>
      <w:r w:rsidRPr="00FB5437">
        <w:rPr>
          <w:lang w:val="tr-TR"/>
        </w:rPr>
        <w:t>Koomdee N, Hongeng S, Apibal S, Pakakasama S. Association between polymorphisms of dihydrofolate reductase and gamma glutamyl hydrolase genes and toxicity of high dose methotrexate in children with ALL. Asian Pac J Cancer Prev. 2012;13(7):3461-3464.</w:t>
      </w:r>
    </w:p>
    <w:p w14:paraId="65C72287" w14:textId="77777777" w:rsidR="00880A99" w:rsidRPr="00FB5437" w:rsidRDefault="00000000">
      <w:pPr>
        <w:numPr>
          <w:ilvl w:val="0"/>
          <w:numId w:val="2"/>
        </w:numPr>
        <w:rPr>
          <w:lang w:val="tr-TR"/>
        </w:rPr>
      </w:pPr>
      <w:r w:rsidRPr="00FB5437">
        <w:rPr>
          <w:lang w:val="tr-TR"/>
        </w:rPr>
        <w:t>Surapolchai P, Anurathapan U, Sermcheep A, et al. Long-term outcomes of modified St Jude Total Therapy XIIIB and XV for Thai children with ALL. Clin Lymphoma Myeloma Leuk. 2019;19(8):497-505. doi:10.1016/j.clml.2019.04.006</w:t>
      </w:r>
    </w:p>
    <w:p w14:paraId="238488F6" w14:textId="77777777" w:rsidR="00880A99" w:rsidRPr="00FB5437" w:rsidRDefault="00000000">
      <w:pPr>
        <w:numPr>
          <w:ilvl w:val="0"/>
          <w:numId w:val="2"/>
        </w:numPr>
        <w:rPr>
          <w:lang w:val="tr-TR"/>
        </w:rPr>
      </w:pPr>
      <w:r w:rsidRPr="00FB5437">
        <w:rPr>
          <w:lang w:val="tr-TR"/>
        </w:rPr>
        <w:t>Ramsey LB, Balis FM, O’Brien MM, et al. Consensus guideline for use of glucarpidase in patients with high-dose methotrexate induced acute kidney injury and delayed methotrexate clearance. Oncologist. 2018;23(1):52-61. doi:10.1634/theoncologist.2017-0243</w:t>
      </w:r>
    </w:p>
    <w:p w14:paraId="2E86F8C5" w14:textId="77777777" w:rsidR="00880A99" w:rsidRPr="00FB5437" w:rsidRDefault="00000000">
      <w:pPr>
        <w:numPr>
          <w:ilvl w:val="0"/>
          <w:numId w:val="2"/>
        </w:numPr>
        <w:rPr>
          <w:lang w:val="tr-TR"/>
        </w:rPr>
      </w:pPr>
      <w:r w:rsidRPr="00FB5437">
        <w:rPr>
          <w:lang w:val="tr-TR"/>
        </w:rPr>
        <w:t>Howard SC, McCormick J, Pui CH, Buddington RK, Harvey RD. Preventing and managing toxicities of high-dose methotrexate. Oncologist. 2016;21(12):1471-1482. doi:10.1634/theoncologist.2015-0164</w:t>
      </w:r>
    </w:p>
    <w:p w14:paraId="0B026846" w14:textId="77777777" w:rsidR="00880A99" w:rsidRPr="00FB5437" w:rsidRDefault="00000000">
      <w:pPr>
        <w:numPr>
          <w:ilvl w:val="0"/>
          <w:numId w:val="2"/>
        </w:numPr>
        <w:rPr>
          <w:lang w:val="tr-TR"/>
        </w:rPr>
      </w:pPr>
      <w:r w:rsidRPr="00FB5437">
        <w:rPr>
          <w:lang w:val="tr-TR"/>
        </w:rPr>
        <w:t>Green MR, Chamberlain MC. Renal dysfunction during and after high-dose methotrexate. Cancer Chemother Pharmacol. 2009;63(4):599-604. doi:10.1007/s00280-008-0772-0</w:t>
      </w:r>
    </w:p>
    <w:p w14:paraId="7666FC93" w14:textId="77777777" w:rsidR="00880A99" w:rsidRPr="00FB5437" w:rsidRDefault="00000000">
      <w:pPr>
        <w:numPr>
          <w:ilvl w:val="0"/>
          <w:numId w:val="2"/>
        </w:numPr>
        <w:rPr>
          <w:lang w:val="tr-TR"/>
        </w:rPr>
      </w:pPr>
      <w:r w:rsidRPr="00FB5437">
        <w:rPr>
          <w:lang w:val="tr-TR"/>
        </w:rPr>
        <w:t>Widemann BC, Balis FM, Kim A, et al. Glucarpidase, leucovorin, and thymidine for high-dose methotrexate-induced renal dysfunction: clinical and pharmacologic factors affecting outcome. J Clin Oncol. 2010;28(25):3979-3986. doi:10.1200/JCO.2009.25.4540</w:t>
      </w:r>
    </w:p>
    <w:p w14:paraId="67F4879D" w14:textId="77777777" w:rsidR="00880A99" w:rsidRPr="00FB5437" w:rsidRDefault="00000000">
      <w:pPr>
        <w:numPr>
          <w:ilvl w:val="0"/>
          <w:numId w:val="2"/>
        </w:numPr>
        <w:rPr>
          <w:lang w:val="tr-TR"/>
        </w:rPr>
      </w:pPr>
      <w:r w:rsidRPr="00FB5437">
        <w:rPr>
          <w:lang w:val="tr-TR"/>
        </w:rPr>
        <w:t>Latcha S, Gupta M, Lin IH, Jaimes EA. High dose methotrexate-induced acute kidney injury: incidence, risk factors, and recovery. Kidney Int Rep. 2023;8(2):360-364. doi:10.1016/j.ekir.2022.10.029</w:t>
      </w:r>
    </w:p>
    <w:p w14:paraId="2B0387C0" w14:textId="77777777" w:rsidR="00880A99" w:rsidRPr="00FB5437" w:rsidRDefault="00000000">
      <w:pPr>
        <w:numPr>
          <w:ilvl w:val="0"/>
          <w:numId w:val="2"/>
        </w:numPr>
        <w:rPr>
          <w:lang w:val="tr-TR"/>
        </w:rPr>
      </w:pPr>
      <w:r w:rsidRPr="00FB5437">
        <w:rPr>
          <w:lang w:val="tr-TR"/>
        </w:rPr>
        <w:t>Rice ML, Barreto EF, Rule AD, et al. Development and validation of a model to predict acute kidney injury following high dose methotrexate in patients with lymphoma. Pharmacotherapy. 2024;44(1):4-12. doi:10.1002/phar.2889</w:t>
      </w:r>
    </w:p>
    <w:p w14:paraId="417B91F0" w14:textId="77777777" w:rsidR="00880A99" w:rsidRPr="00FB5437" w:rsidRDefault="00000000">
      <w:pPr>
        <w:numPr>
          <w:ilvl w:val="0"/>
          <w:numId w:val="2"/>
        </w:numPr>
        <w:rPr>
          <w:lang w:val="tr-TR"/>
        </w:rPr>
      </w:pPr>
      <w:r w:rsidRPr="00FB5437">
        <w:rPr>
          <w:lang w:val="tr-TR"/>
        </w:rPr>
        <w:t>Ghannoum M, Roberts DM, Goldfarb DS, et al. Extracorporeal treatment for methotrexate poisoning: systematic review and recommendations from the EXTRIP workgroup. Clin J Am Soc Nephrol. 2022;17(4):602-622. doi:10.2215/CJN.08030621</w:t>
      </w:r>
    </w:p>
    <w:p w14:paraId="3C9A7F13" w14:textId="77777777" w:rsidR="00880A99" w:rsidRPr="00FB5437" w:rsidRDefault="00000000">
      <w:pPr>
        <w:numPr>
          <w:ilvl w:val="0"/>
          <w:numId w:val="2"/>
        </w:numPr>
        <w:rPr>
          <w:lang w:val="tr-TR"/>
        </w:rPr>
      </w:pPr>
      <w:r w:rsidRPr="00FB5437">
        <w:rPr>
          <w:lang w:val="tr-TR"/>
        </w:rPr>
        <w:t>Garlich FM, Goldfarb DS. Have advances in extracorporeal removal techniques changed the indications for their use in poisonings? Adv Chronic Kidney Dis. 2011;18(3):172-179. doi:10.1053/j.ackd.2011.01.009</w:t>
      </w:r>
    </w:p>
    <w:p w14:paraId="0E09E268" w14:textId="77777777" w:rsidR="00880A99" w:rsidRPr="00FB5437" w:rsidRDefault="00000000">
      <w:pPr>
        <w:numPr>
          <w:ilvl w:val="0"/>
          <w:numId w:val="2"/>
        </w:numPr>
        <w:rPr>
          <w:lang w:val="tr-TR"/>
        </w:rPr>
      </w:pPr>
      <w:r w:rsidRPr="00FB5437">
        <w:rPr>
          <w:lang w:val="tr-TR"/>
        </w:rPr>
        <w:t>Oshvandi K, Kavyannejad R, Borzuo SR, Gholyaf M. High-flux and low-flux membranes: efficacy in hemodialysis. Nurs Midwifery Stud. 2014;3(3):e21764. doi:10.17795/nmsjournal21764</w:t>
      </w:r>
    </w:p>
    <w:p w14:paraId="2C3F75D7" w14:textId="77777777" w:rsidR="00880A99" w:rsidRPr="00FB5437" w:rsidRDefault="00000000">
      <w:pPr>
        <w:numPr>
          <w:ilvl w:val="0"/>
          <w:numId w:val="2"/>
        </w:numPr>
        <w:rPr>
          <w:lang w:val="tr-TR"/>
        </w:rPr>
      </w:pPr>
      <w:r w:rsidRPr="00FB5437">
        <w:rPr>
          <w:lang w:val="tr-TR"/>
        </w:rPr>
        <w:lastRenderedPageBreak/>
        <w:t>Azar AT, Canaud B. Hemodialysis system. In: Modelling and Control of Dialysis Systems. Springer; 2013:99-166.</w:t>
      </w:r>
    </w:p>
    <w:p w14:paraId="19988C94" w14:textId="77777777" w:rsidR="00880A99" w:rsidRPr="00FB5437" w:rsidRDefault="00000000">
      <w:pPr>
        <w:numPr>
          <w:ilvl w:val="0"/>
          <w:numId w:val="2"/>
        </w:numPr>
        <w:rPr>
          <w:lang w:val="tr-TR"/>
        </w:rPr>
      </w:pPr>
      <w:r w:rsidRPr="00FB5437">
        <w:rPr>
          <w:lang w:val="tr-TR"/>
        </w:rPr>
        <w:t>Saland J, Leavey PJ, Bash RO, Hansch E, Arbus GS, Quigley R. Effective removal of methotrexate by high-flux hemodialysis. Pediatr Nephrol. 2002;17(10):825-829. doi:10.1007/s00467-002-0946-7</w:t>
      </w:r>
    </w:p>
    <w:p w14:paraId="0C55CA95" w14:textId="77777777" w:rsidR="00880A99" w:rsidRPr="00FB5437" w:rsidRDefault="00000000">
      <w:pPr>
        <w:numPr>
          <w:ilvl w:val="0"/>
          <w:numId w:val="2"/>
        </w:numPr>
        <w:rPr>
          <w:lang w:val="tr-TR"/>
        </w:rPr>
      </w:pPr>
      <w:r w:rsidRPr="00FB5437">
        <w:rPr>
          <w:lang w:val="tr-TR"/>
        </w:rPr>
        <w:t>Wall SM, Johansen MJ, Molony DA, DuBose TD Jr, Jaffe N, Madden T. Effective clearance of methotrexate using high-flux hemodialysis membranes. Am J Kidney Dis. 1996;28(6):846-854. doi:10.1016/S0272-6386(96)90384-4</w:t>
      </w:r>
    </w:p>
    <w:p w14:paraId="52496E2D" w14:textId="77777777" w:rsidR="00880A99" w:rsidRPr="00FB5437" w:rsidRDefault="00000000">
      <w:pPr>
        <w:numPr>
          <w:ilvl w:val="0"/>
          <w:numId w:val="2"/>
        </w:numPr>
        <w:rPr>
          <w:lang w:val="tr-TR"/>
        </w:rPr>
      </w:pPr>
      <w:r w:rsidRPr="00FB5437">
        <w:rPr>
          <w:lang w:val="tr-TR"/>
        </w:rPr>
        <w:t>Vilay AM, Mueller BA, Haines H, Alten JA, Askenazi DJ. Treatment of methotrexate intoxication with various modalities of continuous extracorporeal therapy and glucarpidase. Pharmacotherapy. 2010;30(1):111. doi:10.1592/phco.30.1.111</w:t>
      </w:r>
    </w:p>
    <w:p w14:paraId="66148917" w14:textId="77777777" w:rsidR="00880A99" w:rsidRPr="00FB5437" w:rsidRDefault="00000000">
      <w:pPr>
        <w:numPr>
          <w:ilvl w:val="0"/>
          <w:numId w:val="2"/>
        </w:numPr>
        <w:rPr>
          <w:lang w:val="tr-TR"/>
        </w:rPr>
      </w:pPr>
      <w:r w:rsidRPr="00FB5437">
        <w:rPr>
          <w:lang w:val="tr-TR"/>
        </w:rPr>
        <w:t>Cecyn KZ, Lee J, Oguro T, Petrilli AS, Bordin JO. Use of plasma exchange in methotrexate removal in a patient with osteosarcoma and acute renal insufficiency. Am J Hematol. 2003;72(3):209-211. doi:10.1002/ajh.10271</w:t>
      </w:r>
    </w:p>
    <w:p w14:paraId="3CDC21E7" w14:textId="77777777" w:rsidR="00880A99" w:rsidRPr="00FB5437" w:rsidRDefault="00000000">
      <w:pPr>
        <w:numPr>
          <w:ilvl w:val="0"/>
          <w:numId w:val="2"/>
        </w:numPr>
        <w:rPr>
          <w:lang w:val="tr-TR"/>
        </w:rPr>
      </w:pPr>
      <w:r w:rsidRPr="00FB5437">
        <w:rPr>
          <w:lang w:val="tr-TR"/>
        </w:rPr>
        <w:t>Raina R, Grewal MK, Blackford M, et al. Renal replacement therapy in the management of intoxications in children: recommendations from the PCRRT workgroup. Pediatr Nephrol. 2019;34(11):2427-2448. doi:10.1007/s00467-019-04319-2</w:t>
      </w:r>
    </w:p>
    <w:p w14:paraId="640D7FFF" w14:textId="77777777" w:rsidR="00880A99" w:rsidRPr="00FB5437" w:rsidRDefault="00000000">
      <w:pPr>
        <w:numPr>
          <w:ilvl w:val="0"/>
          <w:numId w:val="2"/>
        </w:numPr>
        <w:rPr>
          <w:lang w:val="tr-TR"/>
        </w:rPr>
      </w:pPr>
      <w:r w:rsidRPr="00FB5437">
        <w:rPr>
          <w:lang w:val="tr-TR"/>
        </w:rPr>
        <w:t>Montagne N, Milano G, Caldani C, et al. Removal of methotrexate by hemodiafiltration. Cancer Chemother Pharmacol. 1989;24(6):400-401. doi:10.1007/BF00257453</w:t>
      </w:r>
    </w:p>
    <w:p w14:paraId="74F434BF" w14:textId="77777777" w:rsidR="00880A99" w:rsidRPr="00FB5437" w:rsidRDefault="00000000">
      <w:pPr>
        <w:numPr>
          <w:ilvl w:val="0"/>
          <w:numId w:val="2"/>
        </w:numPr>
        <w:rPr>
          <w:lang w:val="tr-TR"/>
        </w:rPr>
      </w:pPr>
      <w:r w:rsidRPr="00FB5437">
        <w:rPr>
          <w:lang w:val="tr-TR"/>
        </w:rPr>
        <w:t>Howell SB, Blair HE, Uren J, Frei E. Hemodialysis and enzymatic cleavage of methotrexate in man. Eur J Cancer. 1978;14(7):787-792. doi:10.1016/0014-2964(78)90010-5</w:t>
      </w:r>
    </w:p>
    <w:p w14:paraId="57987ECB" w14:textId="77777777" w:rsidR="00880A99" w:rsidRPr="00FB5437" w:rsidRDefault="00000000">
      <w:pPr>
        <w:numPr>
          <w:ilvl w:val="0"/>
          <w:numId w:val="2"/>
        </w:numPr>
        <w:rPr>
          <w:lang w:val="tr-TR"/>
        </w:rPr>
      </w:pPr>
      <w:r w:rsidRPr="00FB5437">
        <w:rPr>
          <w:lang w:val="tr-TR"/>
        </w:rPr>
        <w:t>Gupta S, LaCasce A, Leaf RK, Kaunfer S, Leaf DE. Clinical outcomes in patients with high-dose methotrexate toxicity treated with vs. without glucarpidase. Blood. 2023;142(Supplement 1):268. doi:10.1182/blood-2023-189432</w:t>
      </w:r>
    </w:p>
    <w:p w14:paraId="104511E2" w14:textId="77777777" w:rsidR="00880A99" w:rsidRPr="00FB5437" w:rsidRDefault="00000000">
      <w:pPr>
        <w:numPr>
          <w:ilvl w:val="0"/>
          <w:numId w:val="2"/>
        </w:numPr>
        <w:rPr>
          <w:lang w:val="tr-TR"/>
        </w:rPr>
      </w:pPr>
      <w:r w:rsidRPr="00FB5437">
        <w:rPr>
          <w:lang w:val="tr-TR"/>
        </w:rPr>
        <w:t>VORAXAZE (glucarpidase) [package insert]. West Conshohocken, PA: BTG International Inc; 2021.</w:t>
      </w:r>
    </w:p>
    <w:p w14:paraId="44CBC04D" w14:textId="77777777" w:rsidR="00880A99" w:rsidRPr="00FB5437" w:rsidRDefault="00000000">
      <w:pPr>
        <w:numPr>
          <w:ilvl w:val="0"/>
          <w:numId w:val="2"/>
        </w:numPr>
        <w:rPr>
          <w:lang w:val="tr-TR"/>
        </w:rPr>
      </w:pPr>
      <w:r w:rsidRPr="00FB5437">
        <w:rPr>
          <w:lang w:val="tr-TR"/>
        </w:rPr>
        <w:t>Kala J, Nelson R, Drudge C, Zhou A, Ward S, Bourque M. Glucarpidase for treating adults with delayed methotrexate elimination due to impaired renal function: an economic simulation analysis. Clinicoecon Outcomes Res. 2023;15:165-179. doi:10.2147/CEOR.S397154</w:t>
      </w:r>
    </w:p>
    <w:p w14:paraId="579D2276" w14:textId="77777777" w:rsidR="00880A99" w:rsidRPr="00FB5437" w:rsidRDefault="00000000">
      <w:pPr>
        <w:numPr>
          <w:ilvl w:val="0"/>
          <w:numId w:val="2"/>
        </w:numPr>
        <w:rPr>
          <w:lang w:val="tr-TR"/>
        </w:rPr>
      </w:pPr>
      <w:r w:rsidRPr="00FB5437">
        <w:rPr>
          <w:lang w:val="tr-TR"/>
        </w:rPr>
        <w:t>Sakran R, Milo G, Jabareen A, et al. Effective elimination of high-dose methotrexate by repeated hemodiafiltration and high-flux hemodialysis in patients with acute kidney injury. J Oncol Pharm Pract. 2022;28(2):508-515. doi:10.1177/10781552211052564</w:t>
      </w:r>
    </w:p>
    <w:p w14:paraId="423FF690" w14:textId="77777777" w:rsidR="00880A99" w:rsidRPr="00FB5437" w:rsidRDefault="00000000">
      <w:pPr>
        <w:numPr>
          <w:ilvl w:val="0"/>
          <w:numId w:val="2"/>
        </w:numPr>
        <w:rPr>
          <w:lang w:val="tr-TR"/>
        </w:rPr>
      </w:pPr>
      <w:r w:rsidRPr="00FB5437">
        <w:rPr>
          <w:lang w:val="tr-TR"/>
        </w:rPr>
        <w:lastRenderedPageBreak/>
        <w:t>Tome ACN, Santos KF, Lima EQ, Ramalho RJ. High-flux hemodialysis as rescue therapy for high-dose methotrexate toxicity: case series and clinical insights. Front Med. 2025;12:1495705. doi:10.3389/fmed.2025.1495705</w:t>
      </w:r>
    </w:p>
    <w:p w14:paraId="2AE2C928" w14:textId="77777777" w:rsidR="00880A99" w:rsidRPr="00FB5437" w:rsidRDefault="00000000">
      <w:pPr>
        <w:numPr>
          <w:ilvl w:val="0"/>
          <w:numId w:val="2"/>
        </w:numPr>
        <w:rPr>
          <w:lang w:val="tr-TR"/>
        </w:rPr>
      </w:pPr>
      <w:r w:rsidRPr="00FB5437">
        <w:rPr>
          <w:lang w:val="tr-TR"/>
        </w:rPr>
        <w:t>Zhang B, Nie X, Xue H, et al. Analysis of the therapeutic effect of online haemodiafiltration on delayed methotrexate excretion combined with acute kidney injury in children: a real-world study. BMC Pediatr. 2025;25:606. doi:10.1186/s12887-025-05931-y</w:t>
      </w:r>
    </w:p>
    <w:p w14:paraId="594BCB03" w14:textId="77777777" w:rsidR="00880A99" w:rsidRPr="00FB5437" w:rsidRDefault="00000000">
      <w:pPr>
        <w:numPr>
          <w:ilvl w:val="0"/>
          <w:numId w:val="2"/>
        </w:numPr>
        <w:rPr>
          <w:lang w:val="tr-TR"/>
        </w:rPr>
      </w:pPr>
      <w:r w:rsidRPr="00FB5437">
        <w:rPr>
          <w:lang w:val="tr-TR"/>
        </w:rPr>
        <w:t>Rosales A, Madrid A, Muñoz M, Dapena JL, Ariceta G. Charcoal hemoperfusion for methotrexate toxicity: a safe and effective life-rescue alternative when glucarpidase is not available. Front Pediatr. 2021;9:635152. doi:10.3389/fped.2021.635152</w:t>
      </w:r>
    </w:p>
    <w:p w14:paraId="4BB816DE" w14:textId="77777777" w:rsidR="00880A99" w:rsidRPr="00FB5437" w:rsidRDefault="00000000">
      <w:pPr>
        <w:numPr>
          <w:ilvl w:val="0"/>
          <w:numId w:val="2"/>
        </w:numPr>
        <w:rPr>
          <w:lang w:val="tr-TR"/>
        </w:rPr>
      </w:pPr>
      <w:r w:rsidRPr="00FB5437">
        <w:rPr>
          <w:lang w:val="tr-TR"/>
        </w:rPr>
        <w:t>Al Manasour M, Absi A, Alhuraiji A, et al. Consensus on managing delayed methotrexate elimination in high-dose therapy: insights from the Middle East. Front Oncol. 2025;15:1660937. doi:10.3389/fonc.2025.1660937</w:t>
      </w:r>
    </w:p>
    <w:p w14:paraId="70522840" w14:textId="77777777" w:rsidR="00880A99" w:rsidRPr="00FB5437" w:rsidRDefault="00000000">
      <w:pPr>
        <w:numPr>
          <w:ilvl w:val="0"/>
          <w:numId w:val="2"/>
        </w:numPr>
        <w:rPr>
          <w:lang w:val="tr-TR"/>
        </w:rPr>
      </w:pPr>
      <w:r w:rsidRPr="00FB5437">
        <w:rPr>
          <w:lang w:val="tr-TR"/>
        </w:rPr>
        <w:t>Minard-Colin V, Aupérin A, Pillon M, et al. Rituximab for high-risk, mature B-cell non-Hodgkin’s lymphoma in children. N Engl J Med. 2020;382(23):2207-2219. doi:10.1056/NEJMoa1915315</w:t>
      </w:r>
    </w:p>
    <w:p w14:paraId="1ADF04C8" w14:textId="77777777" w:rsidR="00880A99" w:rsidRPr="00FB5437" w:rsidRDefault="00000000">
      <w:pPr>
        <w:numPr>
          <w:ilvl w:val="0"/>
          <w:numId w:val="2"/>
        </w:numPr>
        <w:rPr>
          <w:lang w:val="tr-TR"/>
        </w:rPr>
      </w:pPr>
      <w:r w:rsidRPr="00FB5437">
        <w:rPr>
          <w:lang w:val="tr-TR"/>
        </w:rPr>
        <w:t>Tentoni N, Hwang M, Villanueva G, et al. Early therapeutic drug monitoring of methotrexate and its association with acute kidney injury: a retrospective cohort study. Cancer Med. 2024;13(18):e70176. doi:10.1002/cam4.70176</w:t>
      </w:r>
    </w:p>
    <w:p w14:paraId="78C724ED" w14:textId="77777777" w:rsidR="00880A99" w:rsidRPr="00FB5437" w:rsidRDefault="00000000">
      <w:pPr>
        <w:numPr>
          <w:ilvl w:val="0"/>
          <w:numId w:val="2"/>
        </w:numPr>
        <w:rPr>
          <w:lang w:val="tr-TR"/>
        </w:rPr>
      </w:pPr>
      <w:r w:rsidRPr="00FB5437">
        <w:rPr>
          <w:lang w:val="tr-TR"/>
        </w:rPr>
        <w:t>Vila R, Rubio-San-Simón A, Zubiaur P, et al. Use of glucarpidase (carboxypeptidase-G2) in pediatric cancer patients: 11-year experience of a tertiary center. eJHaem. 2023;4(4):1052-1058. doi:10.1002/jha2.799</w:t>
      </w:r>
    </w:p>
    <w:p w14:paraId="0AE081C0" w14:textId="77777777" w:rsidR="00880A99" w:rsidRPr="00FB5437" w:rsidRDefault="00000000">
      <w:pPr>
        <w:numPr>
          <w:ilvl w:val="0"/>
          <w:numId w:val="2"/>
        </w:numPr>
        <w:rPr>
          <w:lang w:val="tr-TR"/>
        </w:rPr>
      </w:pPr>
      <w:r w:rsidRPr="00FB5437">
        <w:rPr>
          <w:lang w:val="tr-TR"/>
        </w:rPr>
        <w:t>Gros L, Roldán A, Cabero-Martínez A, et al. Incidence and management of patients with methotrexate delayed elimination in the clinical practice: a Delphi study. J Oncol Pharm Pract. 2023;29(4):794-801. doi:10.1177/10781552221079568</w:t>
      </w:r>
    </w:p>
    <w:p w14:paraId="61DE5A92" w14:textId="77777777" w:rsidR="00880A99" w:rsidRPr="00FB5437" w:rsidRDefault="00000000">
      <w:pPr>
        <w:numPr>
          <w:ilvl w:val="0"/>
          <w:numId w:val="2"/>
        </w:numPr>
        <w:rPr>
          <w:lang w:val="tr-TR"/>
        </w:rPr>
      </w:pPr>
      <w:r w:rsidRPr="00FB5437">
        <w:rPr>
          <w:lang w:val="tr-TR"/>
        </w:rPr>
        <w:t>Purzycki T, Knapp M, Patel S. Extracorporeal management of severe methotrexate toxicity and acute kidney injury in the absence of glucarpidase. BMJ Case Rep. 2025;18:e267929. doi:10.1136/bcr-2025-267929</w:t>
      </w:r>
    </w:p>
    <w:p w14:paraId="2A45793E" w14:textId="77777777" w:rsidR="00880A99" w:rsidRPr="00FB5437" w:rsidRDefault="00000000">
      <w:pPr>
        <w:numPr>
          <w:ilvl w:val="0"/>
          <w:numId w:val="2"/>
        </w:numPr>
        <w:rPr>
          <w:lang w:val="tr-TR"/>
        </w:rPr>
      </w:pPr>
      <w:r w:rsidRPr="00FB5437">
        <w:rPr>
          <w:lang w:val="tr-TR"/>
        </w:rPr>
        <w:t>Corbisier T, Von Bueren AO, Breunis WB, Grazioli S. Role of molecular adsorbent recirculating system in methotrexate-induced acute liver failure: a case report and literature review. Front Pediatr. 2024;12:1424919. doi:10.3389/fped.2024.1424919</w:t>
      </w:r>
    </w:p>
    <w:p w14:paraId="46491012" w14:textId="77777777" w:rsidR="00880A99" w:rsidRPr="00FB5437" w:rsidRDefault="00000000">
      <w:pPr>
        <w:numPr>
          <w:ilvl w:val="0"/>
          <w:numId w:val="2"/>
        </w:numPr>
        <w:rPr>
          <w:lang w:val="tr-TR"/>
        </w:rPr>
      </w:pPr>
      <w:r w:rsidRPr="00FB5437">
        <w:rPr>
          <w:lang w:val="tr-TR"/>
        </w:rPr>
        <w:t>Campbell JM, Bateman E, Stephenson MD, Bowen JM, Keefe DM, Peters MD. Methotrexate-induced toxicity pharmacogenetics: an umbrella review of systematic reviews and meta-analyses. Cancer Chemother Pharmacol. 2016;78(1):27-39. doi:10.1007/s00280-016-3043-5</w:t>
      </w:r>
    </w:p>
    <w:p w14:paraId="7BFA667D" w14:textId="77777777" w:rsidR="00880A99" w:rsidRPr="00FB5437" w:rsidRDefault="00000000">
      <w:pPr>
        <w:numPr>
          <w:ilvl w:val="0"/>
          <w:numId w:val="2"/>
        </w:numPr>
        <w:rPr>
          <w:lang w:val="tr-TR"/>
        </w:rPr>
      </w:pPr>
      <w:r w:rsidRPr="00FB5437">
        <w:rPr>
          <w:lang w:val="tr-TR"/>
        </w:rPr>
        <w:t xml:space="preserve">Yang L, Hu X, Xu L. Impact of methylenetetrahydrofolate reductase (MTHFR) polymorphisms on methotrexate-induced toxicities in acute lymphoblastic </w:t>
      </w:r>
      <w:r w:rsidRPr="00FB5437">
        <w:rPr>
          <w:lang w:val="tr-TR"/>
        </w:rPr>
        <w:lastRenderedPageBreak/>
        <w:t>leukemia: a meta-analysis. Tumour Biol. 2012;33(5):1445-1454. doi:10.1007/s13277-012-0395-2</w:t>
      </w:r>
    </w:p>
    <w:p w14:paraId="503AD573" w14:textId="77777777" w:rsidR="00880A99" w:rsidRPr="00FB5437" w:rsidRDefault="00000000">
      <w:pPr>
        <w:numPr>
          <w:ilvl w:val="0"/>
          <w:numId w:val="2"/>
        </w:numPr>
        <w:rPr>
          <w:lang w:val="tr-TR"/>
        </w:rPr>
      </w:pPr>
      <w:r w:rsidRPr="00FB5437">
        <w:rPr>
          <w:lang w:val="tr-TR"/>
        </w:rPr>
        <w:t>Lopez-Lopez E, Martin-Guerrero I, Ballesteros J, Garcia-Orad A. A systematic review and meta-analysis of MTHFR polymorphisms in methotrexate toxicity prediction in pediatric acute lymphoblastic leukemia. Pharmacogenomics J. 2013;13(6):498-506. doi:10.1038/tpj.2012.44</w:t>
      </w:r>
    </w:p>
    <w:p w14:paraId="7C1B8958" w14:textId="77777777" w:rsidR="00880A99" w:rsidRPr="00FB5437" w:rsidRDefault="00000000">
      <w:pPr>
        <w:numPr>
          <w:ilvl w:val="0"/>
          <w:numId w:val="2"/>
        </w:numPr>
        <w:rPr>
          <w:lang w:val="tr-TR"/>
        </w:rPr>
      </w:pPr>
      <w:r w:rsidRPr="00FB5437">
        <w:rPr>
          <w:lang w:val="tr-TR"/>
        </w:rPr>
        <w:t>Widemann BC, Balis FM, Kempf-Bielack B, et al. High-dose methotrexate-induced nephrotoxicity in patients with osteosarcoma. Cancer. 2004;100(10):2222-2232. doi:10.1002/cncr.20255</w:t>
      </w:r>
    </w:p>
    <w:p w14:paraId="4770FCBD" w14:textId="77777777" w:rsidR="00880A99" w:rsidRPr="00FB5437" w:rsidRDefault="00000000">
      <w:pPr>
        <w:numPr>
          <w:ilvl w:val="0"/>
          <w:numId w:val="2"/>
        </w:numPr>
        <w:rPr>
          <w:lang w:val="tr-TR"/>
        </w:rPr>
      </w:pPr>
      <w:r w:rsidRPr="00FB5437">
        <w:rPr>
          <w:lang w:val="tr-TR"/>
        </w:rPr>
        <w:t>Buchen S, Ngampolo D, Melton RG, et al. Carboxypeptidase G2 rescue in patients with methotrexate intoxication and renal failure. Br J Cancer. 2005;92(3):480-487. doi:10.1038/sj.bjc.6602337</w:t>
      </w:r>
    </w:p>
    <w:p w14:paraId="549CBD98" w14:textId="77777777" w:rsidR="00880A99" w:rsidRPr="00FB5437" w:rsidRDefault="00000000">
      <w:pPr>
        <w:numPr>
          <w:ilvl w:val="0"/>
          <w:numId w:val="2"/>
        </w:numPr>
        <w:rPr>
          <w:lang w:val="tr-TR"/>
        </w:rPr>
      </w:pPr>
      <w:r w:rsidRPr="00FB5437">
        <w:rPr>
          <w:lang w:val="tr-TR"/>
        </w:rPr>
        <w:t>Skärby T, Jönsson P, Hjorth L, et al. High-dose methotrexate: on the relationship of methotrexate elimination time vs renal function and serum methotrexate levels in 1164 courses in 264 Swedish children with ALL. Cancer Chemother Pharmacol. 2003;51(4):311-320. doi:10.1007/s00280-002-0552-1</w:t>
      </w:r>
    </w:p>
    <w:p w14:paraId="1C224F61" w14:textId="77777777" w:rsidR="00880A99" w:rsidRPr="00FB5437" w:rsidRDefault="00000000">
      <w:pPr>
        <w:numPr>
          <w:ilvl w:val="0"/>
          <w:numId w:val="2"/>
        </w:numPr>
        <w:rPr>
          <w:lang w:val="tr-TR"/>
        </w:rPr>
      </w:pPr>
      <w:r w:rsidRPr="00FB5437">
        <w:rPr>
          <w:lang w:val="tr-TR"/>
        </w:rPr>
        <w:t>Sasamura H, Anazawa U, Kumagai H, et al. Effects of hemoperfusion plus high-flux hemodialysis in a patient with methotrexate toxicity. Clin Exp Nephrol. 1998;2(1):75-79. doi:10.1007/BF02480628</w:t>
      </w:r>
    </w:p>
    <w:p w14:paraId="6B4C09F0" w14:textId="77777777" w:rsidR="00880A99" w:rsidRPr="00FB5437" w:rsidRDefault="00000000">
      <w:pPr>
        <w:numPr>
          <w:ilvl w:val="0"/>
          <w:numId w:val="2"/>
        </w:numPr>
        <w:rPr>
          <w:lang w:val="tr-TR"/>
        </w:rPr>
      </w:pPr>
      <w:r w:rsidRPr="00FB5437">
        <w:rPr>
          <w:lang w:val="tr-TR"/>
        </w:rPr>
        <w:t>Bouffet E, Frappaz D, Laville M, et al. Charcoal haemoperfusion and methotrexate toxicity. Lancet. 1986;1(8496):1497. doi:10.1016/S0140-6736(86)91528-X</w:t>
      </w:r>
    </w:p>
    <w:p w14:paraId="5F2623E3" w14:textId="77777777" w:rsidR="00880A99" w:rsidRPr="00FB5437" w:rsidRDefault="00000000">
      <w:pPr>
        <w:numPr>
          <w:ilvl w:val="0"/>
          <w:numId w:val="2"/>
        </w:numPr>
        <w:rPr>
          <w:lang w:val="tr-TR"/>
        </w:rPr>
      </w:pPr>
      <w:r w:rsidRPr="00FB5437">
        <w:rPr>
          <w:lang w:val="tr-TR"/>
        </w:rPr>
        <w:t>Yamagami Y, Kawami M, Ojima T, et al. Role of plasminogen activator inhibitor-1 in methotrexate-induced epithelial-mesenchymal transition in alveolar epithelial A549 cells. Biochem Biophys Res Commun. 2020;525(3):543-548. doi:10.1016/j.bbrc.2020.02.131</w:t>
      </w:r>
    </w:p>
    <w:p w14:paraId="553BA44A" w14:textId="77777777" w:rsidR="00880A99" w:rsidRPr="00FB5437" w:rsidRDefault="00000000">
      <w:pPr>
        <w:numPr>
          <w:ilvl w:val="0"/>
          <w:numId w:val="2"/>
        </w:numPr>
        <w:rPr>
          <w:lang w:val="tr-TR"/>
        </w:rPr>
      </w:pPr>
      <w:r w:rsidRPr="00FB5437">
        <w:rPr>
          <w:lang w:val="tr-TR"/>
        </w:rPr>
        <w:t>Bénézet S, Chatelut E, Bagheri H, et al. Inefficacy of exchange-transfusion in case of a methotrexate poisoning. Bull Cancer. 1997;84(8):788-790.</w:t>
      </w:r>
      <w:bookmarkEnd w:id="0"/>
      <w:bookmarkEnd w:id="26"/>
    </w:p>
    <w:sectPr w:rsidR="00880A99" w:rsidRPr="00FB5437">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Office" w:date="2026-03-12T01:53:00Z" w:initials="O">
    <w:p w14:paraId="71BDEB67" w14:textId="77777777" w:rsidR="00135EEB" w:rsidRDefault="00135EEB" w:rsidP="00135EEB">
      <w:r>
        <w:rPr>
          <w:rStyle w:val="CommentReference"/>
        </w:rPr>
        <w:annotationRef/>
      </w:r>
      <w:r>
        <w:rPr>
          <w:sz w:val="20"/>
          <w:szCs w:val="20"/>
        </w:rPr>
        <w:t>İstersen çıkarabilirim abi</w:t>
      </w:r>
    </w:p>
  </w:comment>
  <w:comment w:id="5" w:author="Office" w:date="2026-03-12T01:55:00Z" w:initials="O">
    <w:p w14:paraId="730A2019" w14:textId="77777777" w:rsidR="0081702B" w:rsidRDefault="0081702B" w:rsidP="0081702B">
      <w:r>
        <w:rPr>
          <w:rStyle w:val="CommentReference"/>
        </w:rPr>
        <w:annotationRef/>
      </w:r>
      <w:r>
        <w:rPr>
          <w:sz w:val="20"/>
          <w:szCs w:val="20"/>
        </w:rPr>
        <w:t>kdigodan</w:t>
      </w:r>
    </w:p>
  </w:comment>
  <w:comment w:id="11" w:author="Office" w:date="2026-03-12T01:56:00Z" w:initials="O">
    <w:p w14:paraId="4618E845" w14:textId="77777777" w:rsidR="002865EF" w:rsidRDefault="002865EF" w:rsidP="002865EF">
      <w:r>
        <w:rPr>
          <w:rStyle w:val="CommentReference"/>
        </w:rPr>
        <w:annotationRef/>
      </w:r>
      <w:r>
        <w:rPr>
          <w:sz w:val="20"/>
          <w:szCs w:val="20"/>
        </w:rPr>
        <w:t>kaldırabilirim abi</w:t>
      </w:r>
    </w:p>
  </w:comment>
  <w:comment w:id="18" w:author="Office" w:date="2026-03-12T01:58:00Z" w:initials="O">
    <w:p w14:paraId="267EB1AF" w14:textId="77777777" w:rsidR="0051484E" w:rsidRDefault="0051484E" w:rsidP="0051484E">
      <w:r>
        <w:rPr>
          <w:rStyle w:val="CommentReference"/>
        </w:rPr>
        <w:annotationRef/>
      </w:r>
      <w:r>
        <w:rPr>
          <w:sz w:val="20"/>
          <w:szCs w:val="20"/>
        </w:rPr>
        <w:t>kaldırabilirim</w:t>
      </w:r>
    </w:p>
  </w:comment>
  <w:comment w:id="21" w:author="Office" w:date="2026-03-12T10:46:00Z" w:initials="O">
    <w:p w14:paraId="66555FF4" w14:textId="77777777" w:rsidR="008E686D" w:rsidRDefault="008E686D" w:rsidP="008E686D">
      <w:r>
        <w:rPr>
          <w:rStyle w:val="CommentReference"/>
        </w:rPr>
        <w:annotationRef/>
      </w:r>
      <w:r>
        <w:rPr>
          <w:sz w:val="20"/>
          <w:szCs w:val="20"/>
        </w:rPr>
        <w:t>Need reference</w:t>
      </w:r>
    </w:p>
  </w:comment>
  <w:comment w:id="22" w:author="Office" w:date="2026-03-12T10:49:00Z" w:initials="O">
    <w:p w14:paraId="65DE8725" w14:textId="77777777" w:rsidR="00D343F2" w:rsidRDefault="00D343F2" w:rsidP="00D343F2">
      <w:r>
        <w:rPr>
          <w:rStyle w:val="CommentReference"/>
        </w:rPr>
        <w:annotationRef/>
      </w:r>
      <w:r>
        <w:rPr>
          <w:sz w:val="20"/>
          <w:szCs w:val="20"/>
        </w:rPr>
        <w:t>bu br limitasyon kaldırabiliriz anlamı bozuyorsa ama bence güüzel bir bakış açısı</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BDEB67" w15:done="0"/>
  <w15:commentEx w15:paraId="730A2019" w15:done="0"/>
  <w15:commentEx w15:paraId="4618E845" w15:done="0"/>
  <w15:commentEx w15:paraId="267EB1AF" w15:done="0"/>
  <w15:commentEx w15:paraId="66555FF4" w15:done="0"/>
  <w15:commentEx w15:paraId="65DE87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E53002" w16cex:dateUtc="2026-03-11T22:53:00Z"/>
  <w16cex:commentExtensible w16cex:durableId="594B6B43" w16cex:dateUtc="2026-03-11T22:55:00Z"/>
  <w16cex:commentExtensible w16cex:durableId="0470FDCB" w16cex:dateUtc="2026-03-11T22:56:00Z"/>
  <w16cex:commentExtensible w16cex:durableId="265DAF8E" w16cex:dateUtc="2026-03-11T22:58:00Z"/>
  <w16cex:commentExtensible w16cex:durableId="6D93B967" w16cex:dateUtc="2026-03-12T07:46:00Z"/>
  <w16cex:commentExtensible w16cex:durableId="07EF72C3" w16cex:dateUtc="2026-03-12T07: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BDEB67" w16cid:durableId="46E53002"/>
  <w16cid:commentId w16cid:paraId="730A2019" w16cid:durableId="594B6B43"/>
  <w16cid:commentId w16cid:paraId="4618E845" w16cid:durableId="0470FDCB"/>
  <w16cid:commentId w16cid:paraId="267EB1AF" w16cid:durableId="265DAF8E"/>
  <w16cid:commentId w16cid:paraId="66555FF4" w16cid:durableId="6D93B967"/>
  <w16cid:commentId w16cid:paraId="65DE8725" w16cid:durableId="07EF72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6AF64" w14:textId="77777777" w:rsidR="00822623" w:rsidRDefault="00822623">
      <w:pPr>
        <w:spacing w:after="0"/>
      </w:pPr>
      <w:r>
        <w:separator/>
      </w:r>
    </w:p>
  </w:endnote>
  <w:endnote w:type="continuationSeparator" w:id="0">
    <w:p w14:paraId="334BDB6B" w14:textId="77777777" w:rsidR="00822623" w:rsidRDefault="00822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CF53E" w14:textId="77777777" w:rsidR="00822623" w:rsidRDefault="00822623">
      <w:r>
        <w:separator/>
      </w:r>
    </w:p>
  </w:footnote>
  <w:footnote w:type="continuationSeparator" w:id="0">
    <w:p w14:paraId="6E23663E" w14:textId="77777777" w:rsidR="00822623" w:rsidRDefault="008226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42C14E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E556AA7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7489587">
    <w:abstractNumId w:val="0"/>
  </w:num>
  <w:num w:numId="2" w16cid:durableId="5168931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ffice">
    <w15:presenceInfo w15:providerId="AD" w15:userId="S::163394@office365proplus.co::d162a9c3-731a-45c7-9986-b7e61553bd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0A99"/>
    <w:rsid w:val="00135EEB"/>
    <w:rsid w:val="002865EF"/>
    <w:rsid w:val="00390241"/>
    <w:rsid w:val="0051484E"/>
    <w:rsid w:val="006431C8"/>
    <w:rsid w:val="0081702B"/>
    <w:rsid w:val="00821E09"/>
    <w:rsid w:val="00822623"/>
    <w:rsid w:val="00880A99"/>
    <w:rsid w:val="008C3EC9"/>
    <w:rsid w:val="008E686D"/>
    <w:rsid w:val="00D343F2"/>
    <w:rsid w:val="00DE335B"/>
    <w:rsid w:val="00F053BA"/>
    <w:rsid w:val="00FB3548"/>
    <w:rsid w:val="00FB543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A55B4"/>
  <w15:docId w15:val="{05E736EA-7438-8A4C-8198-B4D372208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135EEB"/>
    <w:rPr>
      <w:sz w:val="16"/>
      <w:szCs w:val="16"/>
    </w:rPr>
  </w:style>
  <w:style w:type="paragraph" w:styleId="CommentText">
    <w:name w:val="annotation text"/>
    <w:basedOn w:val="Normal"/>
    <w:link w:val="CommentTextChar"/>
    <w:rsid w:val="00135EEB"/>
    <w:rPr>
      <w:sz w:val="20"/>
      <w:szCs w:val="20"/>
    </w:rPr>
  </w:style>
  <w:style w:type="character" w:customStyle="1" w:styleId="CommentTextChar">
    <w:name w:val="Comment Text Char"/>
    <w:basedOn w:val="DefaultParagraphFont"/>
    <w:link w:val="CommentText"/>
    <w:rsid w:val="00135EEB"/>
    <w:rPr>
      <w:sz w:val="20"/>
      <w:szCs w:val="20"/>
    </w:rPr>
  </w:style>
  <w:style w:type="paragraph" w:styleId="CommentSubject">
    <w:name w:val="annotation subject"/>
    <w:basedOn w:val="CommentText"/>
    <w:next w:val="CommentText"/>
    <w:link w:val="CommentSubjectChar"/>
    <w:rsid w:val="00135EEB"/>
    <w:rPr>
      <w:b/>
      <w:bCs/>
    </w:rPr>
  </w:style>
  <w:style w:type="character" w:customStyle="1" w:styleId="CommentSubjectChar">
    <w:name w:val="Comment Subject Char"/>
    <w:basedOn w:val="CommentTextChar"/>
    <w:link w:val="CommentSubject"/>
    <w:rsid w:val="00135EE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19</Pages>
  <Words>6580</Words>
  <Characters>37507</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Office</cp:lastModifiedBy>
  <cp:revision>2</cp:revision>
  <dcterms:created xsi:type="dcterms:W3CDTF">2026-03-11T22:45:00Z</dcterms:created>
  <dcterms:modified xsi:type="dcterms:W3CDTF">2026-03-12T08:03:00Z</dcterms:modified>
</cp:coreProperties>
</file>