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Professor Sarkar, PhD, MLIS, FACMI</w:t>
      </w:r>
    </w:p>
    <w:p w:rsidR="00000000" w:rsidDel="00000000" w:rsidP="00000000" w:rsidRDefault="00000000" w:rsidRPr="00000000" w14:paraId="00000002">
      <w:pPr>
        <w:rPr/>
      </w:pPr>
      <w:r w:rsidDel="00000000" w:rsidR="00000000" w:rsidRPr="00000000">
        <w:rPr>
          <w:rtl w:val="0"/>
        </w:rPr>
        <w:t xml:space="preserve">Brown Center for Biomedical Informatics, Brown University</w:t>
      </w:r>
    </w:p>
    <w:p w:rsidR="00000000" w:rsidDel="00000000" w:rsidP="00000000" w:rsidRDefault="00000000" w:rsidRPr="00000000" w14:paraId="00000003">
      <w:pPr>
        <w:rPr/>
      </w:pPr>
      <w:r w:rsidDel="00000000" w:rsidR="00000000" w:rsidRPr="00000000">
        <w:rPr>
          <w:rtl w:val="0"/>
        </w:rPr>
        <w:t xml:space="preserve">Providence, Rhode Island, USA,</w:t>
      </w:r>
    </w:p>
    <w:p w:rsidR="00000000" w:rsidDel="00000000" w:rsidP="00000000" w:rsidRDefault="00000000" w:rsidRPr="00000000" w14:paraId="00000004">
      <w:pPr>
        <w:spacing w:after="240" w:before="240" w:lineRule="auto"/>
        <w:rPr/>
      </w:pPr>
      <w:r w:rsidDel="00000000" w:rsidR="00000000" w:rsidRPr="00000000">
        <w:rPr>
          <w:rtl w:val="0"/>
        </w:rPr>
        <w:t xml:space="preserve">We submit "OCR-Mediated Modality Dominance in Vision-Language Models: Implications for Radiology AI Trustworthiness" for consideration as an Original Research article in JAMIA Open.</w:t>
      </w:r>
    </w:p>
    <w:p w:rsidR="00000000" w:rsidDel="00000000" w:rsidP="00000000" w:rsidRDefault="00000000" w:rsidRPr="00000000" w14:paraId="00000005">
      <w:pPr>
        <w:spacing w:after="240" w:before="240" w:lineRule="auto"/>
        <w:rPr/>
      </w:pPr>
      <w:r w:rsidDel="00000000" w:rsidR="00000000" w:rsidRPr="00000000">
        <w:rPr>
          <w:rtl w:val="0"/>
        </w:rPr>
        <w:t xml:space="preserve">Vision-language models are increasingly proposed for radiology decision support, yet their vulnerability to OCR-mediated manipulation remains underexplored. We tested nine commercial VLMs across over 27,000 inference calls on 600 brain MRI studies and found that every model could be manipulated by embedding clinically formatted text into images. Visible injection succeeded in 97% of cases, while stealth injection, imperceptible to human reviewers, still succeeded in over half. Prompt-level defenses offered only partial recovery, and we observed that models most obedient to instructions were often the most easily deceived, suggesting that faithful instruction-following can become a liability under adversarial conditions.</w:t>
      </w:r>
    </w:p>
    <w:p w:rsidR="00000000" w:rsidDel="00000000" w:rsidP="00000000" w:rsidRDefault="00000000" w:rsidRPr="00000000" w14:paraId="00000006">
      <w:pPr>
        <w:spacing w:after="240" w:before="240" w:lineRule="auto"/>
        <w:rPr/>
      </w:pPr>
      <w:r w:rsidDel="00000000" w:rsidR="00000000" w:rsidRPr="00000000">
        <w:rPr>
          <w:rtl w:val="0"/>
        </w:rPr>
        <w:t xml:space="preserve">The manuscript contributes deployment-oriented principles directly actionable for informatics teams designing clinical AI pipelines, aligning with JAMIA Open's focus on safe and trustworthy AI implementation in healthcare.</w:t>
      </w:r>
    </w:p>
    <w:p w:rsidR="00000000" w:rsidDel="00000000" w:rsidP="00000000" w:rsidRDefault="00000000" w:rsidRPr="00000000" w14:paraId="00000007">
      <w:pPr>
        <w:spacing w:after="240" w:before="240" w:lineRule="auto"/>
        <w:rPr/>
      </w:pPr>
      <w:r w:rsidDel="00000000" w:rsidR="00000000" w:rsidRPr="00000000">
        <w:rPr>
          <w:rtl w:val="0"/>
        </w:rPr>
        <w:t xml:space="preserve">This work has not been published or submitted elsewhere. All authors approved the submission. No competing interests exist. All code is publicly available at turkalpmd/vLMRadioInject.</w:t>
      </w:r>
    </w:p>
    <w:p w:rsidR="00000000" w:rsidDel="00000000" w:rsidP="00000000" w:rsidRDefault="00000000" w:rsidRPr="00000000" w14:paraId="00000008">
      <w:pPr>
        <w:spacing w:after="240" w:before="240" w:lineRule="auto"/>
        <w:rPr/>
      </w:pPr>
      <w:r w:rsidDel="00000000" w:rsidR="00000000" w:rsidRPr="00000000">
        <w:rPr>
          <w:rtl w:val="0"/>
        </w:rPr>
        <w:t xml:space="preserve">Respectfully,</w:t>
      </w:r>
    </w:p>
    <w:p w:rsidR="00000000" w:rsidDel="00000000" w:rsidP="00000000" w:rsidRDefault="00000000" w:rsidRPr="00000000" w14:paraId="00000009">
      <w:pPr>
        <w:spacing w:after="0" w:before="0" w:lineRule="auto"/>
        <w:rPr/>
      </w:pPr>
      <w:r w:rsidDel="00000000" w:rsidR="00000000" w:rsidRPr="00000000">
        <w:rPr>
          <w:rtl w:val="0"/>
        </w:rPr>
        <w:t xml:space="preserve">Corresponding Author:</w:t>
      </w:r>
    </w:p>
    <w:p w:rsidR="00000000" w:rsidDel="00000000" w:rsidP="00000000" w:rsidRDefault="00000000" w:rsidRPr="00000000" w14:paraId="0000000A">
      <w:pPr>
        <w:spacing w:after="0" w:before="0" w:lineRule="auto"/>
        <w:rPr/>
      </w:pPr>
      <w:r w:rsidDel="00000000" w:rsidR="00000000" w:rsidRPr="00000000">
        <w:rPr>
          <w:rtl w:val="0"/>
        </w:rPr>
        <w:t xml:space="preserve">Izzet Turkalp Akbasli, MD </w:t>
      </w:r>
    </w:p>
    <w:p w:rsidR="00000000" w:rsidDel="00000000" w:rsidP="00000000" w:rsidRDefault="00000000" w:rsidRPr="00000000" w14:paraId="0000000B">
      <w:pPr>
        <w:spacing w:after="0" w:before="0" w:lineRule="auto"/>
        <w:rPr/>
      </w:pPr>
      <w:r w:rsidDel="00000000" w:rsidR="00000000" w:rsidRPr="00000000">
        <w:rPr>
          <w:rtl w:val="0"/>
        </w:rPr>
        <w:t xml:space="preserve">Department of Pediatric Emergency Medicine, </w:t>
      </w:r>
    </w:p>
    <w:p w:rsidR="00000000" w:rsidDel="00000000" w:rsidP="00000000" w:rsidRDefault="00000000" w:rsidRPr="00000000" w14:paraId="0000000C">
      <w:pPr>
        <w:spacing w:after="0" w:before="0" w:lineRule="auto"/>
        <w:rPr/>
      </w:pPr>
      <w:r w:rsidDel="00000000" w:rsidR="00000000" w:rsidRPr="00000000">
        <w:rPr>
          <w:rtl w:val="0"/>
        </w:rPr>
        <w:t xml:space="preserve">Hacettepe University Faculty of Medicine, Ankara, Turkey </w:t>
      </w:r>
    </w:p>
    <w:p w:rsidR="00000000" w:rsidDel="00000000" w:rsidP="00000000" w:rsidRDefault="00000000" w:rsidRPr="00000000" w14:paraId="0000000D">
      <w:pPr>
        <w:spacing w:after="0" w:before="0" w:lineRule="auto"/>
        <w:rPr/>
      </w:pPr>
      <w:r w:rsidDel="00000000" w:rsidR="00000000" w:rsidRPr="00000000">
        <w:rPr>
          <w:rtl w:val="0"/>
        </w:rPr>
        <w:t xml:space="preserve">iakbasli@hacettepe.edu.tr</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EB Garamond" w:cs="EB Garamond" w:eastAsia="EB Garamond" w:hAnsi="EB Garamond"/>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ind w:hanging="360"/>
      <w:jc w:val="center"/>
    </w:pPr>
    <w:rPr>
      <w:b w:val="1"/>
      <w:bCs w:val="1"/>
      <w:color w:val="980000"/>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