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6"/>
        </w:rPr>
        <w:t>THAMAN — Defense Q&amp;A Preparation</w:t>
      </w:r>
    </w:p>
    <w:p>
      <w:pPr>
        <w:jc w:val="center"/>
      </w:pPr>
      <w:r>
        <w:rPr>
          <w:i/>
          <w:sz w:val="26"/>
        </w:rPr>
        <w:t>BSc Graduation Project · Umm Al-Qura University</w:t>
      </w:r>
    </w:p>
    <w:p/>
    <w:p>
      <w:pPr>
        <w:jc w:val="center"/>
      </w:pPr>
      <w:r>
        <w:rPr>
          <w:sz w:val="22"/>
        </w:rPr>
        <w:t>Turki Almurahhem</w:t>
      </w:r>
    </w:p>
    <w:p>
      <w:pPr>
        <w:jc w:val="center"/>
      </w:pPr>
      <w:r>
        <w:rPr>
          <w:sz w:val="22"/>
        </w:rPr>
        <w:t>Umm Al-Qura University</w:t>
      </w:r>
    </w:p>
    <w:p>
      <w:pPr>
        <w:jc w:val="center"/>
      </w:pPr>
      <w:r>
        <w:rPr>
          <w:sz w:val="22"/>
        </w:rPr>
        <w:t>Prepared: 2026-05-20</w:t>
      </w:r>
    </w:p>
    <w:p>
      <w:r>
        <w:br w:type="page"/>
      </w:r>
    </w:p>
    <w:p>
      <w:r>
        <w:rPr>
          <w:b/>
        </w:rPr>
        <w:t xml:space="preserve">Note: </w:t>
      </w:r>
      <w:r>
        <w:t>Memorise the SHORT ANSWER. Expand with DETAIL if pressed by the committee.</w:t>
      </w:r>
    </w:p>
    <w:p>
      <w:pPr>
        <w:pStyle w:val="Heading1"/>
      </w:pPr>
      <w:r>
        <w:t>1. Model Performance</w:t>
      </w:r>
    </w:p>
    <w:p>
      <w:r>
        <w:rPr>
          <w:b/>
        </w:rPr>
        <w:t>Q: Why is Riyadh holdout R²=0.79 lower than OOF R²=0.93?</w:t>
      </w:r>
    </w:p>
    <w:p>
      <w:r>
        <w:rPr>
          <w:b/>
        </w:rPr>
        <w:t xml:space="preserve">SHORT: </w:t>
      </w:r>
      <w:r>
        <w:t>OOF uses district-level training data; holdout is 2025 which is new macro conditions the model hasn't seen.</w:t>
      </w:r>
    </w:p>
    <w:p>
      <w:r>
        <w:rPr>
          <w:b/>
        </w:rPr>
        <w:t>DETAIL:</w:t>
      </w:r>
    </w:p>
    <w:p>
      <w:pPr>
        <w:pStyle w:val="ListBullet"/>
      </w:pPr>
      <w:r>
        <w:t>OOF cross-validation splits BY DISTRICT (GroupKFold). Each fold holds out entire districts, avoiding spatial autocorrelation leakage.</w:t>
      </w:r>
    </w:p>
    <w:p>
      <w:pPr>
        <w:pStyle w:val="ListBullet"/>
      </w:pPr>
      <w:r>
        <w:t>The training data is district-quarter aggregates — every row already encodes the district's median price. This inflates OOF metrics compared to a truly unseen market.</w:t>
      </w:r>
    </w:p>
    <w:p>
      <w:pPr>
        <w:pStyle w:val="ListBullet"/>
      </w:pPr>
      <w:r>
        <w:t>The holdout period is 2025 Q1–Q3 — entirely new market conditions including post-2024 macro shifts (REI index, salary data).</w:t>
      </w:r>
    </w:p>
    <w:p>
      <w:pPr>
        <w:pStyle w:val="ListBullet"/>
      </w:pPr>
      <w:r>
        <w:t>A gap of ~14 R² points (0.93 → 0.79) is expected and honest. The holdout metric is the number to cite: R²=0.79, MedAPE=15.59%.</w:t>
      </w:r>
    </w:p>
    <w:p/>
    <w:p>
      <w:r>
        <w:rPr>
          <w:b/>
        </w:rPr>
        <w:t>Q: Your NYC model has R²=0.65 but Riyadh has R²=0.79. Doesn't that make NYC worse?</w:t>
      </w:r>
    </w:p>
    <w:p>
      <w:r>
        <w:rPr>
          <w:b/>
        </w:rPr>
        <w:t xml:space="preserve">SHORT: </w:t>
      </w:r>
      <w:r>
        <w:t>Different targets. NYC predicts individual transaction price; Riyadh predicts district-quarter aggregates. Aggregates are smoother → higher R².</w:t>
      </w:r>
    </w:p>
    <w:p>
      <w:r>
        <w:rPr>
          <w:b/>
        </w:rPr>
        <w:t>DETAIL:</w:t>
      </w:r>
    </w:p>
    <w:p>
      <w:pPr>
        <w:pStyle w:val="ListBullet"/>
      </w:pPr>
      <w:r>
        <w:t>NYC: 185K individual transactions. High variance in sale price at parcel level. R²=0.65 is strong — state-of-art NYC AVM models report 0.60–0.70.</w:t>
      </w:r>
    </w:p>
    <w:p>
      <w:pPr>
        <w:pStyle w:val="ListBullet"/>
      </w:pPr>
      <w:r>
        <w:t>Riyadh: 6,910 district-quarter aggregate rows. Averaging transactions removes micro-level noise.</w:t>
      </w:r>
    </w:p>
    <w:p>
      <w:pPr>
        <w:pStyle w:val="ListBullet"/>
      </w:pPr>
      <w:r>
        <w:t>Comparing the two R² directly is misleading — apples and oranges.</w:t>
      </w:r>
    </w:p>
    <w:p/>
    <w:p>
      <w:r>
        <w:rPr>
          <w:b/>
        </w:rPr>
        <w:t>Q: MedAPE of 15.59% seems high. Is that good enough?</w:t>
      </w:r>
    </w:p>
    <w:p>
      <w:r>
        <w:rPr>
          <w:b/>
        </w:rPr>
        <w:t xml:space="preserve">SHORT: </w:t>
      </w:r>
      <w:r>
        <w:t>Industry benchmark for AVM in emerging markets is 15–25%. 15.59% is within standard range for district aggregates without parcel-level data.</w:t>
      </w:r>
    </w:p>
    <w:p>
      <w:r>
        <w:rPr>
          <w:b/>
        </w:rPr>
        <w:t>DETAIL:</w:t>
      </w:r>
    </w:p>
    <w:p>
      <w:pPr>
        <w:pStyle w:val="ListBullet"/>
      </w:pPr>
      <w:r>
        <w:t>Zillow Zestimate (US, individual parcels, 30+ years of data): ~7% MedAPE.</w:t>
      </w:r>
    </w:p>
    <w:p>
      <w:pPr>
        <w:pStyle w:val="ListBullet"/>
      </w:pPr>
      <w:r>
        <w:t>Saudi Arabia has no open parcel-level register. We use MoJ quarterly summaries.</w:t>
      </w:r>
    </w:p>
    <w:p>
      <w:pPr>
        <w:pStyle w:val="ListBullet"/>
      </w:pPr>
      <w:r>
        <w:t>By property type: apartment MedAPE=12.83%, villa=12.39%, plot=20.82%.</w:t>
      </w:r>
    </w:p>
    <w:p/>
    <w:p>
      <w:pPr>
        <w:pStyle w:val="Heading1"/>
      </w:pPr>
      <w:r>
        <w:t>2. Data</w:t>
      </w:r>
    </w:p>
    <w:p>
      <w:r>
        <w:rPr>
          <w:b/>
        </w:rPr>
        <w:t>Q: Why didn't you use individual transaction data for Riyadh?</w:t>
      </w:r>
    </w:p>
    <w:p>
      <w:r>
        <w:rPr>
          <w:b/>
        </w:rPr>
        <w:t xml:space="preserve">SHORT: </w:t>
      </w:r>
      <w:r>
        <w:t>The Ministry of Justice real estate register (Aqarat) is not publicly accessible. Only quarterly district summaries are released on Saudi Open Data.</w:t>
      </w:r>
    </w:p>
    <w:p>
      <w:r>
        <w:rPr>
          <w:b/>
        </w:rPr>
        <w:t>DETAIL:</w:t>
      </w:r>
    </w:p>
    <w:p>
      <w:pPr>
        <w:pStyle w:val="ListBullet"/>
      </w:pPr>
      <w:r>
        <w:t>Saudi MoJ Aqarat database is restricted to licensed valuers and financial institutions.</w:t>
      </w:r>
    </w:p>
    <w:p>
      <w:pPr>
        <w:pStyle w:val="ListBullet"/>
      </w:pPr>
      <w:r>
        <w:t>Saudi Open Data Platform (data.gov.sa) publishes aggregated quarterly reports at district level.</w:t>
      </w:r>
    </w:p>
    <w:p>
      <w:pPr>
        <w:pStyle w:val="ListBullet"/>
      </w:pPr>
      <w:r>
        <w:t>This is not a design choice — it is the data availability constraint.</w:t>
      </w:r>
    </w:p>
    <w:p/>
    <w:p>
      <w:r>
        <w:rPr>
          <w:b/>
        </w:rPr>
        <w:t>Q: How do you validate your Riyadh predictions against real prices?</w:t>
      </w:r>
    </w:p>
    <w:p>
      <w:r>
        <w:rPr>
          <w:b/>
        </w:rPr>
        <w:t xml:space="preserve">SHORT: </w:t>
      </w:r>
      <w:r>
        <w:t>Compared model output to 1,615 active Haraj listings. Model median was 54% below asking price — consistent with asking vs. transacted price gap in Saudi market.</w:t>
      </w:r>
    </w:p>
    <w:p>
      <w:r>
        <w:rPr>
          <w:b/>
        </w:rPr>
        <w:t>DETAIL:</w:t>
      </w:r>
    </w:p>
    <w:p>
      <w:pPr>
        <w:pStyle w:val="ListBullet"/>
      </w:pPr>
      <w:r>
        <w:t>Scraped 1,615 Haraj.com listings (444 apartments, 630 villas, 526 residential plots, 15 buildings).</w:t>
      </w:r>
    </w:p>
    <w:p>
      <w:pPr>
        <w:pStyle w:val="ListBullet"/>
      </w:pPr>
      <w:r>
        <w:t>THAMAN predicts TRANSACTED price (MoJ quarterly data). Haraj shows ASKING price.</w:t>
      </w:r>
    </w:p>
    <w:p>
      <w:pPr>
        <w:pStyle w:val="ListBullet"/>
      </w:pPr>
      <w:r>
        <w:t>MedAPE of 54% between THAMAN and Haraj asking price is expected — NOT a model error.</w:t>
      </w:r>
    </w:p>
    <w:p/>
    <w:p>
      <w:pPr>
        <w:pStyle w:val="Heading1"/>
      </w:pPr>
      <w:r>
        <w:t>3. Algorithms &amp; Methodology</w:t>
      </w:r>
    </w:p>
    <w:p>
      <w:r>
        <w:rPr>
          <w:b/>
        </w:rPr>
        <w:t>Q: Why use a stacking ensemble instead of a single model?</w:t>
      </w:r>
    </w:p>
    <w:p>
      <w:r>
        <w:rPr>
          <w:b/>
        </w:rPr>
        <w:t xml:space="preserve">SHORT: </w:t>
      </w:r>
      <w:r>
        <w:t>Each base learner captures different patterns. Stacking reduces variance and improves generalisation beyond any single model.</w:t>
      </w:r>
    </w:p>
    <w:p>
      <w:r>
        <w:rPr>
          <w:b/>
        </w:rPr>
        <w:t>DETAIL:</w:t>
      </w:r>
    </w:p>
    <w:p>
      <w:pPr>
        <w:pStyle w:val="ListBullet"/>
      </w:pPr>
      <w:r>
        <w:t>XGBoost: symmetric trees, good at global feature interactions.</w:t>
      </w:r>
    </w:p>
    <w:p>
      <w:pPr>
        <w:pStyle w:val="ListBullet"/>
      </w:pPr>
      <w:r>
        <w:t>LightGBM: leaf-wise growth, handles high-cardinality encodings well.</w:t>
      </w:r>
    </w:p>
    <w:p>
      <w:pPr>
        <w:pStyle w:val="ListBullet"/>
      </w:pPr>
      <w:r>
        <w:t>CatBoost: ordered boosting, robust on smaller datasets. Dominates Riyadh meta (coef=0.721).</w:t>
      </w:r>
    </w:p>
    <w:p>
      <w:pPr>
        <w:pStyle w:val="ListBullet"/>
      </w:pPr>
      <w:r>
        <w:t>OOF predictions used to train meta-learner: prevents base learners from memorising training labels.</w:t>
      </w:r>
    </w:p>
    <w:p/>
    <w:p>
      <w:r>
        <w:rPr>
          <w:b/>
        </w:rPr>
        <w:t>Q: What is GroupKFold and why did you use it?</w:t>
      </w:r>
    </w:p>
    <w:p>
      <w:r>
        <w:rPr>
          <w:b/>
        </w:rPr>
        <w:t xml:space="preserve">SHORT: </w:t>
      </w:r>
      <w:r>
        <w:t>Regular KFold leaks spatial autocorrelation. Properties in the same neighbourhood have correlated prices — a model can cheat by seeing nearby properties.</w:t>
      </w:r>
    </w:p>
    <w:p>
      <w:r>
        <w:rPr>
          <w:b/>
        </w:rPr>
        <w:t>DETAIL:</w:t>
      </w:r>
    </w:p>
    <w:p>
      <w:pPr>
        <w:pStyle w:val="ListBullet"/>
      </w:pPr>
      <w:r>
        <w:t>GroupKFold groups entire geographic units (NTA codes for NYC, district_ar for Riyadh) into the same fold.</w:t>
      </w:r>
    </w:p>
    <w:p>
      <w:pPr>
        <w:pStyle w:val="ListBullet"/>
      </w:pPr>
      <w:r>
        <w:t>NYC uses 10 folds (212 NTAs → ~31 per fold). Riyadh uses 5 folds (163 districts → ~33 per fold).</w:t>
      </w:r>
    </w:p>
    <w:p>
      <w:pPr>
        <w:pStyle w:val="ListBullet"/>
      </w:pPr>
      <w:r>
        <w:t>Regular KFold would show R²&gt;0.95 (data leakage). GroupKFold gives honest estimates.</w:t>
      </w:r>
    </w:p>
    <w:p/>
    <w:p>
      <w:r>
        <w:rPr>
          <w:b/>
        </w:rPr>
        <w:t>Q: Why use Ridge as the meta-learner instead of another gradient boosted model?</w:t>
      </w:r>
    </w:p>
    <w:p>
      <w:r>
        <w:rPr>
          <w:b/>
        </w:rPr>
        <w:t xml:space="preserve">SHORT: </w:t>
      </w:r>
      <w:r>
        <w:t>LightGBM at the meta level overfits to OOF noise. Ridge prevents this and gives better holdout performance despite a lower OOF score.</w:t>
      </w:r>
    </w:p>
    <w:p>
      <w:r>
        <w:rPr>
          <w:b/>
        </w:rPr>
        <w:t>DETAIL:</w:t>
      </w:r>
    </w:p>
    <w:p>
      <w:pPr>
        <w:pStyle w:val="ListBullet"/>
      </w:pPr>
      <w:r>
        <w:t>Empirical test: LightGBM meta holdout R²=0.6349 vs Ridge meta holdout R²=0.6495.</w:t>
      </w:r>
    </w:p>
    <w:p>
      <w:pPr>
        <w:pStyle w:val="ListBullet"/>
      </w:pPr>
      <w:r>
        <w:t>By the meta-stage, the four base learners have already exhausted non-linear relationships. Remaining variance is mostly noise.</w:t>
      </w:r>
    </w:p>
    <w:p>
      <w:pPr>
        <w:pStyle w:val="ListBullet"/>
      </w:pPr>
      <w:r>
        <w:t>Ridge L2 regularisation with positive=True enforces blending, not arbitrage.</w:t>
      </w:r>
    </w:p>
    <w:p/>
    <w:p>
      <w:r>
        <w:rPr>
          <w:b/>
        </w:rPr>
        <w:t>Q: Why log-transform the target variable?</w:t>
      </w:r>
    </w:p>
    <w:p>
      <w:r>
        <w:rPr>
          <w:b/>
        </w:rPr>
        <w:t xml:space="preserve">SHORT: </w:t>
      </w:r>
      <w:r>
        <w:t>Property prices are right-skewed. Log-transform makes the target approximately normally distributed and improves model fit.</w:t>
      </w:r>
    </w:p>
    <w:p>
      <w:r>
        <w:rPr>
          <w:b/>
        </w:rPr>
        <w:t>DETAIL:</w:t>
      </w:r>
    </w:p>
    <w:p>
      <w:pPr>
        <w:pStyle w:val="ListBullet"/>
      </w:pPr>
      <w:r>
        <w:t>Raw sale_price has skewness &gt;5 in NYC, &gt;3 in Riyadh.</w:t>
      </w:r>
    </w:p>
    <w:p>
      <w:pPr>
        <w:pStyle w:val="ListBullet"/>
      </w:pPr>
      <w:r>
        <w:t>log1p(price) reduces skewness to near-normal, preventing the model from fitting outliers disproportionately.</w:t>
      </w:r>
    </w:p>
    <w:p>
      <w:pPr>
        <w:pStyle w:val="ListBullet"/>
      </w:pPr>
      <w:r>
        <w:t>At inference: price = expm1(model_output). MedAPE computed in original price space.</w:t>
      </w:r>
    </w:p>
    <w:p/>
    <w:p>
      <w:pPr>
        <w:pStyle w:val="Heading1"/>
      </w:pPr>
      <w:r>
        <w:t>4. System / Application</w:t>
      </w:r>
    </w:p>
    <w:p>
      <w:r>
        <w:rPr>
          <w:b/>
        </w:rPr>
        <w:t>Q: How does the app determine which city model to use?</w:t>
      </w:r>
    </w:p>
    <w:p>
      <w:r>
        <w:rPr>
          <w:b/>
        </w:rPr>
        <w:t xml:space="preserve">SHORT: </w:t>
      </w:r>
      <w:r>
        <w:t>Bounding box check on click coordinates. NYC bbox and Riyadh bbox are non-overlapping — no ambiguity possible.</w:t>
      </w:r>
    </w:p>
    <w:p>
      <w:r>
        <w:rPr>
          <w:b/>
        </w:rPr>
        <w:t>DETAIL:</w:t>
      </w:r>
    </w:p>
    <w:p>
      <w:pPr>
        <w:pStyle w:val="ListBullet"/>
      </w:pPr>
      <w:r>
        <w:t>NYC bbox: lat 40.47–40.92, lon −74.26 to −73.70.</w:t>
      </w:r>
    </w:p>
    <w:p>
      <w:pPr>
        <w:pStyle w:val="ListBullet"/>
      </w:pPr>
      <w:r>
        <w:t>Riyadh bbox: lat 24.35–25.10, lon 46.30–47.20.</w:t>
      </w:r>
    </w:p>
    <w:p>
      <w:pPr>
        <w:pStyle w:val="ListBullet"/>
      </w:pPr>
      <w:r>
        <w:t>Two completely separate ML pipelines: NYC scorer never sees SAR data, Riyadh scorer never sees USD data.</w:t>
      </w:r>
    </w:p>
    <w:p/>
    <w:p>
      <w:pPr>
        <w:pStyle w:val="Heading1"/>
      </w:pPr>
      <w:r>
        <w:t>5. Extended Questions</w:t>
      </w:r>
    </w:p>
    <w:p>
      <w:r>
        <w:rPr>
          <w:b/>
        </w:rPr>
        <w:t>Q: Is your model fair? Does it discriminate by neighbourhood demographics?</w:t>
      </w:r>
    </w:p>
    <w:p>
      <w:r>
        <w:rPr>
          <w:b/>
        </w:rPr>
        <w:t xml:space="preserve">SHORT: </w:t>
      </w:r>
      <w:r>
        <w:t>Fairness is a known concern for AVMs. We include median income and crime rate as features — these reflect market reality but can encode historical inequity.</w:t>
      </w:r>
    </w:p>
    <w:p>
      <w:r>
        <w:rPr>
          <w:b/>
        </w:rPr>
        <w:t>DETAIL:</w:t>
      </w:r>
    </w:p>
    <w:p>
      <w:pPr>
        <w:pStyle w:val="ListBullet"/>
      </w:pPr>
      <w:r>
        <w:t>The model uses median_income_nta and crime_rate_nta, which are themselves products of historical patterns including redlining and unequal resource allocation.</w:t>
      </w:r>
    </w:p>
    <w:p>
      <w:pPr>
        <w:pStyle w:val="ListBullet"/>
      </w:pPr>
      <w:r>
        <w:t>A fairness audit is listed as future work.</w:t>
      </w:r>
    </w:p>
    <w:p>
      <w:pPr>
        <w:pStyle w:val="ListBullet"/>
      </w:pPr>
      <w:r>
        <w:t>The academic contribution is making inputs transparent via SHAP so users can see which features drive any given estimate.</w:t>
      </w:r>
    </w:p>
    <w:p/>
    <w:p>
      <w:pPr>
        <w:pStyle w:val="Heading1"/>
      </w:pPr>
      <w:r>
        <w:t>6. Regulatory and Market Context</w:t>
      </w:r>
    </w:p>
    <w:p>
      <w:r>
        <w:rPr>
          <w:b/>
        </w:rPr>
        <w:t>Q: Is THAMAN compliant with the 2025 AVM Quality Control Rule?</w:t>
      </w:r>
    </w:p>
    <w:p>
      <w:r>
        <w:rPr>
          <w:b/>
        </w:rPr>
        <w:t xml:space="preserve">SHORT: </w:t>
      </w:r>
      <w:r>
        <w:t>THAMAN addresses all five standards of the Dodd-Frank AVM QC Rule (effective Oct 2025): accuracy evidence, data integrity, conflict-of-interest avoidance, sample testing, and nondiscrimination.</w:t>
      </w:r>
    </w:p>
    <w:p>
      <w:r>
        <w:rPr>
          <w:b/>
        </w:rPr>
        <w:t>DETAIL:</w:t>
      </w:r>
    </w:p>
    <w:p>
      <w:pPr>
        <w:pStyle w:val="ListBullet"/>
      </w:pPr>
      <w:r>
        <w:t>Standard 1 — Accuracy: MedAPE=20.32% on 27,763 holdout transactions (NYC); borough and price-tier breakdowns published. Confidence score 0–100 with letter grade at inference.</w:t>
      </w:r>
    </w:p>
    <w:p>
      <w:pPr>
        <w:pStyle w:val="ListBullet"/>
      </w:pPr>
      <w:r>
        <w:t>Standard 2 — Data integrity: all training data from official government sources (NYC Open Data/PLUTO; Saudi Open Data Portal). No crowd-sourced or user-submitted prices influence training.</w:t>
      </w:r>
    </w:p>
    <w:p>
      <w:pPr>
        <w:pStyle w:val="ListBullet"/>
      </w:pPr>
      <w:r>
        <w:t>Standard 3 — Conflict of interest: open-source academic prototype (MIT licence, GitHub). No commercial lender affiliation.</w:t>
      </w:r>
    </w:p>
    <w:p>
      <w:pPr>
        <w:pStyle w:val="ListBullet"/>
      </w:pPr>
      <w:r>
        <w:t>Standard 4 — Sample testing: 15% time-based holdout (NYC, n=27,763) and fully out-of-sample 2025 holdout (Riyadh, n=1,730); Spatial GroupKFold prevents geographic leakage.</w:t>
      </w:r>
    </w:p>
    <w:p>
      <w:pPr>
        <w:pStyle w:val="ListBullet"/>
      </w:pPr>
      <w:r>
        <w:t>Standard 5 — Nondiscrimination: no protected-class attributes in feature set; NTA/district encodings use sale price only; SHAP enables fairness auditing.</w:t>
      </w:r>
    </w:p>
    <w:p>
      <w:pPr>
        <w:pStyle w:val="ListBullet"/>
      </w:pPr>
      <w:r>
        <w:t>THAMAN is a research prototype — the rule targets lending institutions. But these design choices reflect 2026 best practices.</w:t>
      </w:r>
    </w:p>
    <w:p/>
    <w:p>
      <w:r>
        <w:rPr>
          <w:b/>
        </w:rPr>
        <w:t>Q: How do 2025–2026 Saudi policy changes affect your Riyadh model?</w:t>
      </w:r>
    </w:p>
    <w:p>
      <w:r>
        <w:rPr>
          <w:b/>
        </w:rPr>
        <w:t xml:space="preserve">SHORT: </w:t>
      </w:r>
      <w:r>
        <w:t>Three shifts (rent freeze, foreign ownership reform, 57,000-unit supply pipeline) create temporal distribution shift beyond the training window. Model direction remains valid; retraining on 2025–2026 data would improve accuracy in premium districts.</w:t>
      </w:r>
    </w:p>
    <w:p>
      <w:r>
        <w:rPr>
          <w:b/>
        </w:rPr>
        <w:t>DETAIL:</w:t>
      </w:r>
    </w:p>
    <w:p>
      <w:pPr>
        <w:pStyle w:val="ListBullet"/>
      </w:pPr>
      <w:r>
        <w:t>Rent freeze (late 2025): government capped annual rent increases. SA_Aqar rental features reflect pre-freeze yields — partly explains premium-district prediction gaps.</w:t>
      </w:r>
    </w:p>
    <w:p>
      <w:pPr>
        <w:pStyle w:val="ListBullet"/>
      </w:pPr>
      <w:r>
        <w:t>Foreign ownership reform (Jan 2026): expanded GCC/international ownership rights in Riyadh urban zones. Drives premium district appreciation: Al Nakheel asking 26,000 SAR/m², Al Hada 20,000 SAR/m² — vs. THAMAN predictions of ~2,800–3,100 SAR/m² (transaction-price reference).</w:t>
      </w:r>
    </w:p>
    <w:p>
      <w:pPr>
        <w:pStyle w:val="ListBullet"/>
      </w:pPr>
      <w:r>
        <w:t>57,000-unit pipeline: northern/western corridors (Al Qirawan, Al Yasmin, Al Narjis). May moderate outer-ring appreciation; inner-ring supply-constrained districts maintain upward pressure.</w:t>
      </w:r>
    </w:p>
    <w:p>
      <w:pPr>
        <w:pStyle w:val="ListBullet"/>
      </w:pPr>
      <w:r>
        <w:t>REI yields: 8.5–9.5% gross rental yields in prime Riyadh — among highest in GCC. THAMAN's quarterly REI features will absorb these when retrained.</w:t>
      </w:r>
    </w:p>
    <w:p>
      <w:pPr>
        <w:pStyle w:val="ListBullet"/>
      </w:pPr>
      <w:r>
        <w:t>For 2026 predictions: acknowledge the policy-shift caveat. The 15.59% holdout MedAPE is expected to widen slightly until retrained on 2025–2026 data.</w:t>
      </w:r>
    </w:p>
    <w:p/>
    <w:p>
      <w:pPr>
        <w:pStyle w:val="Heading1"/>
      </w:pPr>
      <w:r>
        <w:t>7. Known Limitations (say confidently, not defensively)</w:t>
      </w:r>
    </w:p>
    <w:p>
      <w:r>
        <w:rPr>
          <w:b/>
        </w:rPr>
        <w:t>Riyadh data is district-level aggregate, not individual transactions.</w:t>
      </w:r>
    </w:p>
    <w:p>
      <w:r>
        <w:t>→ 'This is the data availability constraint from MoJ. Future work could incorporate individual deeds when access is granted.'</w:t>
      </w:r>
    </w:p>
    <w:p>
      <w:r>
        <w:rPr>
          <w:b/>
        </w:rPr>
        <w:t>No property condition data (renovation quality, interior finish).</w:t>
      </w:r>
    </w:p>
    <w:p>
      <w:r>
        <w:t>→ 'Both NYC and Riyadh lack this. It is a universal limitation of government transaction registers.'</w:t>
      </w:r>
    </w:p>
    <w:p>
      <w:r>
        <w:rPr>
          <w:b/>
        </w:rPr>
        <w:t>NYC luxury tier (&gt;$5M) has wider confidence intervals.</w:t>
      </w:r>
    </w:p>
    <w:p>
      <w:r>
        <w:t>→ 'Luxury transactions are sparse (&lt;3% of dataset) so the model is less confident there — correctly communicated via a wider range.'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