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THAMAN — COMPLETE TECHNICAL REFERENCE</w:t>
      </w:r>
    </w:p>
    <w:p>
      <w:pPr>
        <w:jc w:val="center"/>
      </w:pPr>
      <w:r>
        <w:rPr>
          <w:i/>
          <w:sz w:val="26"/>
        </w:rPr>
        <w:t>Dual-City Automated Valuation Model: New York City &amp; Riyadh</w:t>
      </w:r>
    </w:p>
    <w:p/>
    <w:p>
      <w:pPr>
        <w:jc w:val="center"/>
      </w:pPr>
      <w:r>
        <w:rPr>
          <w:sz w:val="22"/>
        </w:rPr>
        <w:t>Turki Almurahhem</w:t>
      </w:r>
    </w:p>
    <w:p>
      <w:pPr>
        <w:jc w:val="center"/>
      </w:pPr>
      <w:r>
        <w:rPr>
          <w:sz w:val="22"/>
        </w:rPr>
        <w:t>Umm Al-Qura University</w:t>
      </w:r>
    </w:p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THAMAN (ثمن — Arabic for 'price') is an Automated Valuation Model (AVM) that estimates residential property prices using machine learning across two independent real estate markets: New York City (USD total price) and Riyadh, Saudi Arabia (SAR per square metre).</w:t>
      </w:r>
    </w:p>
    <w:p>
      <w:pPr>
        <w:pStyle w:val="Heading1"/>
      </w:pPr>
      <w:r>
        <w:t>2. System Architecture</w:t>
      </w:r>
    </w:p>
    <w:p>
      <w:pPr>
        <w:jc w:val="center"/>
      </w:pPr>
      <w:r>
        <w:rPr>
          <w:i/>
          <w:sz w:val="20"/>
        </w:rPr>
        <w:t>Table: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</w:tr>
      <w:tr>
        <w:tc>
          <w:tcPr>
            <w:tcW w:type="dxa" w:w="4561"/>
          </w:tcPr>
          <w:p>
            <w:r>
              <w:t>Data pipeline</w:t>
            </w:r>
          </w:p>
        </w:tc>
        <w:tc>
          <w:tcPr>
            <w:tcW w:type="dxa" w:w="4561"/>
          </w:tcPr>
          <w:p>
            <w:r>
              <w:t>Python, Polars</w:t>
            </w:r>
          </w:p>
        </w:tc>
      </w:tr>
      <w:tr>
        <w:tc>
          <w:tcPr>
            <w:tcW w:type="dxa" w:w="4561"/>
          </w:tcPr>
          <w:p>
            <w:r>
              <w:t>Training</w:t>
            </w:r>
          </w:p>
        </w:tc>
        <w:tc>
          <w:tcPr>
            <w:tcW w:type="dxa" w:w="4561"/>
          </w:tcPr>
          <w:p>
            <w:r>
              <w:t>scikit-learn, XGBoost, LightGBM, CatBoost, Ridge</w:t>
            </w:r>
          </w:p>
        </w:tc>
      </w:tr>
      <w:tr>
        <w:tc>
          <w:tcPr>
            <w:tcW w:type="dxa" w:w="4561"/>
          </w:tcPr>
          <w:p>
            <w:r>
              <w:t>Model storage</w:t>
            </w:r>
          </w:p>
        </w:tc>
        <w:tc>
          <w:tcPr>
            <w:tcW w:type="dxa" w:w="4561"/>
          </w:tcPr>
          <w:p>
            <w:r>
              <w:t>pickle (.pkl), JSON</w:t>
            </w:r>
          </w:p>
        </w:tc>
      </w:tr>
      <w:tr>
        <w:tc>
          <w:tcPr>
            <w:tcW w:type="dxa" w:w="4561"/>
          </w:tcPr>
          <w:p>
            <w:r>
              <w:t>API backend</w:t>
            </w:r>
          </w:p>
        </w:tc>
        <w:tc>
          <w:tcPr>
            <w:tcW w:type="dxa" w:w="4561"/>
          </w:tcPr>
          <w:p>
            <w:r>
              <w:t>FastAPI, Uvicorn (port 8000)</w:t>
            </w:r>
          </w:p>
        </w:tc>
      </w:tr>
      <w:tr>
        <w:tc>
          <w:tcPr>
            <w:tcW w:type="dxa" w:w="4561"/>
          </w:tcPr>
          <w:p>
            <w:r>
              <w:t>Spatial index</w:t>
            </w:r>
          </w:p>
        </w:tc>
        <w:tc>
          <w:tcPr>
            <w:tcW w:type="dxa" w:w="4561"/>
          </w:tcPr>
          <w:p>
            <w:r>
              <w:t>scipy cKDTree, sklearn BallTree</w:t>
            </w:r>
          </w:p>
        </w:tc>
      </w:tr>
      <w:tr>
        <w:tc>
          <w:tcPr>
            <w:tcW w:type="dxa" w:w="4561"/>
          </w:tcPr>
          <w:p>
            <w:r>
              <w:t>Frontend</w:t>
            </w:r>
          </w:p>
        </w:tc>
        <w:tc>
          <w:tcPr>
            <w:tcW w:type="dxa" w:w="4561"/>
          </w:tcPr>
          <w:p>
            <w:r>
              <w:t>Leaflet.js, Chart.js</w:t>
            </w:r>
          </w:p>
        </w:tc>
      </w:tr>
      <w:tr>
        <w:tc>
          <w:tcPr>
            <w:tcW w:type="dxa" w:w="4561"/>
          </w:tcPr>
          <w:p>
            <w:r>
              <w:t>Deployment</w:t>
            </w:r>
          </w:p>
        </w:tc>
        <w:tc>
          <w:tcPr>
            <w:tcW w:type="dxa" w:w="4561"/>
          </w:tcPr>
          <w:p>
            <w:r>
              <w:t>Hugging Face Spaces (Docker)</w:t>
            </w:r>
          </w:p>
        </w:tc>
      </w:tr>
      <w:tr>
        <w:tc>
          <w:tcPr>
            <w:tcW w:type="dxa" w:w="4561"/>
          </w:tcPr>
          <w:p>
            <w:r>
              <w:t>Version control</w:t>
            </w:r>
          </w:p>
        </w:tc>
        <w:tc>
          <w:tcPr>
            <w:tcW w:type="dxa" w:w="4561"/>
          </w:tcPr>
          <w:p>
            <w:r>
              <w:t>GitHub (turkialm/thaman-v2)</w:t>
            </w:r>
          </w:p>
        </w:tc>
      </w:tr>
    </w:tbl>
    <w:p/>
    <w:p>
      <w:pPr>
        <w:pStyle w:val="Heading1"/>
      </w:pPr>
      <w:r>
        <w:t>3. NYC Dataset</w:t>
      </w:r>
    </w:p>
    <w:p>
      <w:r>
        <w:t>Source: NYC Open Data — Citywide Rolling Calendar Sales. Coverage: 2022–2026. Rows (training): 157,329. Rows (holdout): 27,763 (newest 15% by sale_date). Target: sale_price (USD). Log-transform: log1p(sale_price) during training; expm1() at inference.</w:t>
      </w:r>
    </w:p>
    <w:p>
      <w:r>
        <w:t>Cleaning: removed sale_price &lt; $10K or &gt; $100M; missing lat/lon or sale_date; duplicate BBL+date (kept highest); non-arm's-length transfers; gross_square_feet=0.</w:t>
      </w:r>
    </w:p>
    <w:p>
      <w:r>
        <w:t>Supplementary sources: PLUTO 25v4 (assesstot for prior sale imputation), MTA Subway/Bus, NYC Parks, Schools, HPD Violations, DOB Permits, 311 Service Requests, NYPD Complaints, ACS Census, ACRIS prior sales, Airbnb listings, Air quality, Bike lanes, Mortgage rates.</w:t>
      </w:r>
    </w:p>
    <w:p>
      <w:pPr>
        <w:pStyle w:val="Heading1"/>
      </w:pPr>
      <w:r>
        <w:t>4. NYC Feature Engineering (134 features)</w:t>
      </w:r>
    </w:p>
    <w:p>
      <w:r>
        <w:t>All engineering runs in Polars (not pandas). Features include: (1) Distance features with log1p companions (8 spatial indexes), (2) Urban gravity centres (4 major employment hubs), (3) Walk score proxy (0–100 composite), (4) Interaction features (sqft_per_floor, income_over_crime, lot_coverage, etc.), (5) Target encodings (bldgclass, borough×bldg, NTA, NTA×bldg), (6) NTA price trend slope (OLS log-linear per NTA), (7) HPD/DOB/311/MTA quality features (v11), (8) Temporal features (sale_year, sin/cos month, mortgage_rate).</w:t>
      </w:r>
    </w:p>
    <w:p>
      <w:r>
        <w:t>QoL winsorisation caps (stored in meta.json): crime_rate_nta=267.56, noise_density_nta=176.67, livability_complaint_rate=60.99.</w:t>
      </w:r>
    </w:p>
    <w:p>
      <w:pPr>
        <w:pStyle w:val="Heading1"/>
      </w:pPr>
      <w:r>
        <w:t>5. NYC Training Methodology</w:t>
      </w:r>
    </w:p>
    <w:p>
      <w:pPr>
        <w:pStyle w:val="Heading2"/>
      </w:pPr>
      <w:r>
        <w:t>5.1 Cross-Validation</w:t>
      </w:r>
    </w:p>
    <w:p>
      <w:r>
        <w:t>Spatial GroupKFold, 10 folds, groups=ntacode (212 NTAs). Prevents spatial autocorrelation leakage. Fold 5 degraded to R²≈0.37 revealing a localised anomalous cluster.</w:t>
      </w:r>
    </w:p>
    <w:p>
      <w:pPr>
        <w:pStyle w:val="Heading2"/>
      </w:pPr>
      <w:r>
        <w:t>5.2 Hyperparameters</w:t>
      </w:r>
    </w:p>
    <w:p>
      <w:pPr>
        <w:jc w:val="center"/>
      </w:pPr>
      <w:r>
        <w:rPr>
          <w:i/>
          <w:sz w:val="20"/>
        </w:rPr>
        <w:t>Table: Base learner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XGB-A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XGB-B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LGB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CatBoost</w:t>
            </w:r>
          </w:p>
        </w:tc>
      </w:tr>
      <w:tr>
        <w:tc>
          <w:tcPr>
            <w:tcW w:type="dxa" w:w="1824"/>
          </w:tcPr>
          <w:p>
            <w:r>
              <w:t>n_estimators</w:t>
            </w:r>
          </w:p>
        </w:tc>
        <w:tc>
          <w:tcPr>
            <w:tcW w:type="dxa" w:w="1824"/>
          </w:tcPr>
          <w:p>
            <w:r>
              <w:t>5,000</w:t>
            </w:r>
          </w:p>
        </w:tc>
        <w:tc>
          <w:tcPr>
            <w:tcW w:type="dxa" w:w="1824"/>
          </w:tcPr>
          <w:p>
            <w:r>
              <w:t>5,000</w:t>
            </w:r>
          </w:p>
        </w:tc>
        <w:tc>
          <w:tcPr>
            <w:tcW w:type="dxa" w:w="1824"/>
          </w:tcPr>
          <w:p>
            <w:r>
              <w:t>5,000</w:t>
            </w:r>
          </w:p>
        </w:tc>
        <w:tc>
          <w:tcPr>
            <w:tcW w:type="dxa" w:w="1824"/>
          </w:tcPr>
          <w:p>
            <w:r>
              <w:t>3,000</w:t>
            </w:r>
          </w:p>
        </w:tc>
      </w:tr>
      <w:tr>
        <w:tc>
          <w:tcPr>
            <w:tcW w:type="dxa" w:w="1824"/>
          </w:tcPr>
          <w:p>
            <w:r>
              <w:t>learning_rate</w:t>
            </w:r>
          </w:p>
        </w:tc>
        <w:tc>
          <w:tcPr>
            <w:tcW w:type="dxa" w:w="1824"/>
          </w:tcPr>
          <w:p>
            <w:r>
              <w:t>0.02</w:t>
            </w:r>
          </w:p>
        </w:tc>
        <w:tc>
          <w:tcPr>
            <w:tcW w:type="dxa" w:w="1824"/>
          </w:tcPr>
          <w:p>
            <w:r>
              <w:t>0.05</w:t>
            </w:r>
          </w:p>
        </w:tc>
        <w:tc>
          <w:tcPr>
            <w:tcW w:type="dxa" w:w="1824"/>
          </w:tcPr>
          <w:p>
            <w:r>
              <w:t>0.04</w:t>
            </w:r>
          </w:p>
        </w:tc>
        <w:tc>
          <w:tcPr>
            <w:tcW w:type="dxa" w:w="1824"/>
          </w:tcPr>
          <w:p>
            <w:r>
              <w:t>0.025</w:t>
            </w:r>
          </w:p>
        </w:tc>
      </w:tr>
      <w:tr>
        <w:tc>
          <w:tcPr>
            <w:tcW w:type="dxa" w:w="1824"/>
          </w:tcPr>
          <w:p>
            <w:r>
              <w:t>max_depth</w:t>
            </w:r>
          </w:p>
        </w:tc>
        <w:tc>
          <w:tcPr>
            <w:tcW w:type="dxa" w:w="1824"/>
          </w:tcPr>
          <w:p>
            <w:r>
              <w:t>7</w:t>
            </w:r>
          </w:p>
        </w:tc>
        <w:tc>
          <w:tcPr>
            <w:tcW w:type="dxa" w:w="1824"/>
          </w:tcPr>
          <w:p>
            <w:r>
              <w:t>4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8</w:t>
            </w:r>
          </w:p>
        </w:tc>
      </w:tr>
      <w:tr>
        <w:tc>
          <w:tcPr>
            <w:tcW w:type="dxa" w:w="1824"/>
          </w:tcPr>
          <w:p>
            <w:r>
              <w:t>num_leaves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127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subsample</w:t>
            </w:r>
          </w:p>
        </w:tc>
        <w:tc>
          <w:tcPr>
            <w:tcW w:type="dxa" w:w="1824"/>
          </w:tcPr>
          <w:p>
            <w:r>
              <w:t>0.80</w:t>
            </w:r>
          </w:p>
        </w:tc>
        <w:tc>
          <w:tcPr>
            <w:tcW w:type="dxa" w:w="1824"/>
          </w:tcPr>
          <w:p>
            <w:r>
              <w:t>0.65</w:t>
            </w:r>
          </w:p>
        </w:tc>
        <w:tc>
          <w:tcPr>
            <w:tcW w:type="dxa" w:w="1824"/>
          </w:tcPr>
          <w:p>
            <w:r>
              <w:t>0.80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colsample_bytree</w:t>
            </w:r>
          </w:p>
        </w:tc>
        <w:tc>
          <w:tcPr>
            <w:tcW w:type="dxa" w:w="1824"/>
          </w:tcPr>
          <w:p>
            <w:r>
              <w:t>0.60</w:t>
            </w:r>
          </w:p>
        </w:tc>
        <w:tc>
          <w:tcPr>
            <w:tcW w:type="dxa" w:w="1824"/>
          </w:tcPr>
          <w:p>
            <w:r>
              <w:t>0.75</w:t>
            </w:r>
          </w:p>
        </w:tc>
        <w:tc>
          <w:tcPr>
            <w:tcW w:type="dxa" w:w="1824"/>
          </w:tcPr>
          <w:p>
            <w:r>
              <w:t>0.70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early_stopping</w:t>
            </w:r>
          </w:p>
        </w:tc>
        <w:tc>
          <w:tcPr>
            <w:tcW w:type="dxa" w:w="1824"/>
          </w:tcPr>
          <w:p>
            <w:r>
              <w:t>400</w:t>
            </w:r>
          </w:p>
        </w:tc>
        <w:tc>
          <w:tcPr>
            <w:tcW w:type="dxa" w:w="1824"/>
          </w:tcPr>
          <w:p>
            <w:r>
              <w:t>400</w:t>
            </w:r>
          </w:p>
        </w:tc>
        <w:tc>
          <w:tcPr>
            <w:tcW w:type="dxa" w:w="1824"/>
          </w:tcPr>
          <w:p>
            <w:r>
              <w:t>400</w:t>
            </w:r>
          </w:p>
        </w:tc>
        <w:tc>
          <w:tcPr>
            <w:tcW w:type="dxa" w:w="1824"/>
          </w:tcPr>
          <w:p>
            <w:r>
              <w:t>400</w:t>
            </w:r>
          </w:p>
        </w:tc>
      </w:tr>
      <w:tr>
        <w:tc>
          <w:tcPr>
            <w:tcW w:type="dxa" w:w="1824"/>
          </w:tcPr>
          <w:p>
            <w:r>
              <w:t>Best round</w:t>
            </w:r>
          </w:p>
        </w:tc>
        <w:tc>
          <w:tcPr>
            <w:tcW w:type="dxa" w:w="1824"/>
          </w:tcPr>
          <w:p>
            <w:r>
              <w:t>3,843</w:t>
            </w:r>
          </w:p>
        </w:tc>
        <w:tc>
          <w:tcPr>
            <w:tcW w:type="dxa" w:w="1824"/>
          </w:tcPr>
          <w:p>
            <w:r>
              <w:t>5,000</w:t>
            </w:r>
          </w:p>
        </w:tc>
        <w:tc>
          <w:tcPr>
            <w:tcW w:type="dxa" w:w="1824"/>
          </w:tcPr>
          <w:p>
            <w:r>
              <w:t>952</w:t>
            </w:r>
          </w:p>
        </w:tc>
        <w:tc>
          <w:tcPr>
            <w:tcW w:type="dxa" w:w="1824"/>
          </w:tcPr>
          <w:p>
            <w:r>
              <w:t>3,000</w:t>
            </w:r>
          </w:p>
        </w:tc>
      </w:tr>
    </w:tbl>
    <w:p/>
    <w:p>
      <w:pPr>
        <w:pStyle w:val="Heading2"/>
      </w:pPr>
      <w:r>
        <w:t>5.3 Meta-Learner</w:t>
      </w:r>
    </w:p>
    <w:p>
      <w:r>
        <w:t>Ridge (alpha=1.0, positive=True). LightGBM meta holdout R²=0.6349 vs Ridge meta holdout R²=0.6495. Ridge selected to prevent meta-level overfitting to OOF noise. positive=True enforces blending (not arbitrage).</w:t>
      </w:r>
    </w:p>
    <w:p>
      <w:pPr>
        <w:pStyle w:val="Heading2"/>
      </w:pPr>
      <w:r>
        <w:t>5.4 Luxury Sub-Model</w:t>
      </w:r>
    </w:p>
    <w:p>
      <w:r>
        <w:t>Separate XGBoost trained on Manhattan sales ≥ $2.5M. Soft blend: α = clip((price−2.5M)/(5.0M−2.5M), 0, 1); P_final = (1−α)·P_stack + α·P_luxury.</w:t>
      </w:r>
    </w:p>
    <w:p>
      <w:pPr>
        <w:pStyle w:val="Heading1"/>
      </w:pPr>
      <w:r>
        <w:t>6. NYC Results</w:t>
      </w:r>
    </w:p>
    <w:p>
      <w:pPr>
        <w:jc w:val="center"/>
      </w:pPr>
      <w:r>
        <w:rPr>
          <w:i/>
          <w:sz w:val="20"/>
        </w:rPr>
        <w:t>Table: NYC overall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Evaluation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MAE (USD)</w:t>
            </w:r>
          </w:p>
        </w:tc>
      </w:tr>
      <w:tr>
        <w:tc>
          <w:tcPr>
            <w:tcW w:type="dxa" w:w="2280"/>
          </w:tcPr>
          <w:p>
            <w:r>
              <w:t>Stack v22 (holdout, 27,763 sales)</w:t>
            </w:r>
          </w:p>
        </w:tc>
        <w:tc>
          <w:tcPr>
            <w:tcW w:type="dxa" w:w="2280"/>
          </w:tcPr>
          <w:p>
            <w:r>
              <w:t>0.6495</w:t>
            </w:r>
          </w:p>
        </w:tc>
        <w:tc>
          <w:tcPr>
            <w:tcW w:type="dxa" w:w="2280"/>
          </w:tcPr>
          <w:p>
            <w:r>
              <w:t>20.32%</w:t>
            </w:r>
          </w:p>
        </w:tc>
        <w:tc>
          <w:tcPr>
            <w:tcW w:type="dxa" w:w="2280"/>
          </w:tcPr>
          <w:p>
            <w:r>
              <w:t>$1,047,004</w:t>
            </w:r>
          </w:p>
        </w:tc>
      </w:tr>
    </w:tbl>
    <w:p/>
    <w:p>
      <w:pPr>
        <w:jc w:val="center"/>
      </w:pPr>
      <w:r>
        <w:rPr>
          <w:i/>
          <w:sz w:val="20"/>
        </w:rPr>
        <w:t>Table: Borough-level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Borough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</w:tr>
      <w:tr>
        <w:tc>
          <w:tcPr>
            <w:tcW w:type="dxa" w:w="2280"/>
          </w:tcPr>
          <w:p>
            <w:r>
              <w:t>Staten Island</w:t>
            </w:r>
          </w:p>
        </w:tc>
        <w:tc>
          <w:tcPr>
            <w:tcW w:type="dxa" w:w="2280"/>
          </w:tcPr>
          <w:p>
            <w:r>
              <w:t>3,052</w:t>
            </w:r>
          </w:p>
        </w:tc>
        <w:tc>
          <w:tcPr>
            <w:tcW w:type="dxa" w:w="2280"/>
          </w:tcPr>
          <w:p>
            <w:r>
              <w:t>14.41%</w:t>
            </w:r>
          </w:p>
        </w:tc>
        <w:tc>
          <w:tcPr>
            <w:tcW w:type="dxa" w:w="2280"/>
          </w:tcPr>
          <w:p>
            <w:r>
              <w:t>$220,216</w:t>
            </w:r>
          </w:p>
        </w:tc>
      </w:tr>
      <w:tr>
        <w:tc>
          <w:tcPr>
            <w:tcW w:type="dxa" w:w="2280"/>
          </w:tcPr>
          <w:p>
            <w:r>
              <w:t>Queens</w:t>
            </w:r>
          </w:p>
        </w:tc>
        <w:tc>
          <w:tcPr>
            <w:tcW w:type="dxa" w:w="2280"/>
          </w:tcPr>
          <w:p>
            <w:r>
              <w:t>9,533</w:t>
            </w:r>
          </w:p>
        </w:tc>
        <w:tc>
          <w:tcPr>
            <w:tcW w:type="dxa" w:w="2280"/>
          </w:tcPr>
          <w:p>
            <w:r>
              <w:t>17.43%</w:t>
            </w:r>
          </w:p>
        </w:tc>
        <w:tc>
          <w:tcPr>
            <w:tcW w:type="dxa" w:w="2280"/>
          </w:tcPr>
          <w:p>
            <w:r>
              <w:t>$366,226</w:t>
            </w:r>
          </w:p>
        </w:tc>
      </w:tr>
      <w:tr>
        <w:tc>
          <w:tcPr>
            <w:tcW w:type="dxa" w:w="2280"/>
          </w:tcPr>
          <w:p>
            <w:r>
              <w:t>Bronx</w:t>
            </w:r>
          </w:p>
        </w:tc>
        <w:tc>
          <w:tcPr>
            <w:tcW w:type="dxa" w:w="2280"/>
          </w:tcPr>
          <w:p>
            <w:r>
              <w:t>2,735</w:t>
            </w:r>
          </w:p>
        </w:tc>
        <w:tc>
          <w:tcPr>
            <w:tcW w:type="dxa" w:w="2280"/>
          </w:tcPr>
          <w:p>
            <w:r>
              <w:t>21.08%</w:t>
            </w:r>
          </w:p>
        </w:tc>
        <w:tc>
          <w:tcPr>
            <w:tcW w:type="dxa" w:w="2280"/>
          </w:tcPr>
          <w:p>
            <w:r>
              <w:t>$1,531,532</w:t>
            </w:r>
          </w:p>
        </w:tc>
      </w:tr>
      <w:tr>
        <w:tc>
          <w:tcPr>
            <w:tcW w:type="dxa" w:w="2280"/>
          </w:tcPr>
          <w:p>
            <w:r>
              <w:t>Brooklyn</w:t>
            </w:r>
          </w:p>
        </w:tc>
        <w:tc>
          <w:tcPr>
            <w:tcW w:type="dxa" w:w="2280"/>
          </w:tcPr>
          <w:p>
            <w:r>
              <w:t>7,032</w:t>
            </w:r>
          </w:p>
        </w:tc>
        <w:tc>
          <w:tcPr>
            <w:tcW w:type="dxa" w:w="2280"/>
          </w:tcPr>
          <w:p>
            <w:r>
              <w:t>20.64%</w:t>
            </w:r>
          </w:p>
        </w:tc>
        <w:tc>
          <w:tcPr>
            <w:tcW w:type="dxa" w:w="2280"/>
          </w:tcPr>
          <w:p>
            <w:r>
              <w:t>$857,322</w:t>
            </w:r>
          </w:p>
        </w:tc>
      </w:tr>
      <w:tr>
        <w:tc>
          <w:tcPr>
            <w:tcW w:type="dxa" w:w="2280"/>
          </w:tcPr>
          <w:p>
            <w:r>
              <w:t>Manhattan</w:t>
            </w:r>
          </w:p>
        </w:tc>
        <w:tc>
          <w:tcPr>
            <w:tcW w:type="dxa" w:w="2280"/>
          </w:tcPr>
          <w:p>
            <w:r>
              <w:t>5,411</w:t>
            </w:r>
          </w:p>
        </w:tc>
        <w:tc>
          <w:tcPr>
            <w:tcW w:type="dxa" w:w="2280"/>
          </w:tcPr>
          <w:p>
            <w:r>
              <w:t>35.16%</w:t>
            </w:r>
          </w:p>
        </w:tc>
        <w:tc>
          <w:tcPr>
            <w:tcW w:type="dxa" w:w="2280"/>
          </w:tcPr>
          <w:p>
            <w:r>
              <w:t>$2,714,327</w:t>
            </w:r>
          </w:p>
        </w:tc>
      </w:tr>
    </w:tbl>
    <w:p/>
    <w:p>
      <w:pPr>
        <w:pStyle w:val="Heading1"/>
      </w:pPr>
      <w:r>
        <w:t>7. Riyadh Dataset</w:t>
      </w:r>
    </w:p>
    <w:p>
      <w:r>
        <w:t>6,910 district-quarter aggregates; 163 Riyadh districts; Q1 2018–Q3 2025. Target: median(sale_price_sar_sqm) per district-quarter. Training: 5,531 rows (cutoff: quarter_id &lt; 20251 = end of 2024). Holdout: 1,730 rows (2025 Q1–Q3). Price range: 221.82–12,565.21 SAR/m².</w:t>
      </w:r>
    </w:p>
    <w:p>
      <w:pPr>
        <w:pStyle w:val="Heading2"/>
      </w:pPr>
      <w:r>
        <w:t>Critical Bug Fixed: 2024 Quarter ID Encoding</w:t>
      </w:r>
    </w:p>
    <w:p>
      <w:r>
        <w:t>Formula quarter_id = year×10 + sale_quarter failed for 2024 CSVs where sale_quarter already contained the full code (e.g., 20241). Produced quarter_ids 40481/40483/40484 instead of 20241/20243/20244, pushing all 867 2024 rows into holdout. Fix: scripts/fix_riyadh_2024_quarters.py. Impact: MedAPE improved from 23.43% → 18.16%.</w:t>
      </w:r>
    </w:p>
    <w:p>
      <w:pPr>
        <w:pStyle w:val="Heading1"/>
      </w:pPr>
      <w:r>
        <w:t>8. Riyadh Feature Engineering (76 features)</w:t>
      </w:r>
    </w:p>
    <w:p>
      <w:pPr>
        <w:pStyle w:val="ListBullet"/>
      </w:pPr>
      <w:r>
        <w:rPr>
          <w:b/>
        </w:rPr>
        <w:t xml:space="preserve">Location (2): </w:t>
      </w:r>
      <w:r>
        <w:t>district_lat, district_lon</w:t>
      </w:r>
    </w:p>
    <w:p>
      <w:pPr>
        <w:pStyle w:val="ListBullet"/>
      </w:pPr>
      <w:r>
        <w:rPr>
          <w:b/>
        </w:rPr>
        <w:t xml:space="preserve">Property type (4): </w:t>
      </w:r>
      <w:r>
        <w:t>is_apartment, is_villa, is_residential_plot, is_building</w:t>
      </w:r>
    </w:p>
    <w:p>
      <w:pPr>
        <w:pStyle w:val="ListBullet"/>
      </w:pPr>
      <w:r>
        <w:rPr>
          <w:b/>
        </w:rPr>
        <w:t xml:space="preserve">Metro transit (6): </w:t>
      </w:r>
      <w:r>
        <w:t>dist_metro_m, log_dist_metro_m, metro_stations_1km, nearest_metro_line_num, nearest_metro_type_cd, dist_metro_line1_m</w:t>
      </w:r>
    </w:p>
    <w:p>
      <w:pPr>
        <w:pStyle w:val="ListBullet"/>
      </w:pPr>
      <w:r>
        <w:rPr>
          <w:b/>
        </w:rPr>
        <w:t xml:space="preserve">Bus/BRT (4): </w:t>
      </w:r>
      <w:r>
        <w:t>dist_bus_m, log_dist_bus_m, bus_stops_500m, brt_stops_500m</w:t>
      </w:r>
    </w:p>
    <w:p>
      <w:pPr>
        <w:pStyle w:val="ListBullet"/>
      </w:pPr>
      <w:r>
        <w:rPr>
          <w:b/>
        </w:rPr>
        <w:t xml:space="preserve">Commercial (10): </w:t>
      </w:r>
      <w:r>
        <w:t>commercial_count_1km, density_score, hypermarket/bank/restaurant/hotel/gas counts</w:t>
      </w:r>
    </w:p>
    <w:p>
      <w:pPr>
        <w:pStyle w:val="ListBullet"/>
      </w:pPr>
      <w:r>
        <w:rPr>
          <w:b/>
        </w:rPr>
        <w:t xml:space="preserve">Air quality (6): </w:t>
      </w:r>
      <w:r>
        <w:t>no2_nearest_mean, so2_nearest_mean, pm10_nearest_mean, o3_nearest_mean, dist_air_station_m, air_quality_score</w:t>
      </w:r>
    </w:p>
    <w:p>
      <w:pPr>
        <w:pStyle w:val="ListBullet"/>
      </w:pPr>
      <w:r>
        <w:rPr>
          <w:b/>
        </w:rPr>
        <w:t xml:space="preserve">Macro/REI (6): </w:t>
      </w:r>
      <w:r>
        <w:t>rei_residential_qtr_idx, rei_apt_idx, rei_yoy_change, rei_qoq_change, avg_saudi_salary_yr, salary_yoy_change</w:t>
      </w:r>
    </w:p>
    <w:p>
      <w:pPr>
        <w:pStyle w:val="ListBullet"/>
      </w:pPr>
      <w:r>
        <w:rPr>
          <w:b/>
        </w:rPr>
        <w:t xml:space="preserve">District aggregates (5): </w:t>
      </w:r>
      <w:r>
        <w:t>median_price_sqm, transaction_volume, price_vs_city_avg, price_trend_slope, median_price_apt_sqm</w:t>
      </w:r>
    </w:p>
    <w:p>
      <w:pPr>
        <w:pStyle w:val="ListBullet"/>
      </w:pPr>
      <w:r>
        <w:rPr>
          <w:b/>
        </w:rPr>
        <w:t xml:space="preserve">Target-encoded (2): </w:t>
      </w:r>
      <w:r>
        <w:t>district_encoded, district_type_encoded</w:t>
      </w:r>
    </w:p>
    <w:p>
      <w:pPr>
        <w:pStyle w:val="ListBullet"/>
      </w:pPr>
      <w:r>
        <w:rPr>
          <w:b/>
        </w:rPr>
        <w:t xml:space="preserve">QoL POIs (18): </w:t>
      </w:r>
      <w:r>
        <w:t>mosques/malls/schools/hospitals/parks/entertainment: distance + log_dist + count_500m each</w:t>
      </w:r>
    </w:p>
    <w:p>
      <w:pPr>
        <w:pStyle w:val="ListBullet"/>
      </w:pPr>
      <w:r>
        <w:rPr>
          <w:b/>
        </w:rPr>
        <w:t xml:space="preserve">Connectivity (1): </w:t>
      </w:r>
      <w:r>
        <w:t>riyadh_connectivity_score</w:t>
      </w:r>
    </w:p>
    <w:p>
      <w:pPr>
        <w:pStyle w:val="ListBullet"/>
      </w:pPr>
      <w:r>
        <w:rPr>
          <w:b/>
        </w:rPr>
        <w:t xml:space="preserve">SA_Aqar rental (4): </w:t>
      </w:r>
      <w:r>
        <w:t>aqar_median_size_sqm, aqar_median_bedrooms, aqar_median_property_age, aqar_rent_per_sqm</w:t>
      </w:r>
    </w:p>
    <w:p>
      <w:pPr>
        <w:pStyle w:val="ListBullet"/>
      </w:pPr>
      <w:r>
        <w:rPr>
          <w:b/>
        </w:rPr>
        <w:t xml:space="preserve">Temporal (4): </w:t>
      </w:r>
      <w:r>
        <w:t>sale_year, sale_quarter_sin, sale_quarter_cos, log_deed_count</w:t>
      </w:r>
    </w:p>
    <w:p>
      <w:pPr>
        <w:pStyle w:val="Heading1"/>
      </w:pPr>
      <w:r>
        <w:t>9. Riyadh Training Methodology</w:t>
      </w:r>
    </w:p>
    <w:p>
      <w:r>
        <w:t>5-fold Spatial GroupKFold (groups=district_ar, 163 districts). 3 base learners: XGBoost, LightGBM, CatBoost (n_estimators=1500, lr=0.03, max_depth=5, subsample=0.70, early_stopping=50). Ridge meta (alpha=1.0, positive=False). Meta coefficients: XGB=0.278, LGB=0.002, CAT=0.721.</w:t>
      </w:r>
    </w:p>
    <w:p>
      <w:pPr>
        <w:pStyle w:val="Heading1"/>
      </w:pPr>
      <w:r>
        <w:t>10. Riyadh Results</w:t>
      </w:r>
    </w:p>
    <w:p>
      <w:pPr>
        <w:jc w:val="center"/>
      </w:pPr>
      <w:r>
        <w:rPr>
          <w:i/>
          <w:sz w:val="20"/>
        </w:rPr>
        <w:t>Table: Riyadh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Evaluation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MedAPE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</w:tr>
      <w:tr>
        <w:tc>
          <w:tcPr>
            <w:tcW w:type="dxa" w:w="2280"/>
          </w:tcPr>
          <w:p>
            <w:r>
              <w:t>OOF (5-fold GroupKFold)</w:t>
            </w:r>
          </w:p>
        </w:tc>
        <w:tc>
          <w:tcPr>
            <w:tcW w:type="dxa" w:w="2280"/>
          </w:tcPr>
          <w:p>
            <w:r>
              <w:t>0.9348</w:t>
            </w:r>
          </w:p>
        </w:tc>
        <w:tc>
          <w:tcPr>
            <w:tcW w:type="dxa" w:w="2280"/>
          </w:tcPr>
          <w:p>
            <w:r>
              <w:t>8.25%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Holdout (2025 Q1–Q3, n=1,730)</w:t>
            </w:r>
          </w:p>
        </w:tc>
        <w:tc>
          <w:tcPr>
            <w:tcW w:type="dxa" w:w="2280"/>
          </w:tcPr>
          <w:p>
            <w:r>
              <w:t>0.8014</w:t>
            </w:r>
          </w:p>
        </w:tc>
        <w:tc>
          <w:tcPr>
            <w:tcW w:type="dxa" w:w="2280"/>
          </w:tcPr>
          <w:p>
            <w:r>
              <w:t>15.59%</w:t>
            </w:r>
          </w:p>
        </w:tc>
        <w:tc>
          <w:tcPr>
            <w:tcW w:type="dxa" w:w="2280"/>
          </w:tcPr>
          <w:p>
            <w:r>
              <w:t>986 SAR/m²</w:t>
            </w:r>
          </w:p>
        </w:tc>
      </w:tr>
    </w:tbl>
    <w:p/>
    <w:p>
      <w:r>
        <w:t>OOF-to-holdout gap explanation: (1) temporal distribution shift (holdout = new 2025 market conditions), (2) OOF temporal overlap (same quarter appears across GroupKFold folds), (3) small dataset instability (5,531 rows, 163 districts).</w:t>
      </w:r>
    </w:p>
    <w:p>
      <w:pPr>
        <w:pStyle w:val="Heading1"/>
      </w:pPr>
      <w:r>
        <w:t>11. NYC vs. Riyadh Key Differences</w:t>
      </w:r>
    </w:p>
    <w:p>
      <w:pPr>
        <w:jc w:val="center"/>
      </w:pPr>
      <w:r>
        <w:rPr>
          <w:i/>
          <w:sz w:val="20"/>
        </w:rPr>
        <w:t>Table: NYC vs. Riyadh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NYC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Riyadh</w:t>
            </w:r>
          </w:p>
        </w:tc>
      </w:tr>
      <w:tr>
        <w:tc>
          <w:tcPr>
            <w:tcW w:type="dxa" w:w="3041"/>
          </w:tcPr>
          <w:p>
            <w:r>
              <w:t>Data granularity</w:t>
            </w:r>
          </w:p>
        </w:tc>
        <w:tc>
          <w:tcPr>
            <w:tcW w:type="dxa" w:w="3041"/>
          </w:tcPr>
          <w:p>
            <w:r>
              <w:t>Individual transactions</w:t>
            </w:r>
          </w:p>
        </w:tc>
        <w:tc>
          <w:tcPr>
            <w:tcW w:type="dxa" w:w="3041"/>
          </w:tcPr>
          <w:p>
            <w:r>
              <w:t>District-quarter aggregates</w:t>
            </w:r>
          </w:p>
        </w:tc>
      </w:tr>
      <w:tr>
        <w:tc>
          <w:tcPr>
            <w:tcW w:type="dxa" w:w="3041"/>
          </w:tcPr>
          <w:p>
            <w:r>
              <w:t>Dataset size</w:t>
            </w:r>
          </w:p>
        </w:tc>
        <w:tc>
          <w:tcPr>
            <w:tcW w:type="dxa" w:w="3041"/>
          </w:tcPr>
          <w:p>
            <w:r>
              <w:t>185,092 train rows</w:t>
            </w:r>
          </w:p>
        </w:tc>
        <w:tc>
          <w:tcPr>
            <w:tcW w:type="dxa" w:w="3041"/>
          </w:tcPr>
          <w:p>
            <w:r>
              <w:t>5,531 train rows</w:t>
            </w:r>
          </w:p>
        </w:tc>
      </w:tr>
      <w:tr>
        <w:tc>
          <w:tcPr>
            <w:tcW w:type="dxa" w:w="3041"/>
          </w:tcPr>
          <w:p>
            <w:r>
              <w:t>Target unit</w:t>
            </w:r>
          </w:p>
        </w:tc>
        <w:tc>
          <w:tcPr>
            <w:tcW w:type="dxa" w:w="3041"/>
          </w:tcPr>
          <w:p>
            <w:r>
              <w:t>USD total price</w:t>
            </w:r>
          </w:p>
        </w:tc>
        <w:tc>
          <w:tcPr>
            <w:tcW w:type="dxa" w:w="3041"/>
          </w:tcPr>
          <w:p>
            <w:r>
              <w:t>SAR per m²</w:t>
            </w:r>
          </w:p>
        </w:tc>
      </w:tr>
      <w:tr>
        <w:tc>
          <w:tcPr>
            <w:tcW w:type="dxa" w:w="3041"/>
          </w:tcPr>
          <w:p>
            <w:r>
              <w:t>Base learners</w:t>
            </w:r>
          </w:p>
        </w:tc>
        <w:tc>
          <w:tcPr>
            <w:tcW w:type="dxa" w:w="3041"/>
          </w:tcPr>
          <w:p>
            <w:r>
              <w:t>4 (XGB-A, XGB-B, LGB, CAT)</w:t>
            </w:r>
          </w:p>
        </w:tc>
        <w:tc>
          <w:tcPr>
            <w:tcW w:type="dxa" w:w="3041"/>
          </w:tcPr>
          <w:p>
            <w:r>
              <w:t>3 (XGB, LGB, CAT)</w:t>
            </w:r>
          </w:p>
        </w:tc>
      </w:tr>
      <w:tr>
        <w:tc>
          <w:tcPr>
            <w:tcW w:type="dxa" w:w="3041"/>
          </w:tcPr>
          <w:p>
            <w:r>
              <w:t>CV folds</w:t>
            </w:r>
          </w:p>
        </w:tc>
        <w:tc>
          <w:tcPr>
            <w:tcW w:type="dxa" w:w="3041"/>
          </w:tcPr>
          <w:p>
            <w:r>
              <w:t>10-fold GroupKFold</w:t>
            </w:r>
          </w:p>
        </w:tc>
        <w:tc>
          <w:tcPr>
            <w:tcW w:type="dxa" w:w="3041"/>
          </w:tcPr>
          <w:p>
            <w:r>
              <w:t>5-fold GroupKFold</w:t>
            </w:r>
          </w:p>
        </w:tc>
      </w:tr>
      <w:tr>
        <w:tc>
          <w:tcPr>
            <w:tcW w:type="dxa" w:w="3041"/>
          </w:tcPr>
          <w:p>
            <w:r>
              <w:t>Meta-learner</w:t>
            </w:r>
          </w:p>
        </w:tc>
        <w:tc>
          <w:tcPr>
            <w:tcW w:type="dxa" w:w="3041"/>
          </w:tcPr>
          <w:p>
            <w:r>
              <w:t>Ridge (positive=True)</w:t>
            </w:r>
          </w:p>
        </w:tc>
        <w:tc>
          <w:tcPr>
            <w:tcW w:type="dxa" w:w="3041"/>
          </w:tcPr>
          <w:p>
            <w:r>
              <w:t>Ridge (positive=False)</w:t>
            </w:r>
          </w:p>
        </w:tc>
      </w:tr>
      <w:tr>
        <w:tc>
          <w:tcPr>
            <w:tcW w:type="dxa" w:w="3041"/>
          </w:tcPr>
          <w:p>
            <w:r>
              <w:t>Features</w:t>
            </w:r>
          </w:p>
        </w:tc>
        <w:tc>
          <w:tcPr>
            <w:tcW w:type="dxa" w:w="3041"/>
          </w:tcPr>
          <w:p>
            <w:r>
              <w:t>134</w:t>
            </w:r>
          </w:p>
        </w:tc>
        <w:tc>
          <w:tcPr>
            <w:tcW w:type="dxa" w:w="3041"/>
          </w:tcPr>
          <w:p>
            <w:r>
              <w:t>149</w:t>
            </w:r>
          </w:p>
        </w:tc>
      </w:tr>
      <w:tr>
        <w:tc>
          <w:tcPr>
            <w:tcW w:type="dxa" w:w="3041"/>
          </w:tcPr>
          <w:p>
            <w:r>
              <w:t>Holdout MedAPE</w:t>
            </w:r>
          </w:p>
        </w:tc>
        <w:tc>
          <w:tcPr>
            <w:tcW w:type="dxa" w:w="3041"/>
          </w:tcPr>
          <w:p>
            <w:r>
              <w:t>20.32%</w:t>
            </w:r>
          </w:p>
        </w:tc>
        <w:tc>
          <w:tcPr>
            <w:tcW w:type="dxa" w:w="3041"/>
          </w:tcPr>
          <w:p>
            <w:r>
              <w:t>15.59%</w:t>
            </w:r>
          </w:p>
        </w:tc>
      </w:tr>
      <w:tr>
        <w:tc>
          <w:tcPr>
            <w:tcW w:type="dxa" w:w="3041"/>
          </w:tcPr>
          <w:p>
            <w:r>
              <w:t>Holdout R²</w:t>
            </w:r>
          </w:p>
        </w:tc>
        <w:tc>
          <w:tcPr>
            <w:tcW w:type="dxa" w:w="3041"/>
          </w:tcPr>
          <w:p>
            <w:r>
              <w:t>0.6495</w:t>
            </w:r>
          </w:p>
        </w:tc>
        <w:tc>
          <w:tcPr>
            <w:tcW w:type="dxa" w:w="3041"/>
          </w:tcPr>
          <w:p>
            <w:r>
              <w:t>0.8014</w:t>
            </w:r>
          </w:p>
        </w:tc>
      </w:tr>
    </w:tbl>
    <w:p/>
    <w:p>
      <w:pPr>
        <w:pStyle w:val="Heading1"/>
      </w:pPr>
      <w:r>
        <w:t>12. Known Bugs Fixed</w:t>
      </w:r>
    </w:p>
    <w:p>
      <w:pPr>
        <w:pStyle w:val="ListBullet"/>
      </w:pPr>
      <w:r>
        <w:t>Bug 1 — Riyadh 2024 Quarter ID Encoding (FIXED): year×10+sale_quarter formula failed; 2024 data all landed in holdout. Fix: fix_riyadh_2024_quarters.py. Impact: MedAPE 23.43% → 18.16%.</w:t>
      </w:r>
    </w:p>
    <w:p>
      <w:pPr>
        <w:pStyle w:val="ListBullet"/>
      </w:pPr>
      <w:r>
        <w:t>Bug 2 — Stale district_medape in riyadh_meta.json (FIXED): meta_dict.update() preserved old v1 district table. Fix: removed district_medape key.</w:t>
      </w:r>
    </w:p>
    <w:p>
      <w:pPr>
        <w:pStyle w:val="ListBullet"/>
      </w:pPr>
      <w:r>
        <w:t>Bug 3 — REI Values Corrupted for 2024 Rows (FIXED): wrong quarter_ids caused incorrect REI lookup. Fix: hardcoded correct quarterly values.</w:t>
      </w:r>
    </w:p>
    <w:p>
      <w:pPr>
        <w:pStyle w:val="Heading1"/>
      </w:pPr>
      <w:r>
        <w:t>13. Deployment</w:t>
      </w:r>
    </w:p>
    <w:p>
      <w:r>
        <w:t>Hugging Face Space: https://huggingface.co/spaces/Turki-Almurahhem/thaman</w:t>
      </w:r>
    </w:p>
    <w:p>
      <w:r>
        <w:t>GitHub: https://github.com/turkialm/thaman-v2</w:t>
      </w:r>
    </w:p>
    <w:p>
      <w:r>
        <w:t>To run locally: cd /path/to/new_try &amp;&amp; uvicorn api.main:app --port 8000. Cold-start time: ~30s. API latency (warm): 200–400ms.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