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36"/>
        </w:rPr>
        <w:t>THAMAN — Graduation Defense Demo Script</w:t>
      </w:r>
    </w:p>
    <w:p>
      <w:pPr>
        <w:jc w:val="center"/>
      </w:pPr>
      <w:r>
        <w:rPr>
          <w:i/>
          <w:sz w:val="26"/>
        </w:rPr>
        <w:t>BSc Computer Science · Umm Al-Qura University · 2026</w:t>
      </w:r>
    </w:p>
    <w:p/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Umm Al-Qura University</w:t>
      </w:r>
    </w:p>
    <w:p>
      <w:pPr>
        <w:jc w:val="center"/>
      </w:pPr>
      <w:r>
        <w:rPr>
          <w:sz w:val="22"/>
        </w:rPr>
        <w:t>Total time: 5 minutes</w:t>
      </w:r>
    </w:p>
    <w:p>
      <w:r>
        <w:br w:type="page"/>
      </w:r>
    </w:p>
    <w:p>
      <w:r>
        <w:rPr>
          <w:b/>
        </w:rPr>
        <w:t xml:space="preserve">Important: </w:t>
      </w:r>
      <w:r>
        <w:t>Keep this script on your phone or second screen — NOT on the projector.</w:t>
      </w:r>
    </w:p>
    <w:p>
      <w:pPr>
        <w:pStyle w:val="Heading1"/>
      </w:pPr>
      <w:r>
        <w:t>Setup (15 Minutes Before Committee Enters)</w:t>
      </w:r>
    </w:p>
    <w:p>
      <w:pPr>
        <w:pStyle w:val="ListBullet"/>
      </w:pPr>
      <w:r>
        <w:t>Open browser, navigate to: https://huggingface.co/spaces/Turki-Almurahhem/thaman</w:t>
      </w:r>
    </w:p>
    <w:p>
      <w:pPr>
        <w:pStyle w:val="ListBullet"/>
      </w:pPr>
      <w:r>
        <w:t>Wait for map to fully load (cold-start: ~30 seconds)</w:t>
      </w:r>
    </w:p>
    <w:p>
      <w:pPr>
        <w:pStyle w:val="ListBullet"/>
      </w:pPr>
      <w:r>
        <w:t>Toggle language to Arabic once, then back to English — confirm bilingual toggle works</w:t>
      </w:r>
    </w:p>
    <w:p>
      <w:pPr>
        <w:pStyle w:val="ListBullet"/>
      </w:pPr>
      <w:r>
        <w:t>Pan map to NYC view (should default; if not, refresh once)</w:t>
      </w:r>
    </w:p>
    <w:p>
      <w:pPr>
        <w:pStyle w:val="ListBullet"/>
      </w:pPr>
      <w:r>
        <w:t>Open charts.html in a second browser tab (hidden behind main tab)</w:t>
      </w:r>
    </w:p>
    <w:p>
      <w:pPr>
        <w:pStyle w:val="ListBullet"/>
      </w:pPr>
      <w:r>
        <w:t>Have this script on your phone or second screen — NOT on the projector</w:t>
      </w:r>
    </w:p>
    <w:p>
      <w:pPr>
        <w:pStyle w:val="ListBullet"/>
      </w:pPr>
      <w:r>
        <w:t>Confirm screen mirroring / projector is working before committee sits down</w:t>
      </w:r>
    </w:p>
    <w:p>
      <w:pPr>
        <w:pStyle w:val="ListBullet"/>
      </w:pPr>
      <w:r>
        <w:t>Mute your phone</w:t>
      </w:r>
    </w:p>
    <w:p/>
    <w:p>
      <w:r>
        <w:rPr>
          <w:b/>
        </w:rPr>
        <w:t>Coordinates to have ready (copy into browser console if Nominatim search is slow):</w:t>
      </w:r>
    </w:p>
    <w:p>
      <w:r>
        <w:t>NYC click target: 40.7549, -73.9840 (Midtown Manhattan)</w:t>
      </w:r>
    </w:p>
    <w:p>
      <w:r>
        <w:t>Riyadh click target: 24.6877, 46.7219 (Downtown Riyadh / King Fahd Road)</w:t>
      </w:r>
    </w:p>
    <w:p>
      <w:pPr>
        <w:pStyle w:val="Heading1"/>
      </w:pPr>
      <w:r>
        <w:t>Step 1 — NYC Prediction (1 minute)</w:t>
      </w:r>
    </w:p>
    <w:p>
      <w:r>
        <w:rPr>
          <w:b/>
        </w:rPr>
        <w:t xml:space="preserve">Stage note: </w:t>
      </w:r>
      <w:r>
        <w:rPr>
          <w:i/>
        </w:rPr>
        <w:t>Map is showing NYC. Click approximately on Midtown Manhattan — coordinates 40.7549, −73.9840.</w:t>
      </w:r>
    </w:p>
    <w:p>
      <w:r>
        <w:rPr>
          <w:b/>
        </w:rPr>
        <w:t>[English]</w:t>
      </w:r>
    </w:p>
    <w:p>
      <w:r>
        <w:t>"This is THAMAN — a dual-city Automated Valuation Model I built for my graduation project. We're starting in New York City. I'm clicking on Midtown Manhattan to get an instant property valuation."</w:t>
        <w:br/>
        <w:br/>
        <w:t>"I'll select building type — Elevator Condo, D4 — and enter 1,200 square feet, 15 floors, built in 1985."</w:t>
        <w:br/>
        <w:br/>
        <w:t>[Submit prediction — pause for result to load]</w:t>
        <w:br/>
        <w:br/>
        <w:t>"THAMAN returns a predicted price, a confidence band, a letter grade, and the top features driving this estimate. For this condo, neighbourhood encoding, renovation age, and unit count are among the top drivers — consistent with NYC real estate: where you are matters more than size alone."</w:t>
        <w:br/>
        <w:br/>
        <w:t>"Notice the grade is a C with a ±35% band — Manhattan is the hardest segment in the data, and the system reports that honestly. Confidence is segment-adaptive: Staten Island would show ±14%."</w:t>
        <w:br/>
        <w:br/>
        <w:t>"The comparable sales bubbles show the nearest actual recorded sales — green means our estimate is close, red means we're further off. These are real deed-recorded transactions from 185,000 NYC sales, 2022 to 2026."</w:t>
      </w:r>
    </w:p>
    <w:p>
      <w:r>
        <w:rPr>
          <w:b/>
        </w:rPr>
        <w:t>[Arabic]</w:t>
      </w:r>
    </w:p>
    <w:p>
      <w:r>
        <w:t>"هذا نظام ثمان — نموذج تقييم عقاري ذكي لمدينتين طورته كمشروع تخرج. نبدأ في مدينة نيويورك."</w:t>
        <w:br/>
        <w:br/>
        <w:t>"اخترت نوع البناء: شقة بمصعد، المساحة 1200 قدم مربع، 15 طابقاً، بُني عام 1985."</w:t>
        <w:br/>
        <w:br/>
        <w:t>"النظام يعطينا سعراً تقديرياً، نطاق ثقة، درجة تقييم، وأهم العوامل المؤثرة."</w:t>
      </w:r>
    </w:p>
    <w:p>
      <w:r>
        <w:rPr>
          <w:b/>
        </w:rPr>
        <w:t>[Metric to highlight]</w:t>
      </w:r>
    </w:p>
    <w:p>
      <w:r>
        <w:t>"Our NYC model achieves MedAPE of 20.32% on 27,763 holdout sales — competitive with commercial AVMs like Zillow Zestimate."</w:t>
      </w:r>
    </w:p>
    <w:p/>
    <w:p>
      <w:pPr>
        <w:pStyle w:val="Heading1"/>
      </w:pPr>
      <w:r>
        <w:t>Step 2 — City Switch to Riyadh (30 seconds)</w:t>
      </w:r>
    </w:p>
    <w:p>
      <w:r>
        <w:rPr>
          <w:b/>
        </w:rPr>
        <w:t xml:space="preserve">Stage note: </w:t>
      </w:r>
      <w:r>
        <w:rPr>
          <w:i/>
        </w:rPr>
        <w:t>Click the city-switch toggle. Map animates to Riyadh view with district polygons visible.</w:t>
      </w:r>
    </w:p>
    <w:p>
      <w:r>
        <w:rPr>
          <w:b/>
        </w:rPr>
        <w:t>[English]</w:t>
      </w:r>
    </w:p>
    <w:p>
      <w:r>
        <w:t>"Now here's what makes THAMAN distinctive — it's a dual-city system. I'll switch to Riyadh."</w:t>
        <w:br/>
        <w:br/>
        <w:t>"The same stacking architecture, the same FastAPI backend, now running on a completely different market. Saudi Arabia's real estate data is published as district-level quarterly aggregates by the Ministry of Justice — not individual transactions like NYC. The model learned from 6,910 district-quarter observations instead of 185,000 individual sales."</w:t>
      </w:r>
    </w:p>
    <w:p>
      <w:r>
        <w:rPr>
          <w:b/>
        </w:rPr>
        <w:t>[Arabic]</w:t>
      </w:r>
    </w:p>
    <w:p>
      <w:r>
        <w:t>"الآن ننتقل إلى الرياض — وهذا ما يميّز ثمان. نفس البنية التقنية، لكن على سوق مختلف تماماً."</w:t>
      </w:r>
    </w:p>
    <w:p/>
    <w:p>
      <w:pPr>
        <w:pStyle w:val="Heading1"/>
      </w:pPr>
      <w:r>
        <w:t>Step 3 — Riyadh Prediction + SHAP Drivers (1.5 minutes)</w:t>
      </w:r>
    </w:p>
    <w:p>
      <w:r>
        <w:rPr>
          <w:b/>
        </w:rPr>
        <w:t xml:space="preserve">Stage note: </w:t>
      </w:r>
      <w:r>
        <w:rPr>
          <w:i/>
        </w:rPr>
        <w:t>Click on Downtown Riyadh — coordinates 24.6877, 46.7219 (King Fahd Road area).</w:t>
      </w:r>
    </w:p>
    <w:p>
      <w:r>
        <w:rPr>
          <w:b/>
        </w:rPr>
        <w:t>[English]</w:t>
      </w:r>
    </w:p>
    <w:p>
      <w:r>
        <w:t>"I'll click on the King Fahd Road corridor — one of Riyadh's prime districts. Let's select Villa, 400 square metres."</w:t>
        <w:br/>
        <w:br/>
        <w:t>[Submit prediction — wait for result]</w:t>
        <w:br/>
        <w:br/>
        <w:t>"The model returns a prediction in SAR per square metre. The SHAP breakdown: district price history, the district-type encoding, and the Bayut asking-price signal are the top drivers — and the spatial grid shows this location sits about 575 metres from a metro station."</w:t>
        <w:br/>
        <w:br/>
        <w:t>"The Riyadh Metro opened in 2024 — a novel infrastructure signal the model captures, entirely absent from pre-2024 models."</w:t>
      </w:r>
    </w:p>
    <w:p>
      <w:r>
        <w:rPr>
          <w:b/>
        </w:rPr>
        <w:t>[Arabic]</w:t>
      </w:r>
    </w:p>
    <w:p>
      <w:r>
        <w:t>"أضغط على منطقة طريق الملك فهد. سأختار فيلا، 400 متر مربع."</w:t>
        <w:br/>
        <w:br/>
        <w:t>"النموذج يُعطينا التقدير بالريال السعودي لكل متر مربع. في تحليل SHAP: القرب من المترو، الكثافة التجارية، جودة الهواء، والتاريخ السعري للحي."</w:t>
      </w:r>
    </w:p>
    <w:p>
      <w:r>
        <w:rPr>
          <w:b/>
        </w:rPr>
        <w:t>[Metrics to highlight]</w:t>
      </w:r>
    </w:p>
    <w:p>
      <w:r>
        <w:t>OOF (training folds): R²=0.9348, MedAPE=8.25% — model genuinely learned Saudi market structure.</w:t>
        <w:br/>
        <w:t>Holdout Q1–Q3 2025: R²=0.8014, MedAPE=15.59% — new-quarter stress test, not a random sample.</w:t>
      </w:r>
    </w:p>
    <w:p/>
    <w:p>
      <w:pPr>
        <w:pStyle w:val="Heading1"/>
      </w:pPr>
      <w:r>
        <w:t>Step 4 — Listings Layer (30 seconds)</w:t>
      </w:r>
    </w:p>
    <w:p>
      <w:r>
        <w:rPr>
          <w:b/>
        </w:rPr>
        <w:t xml:space="preserve">Stage note: </w:t>
      </w:r>
      <w:r>
        <w:rPr>
          <w:i/>
        </w:rPr>
        <w:t>Toggle on the Haraj active listings layer.</w:t>
      </w:r>
    </w:p>
    <w:p>
      <w:r>
        <w:rPr>
          <w:b/>
        </w:rPr>
        <w:t>[English]</w:t>
      </w:r>
    </w:p>
    <w:p>
      <w:r>
        <w:t>"This layer shows 1,615 active property listings scraped from Haraj.com.sa — Saudi Arabia's largest classifieds marketplace. Each point is colour-coded: blue=apartments, green=villas, amber=plots."</w:t>
        <w:br/>
        <w:br/>
        <w:t>"The model systematically predicts lower than asking prices — that's expected. THAMAN was trained on deed-recorded transaction prices. Haraj shows what sellers ask, before negotiation. The overall gap is 54% MedAPE — consistent with documented Saudi negotiation margins of 20–50 percent."</w:t>
      </w:r>
    </w:p>
    <w:p>
      <w:r>
        <w:rPr>
          <w:b/>
        </w:rPr>
        <w:t>[Arabic]</w:t>
      </w:r>
    </w:p>
    <w:p>
      <w:r>
        <w:t>"هذه الطبقة تُظهر 1615 عرضاً نشطاً من موقع حراج.كوم — أكبر سوق للعقارات في السعودية."</w:t>
      </w:r>
    </w:p>
    <w:p/>
    <w:p>
      <w:pPr>
        <w:pStyle w:val="Heading1"/>
      </w:pPr>
      <w:r>
        <w:t>Step 5 — Analytics Dashboard (30 seconds)</w:t>
      </w:r>
    </w:p>
    <w:p>
      <w:r>
        <w:rPr>
          <w:b/>
        </w:rPr>
        <w:t xml:space="preserve">Stage note: </w:t>
      </w:r>
      <w:r>
        <w:rPr>
          <w:i/>
        </w:rPr>
        <w:t>Switch to second browser tab — charts.html.</w:t>
      </w:r>
    </w:p>
    <w:p>
      <w:r>
        <w:rPr>
          <w:b/>
        </w:rPr>
        <w:t>[English]</w:t>
      </w:r>
    </w:p>
    <w:p>
      <w:r>
        <w:t>"The analytics dashboard shows model performance broken down by NYC borough and price tier."</w:t>
        <w:br/>
        <w:br/>
        <w:t>"Notice the Staten Island paradox: the worst per-borough R² but the best MedAPE (14.4%). Staten Island has very low price variance; the model's absolute errors are small, but R² penalises a low-variance target. MedAPE is the right metric for a user-facing AVM."</w:t>
        <w:br/>
        <w:br/>
        <w:t>"Manhattan is hardest at 35.2% MedAPE. Co-op board approval discounts and unobservable interior finishes create heterogeneity that no tabular dataset can capture."</w:t>
      </w:r>
    </w:p>
    <w:p>
      <w:r>
        <w:rPr>
          <w:b/>
        </w:rPr>
        <w:t>[Arabic]</w:t>
      </w:r>
    </w:p>
    <w:p>
      <w:r>
        <w:t>"لوحة التحليلات تُظهر أداء النموذج مقسّماً حسب منطقة نيويورك وشريحة السعر."</w:t>
        <w:br/>
        <w:br/>
        <w:t>"لاحظوا مفارقة ستاتن آيلاند: أقل R² لكن أفضل MedAPE."</w:t>
      </w:r>
    </w:p>
    <w:p/>
    <w:p>
      <w:pPr>
        <w:pStyle w:val="Heading1"/>
      </w:pPr>
      <w:r>
        <w:t>Step 6 — Q&amp;A Talking Points / Closing (1 minute)</w:t>
      </w:r>
    </w:p>
    <w:p>
      <w:r>
        <w:rPr>
          <w:b/>
        </w:rPr>
        <w:t xml:space="preserve">Stage note: </w:t>
      </w:r>
      <w:r>
        <w:rPr>
          <w:i/>
        </w:rPr>
        <w:t>Use this minute as a buffer or for closing summary.</w:t>
      </w:r>
    </w:p>
    <w:p>
      <w:r>
        <w:rPr>
          <w:b/>
        </w:rPr>
        <w:t>[English closing]</w:t>
      </w:r>
    </w:p>
    <w:p>
      <w:r>
        <w:t>"To summarise: THAMAN is a production-deployed AVM across two cities — New York and Riyadh — using a four-model stacking ensemble across 134 and 149 features respectively. It achieves competitive accuracy on 27,763 held-out NYC sales and demonstrates cross-market generalisability on Saudi Arabia's data-scarce district-aggregate market. The full system — data pipelines, training code, API, and web interface — is deployed on Hugging Face and open-sourced on GitHub. Thank you."</w:t>
      </w:r>
    </w:p>
    <w:p>
      <w:r>
        <w:rPr>
          <w:b/>
        </w:rPr>
        <w:t>[Arabic closing]</w:t>
      </w:r>
    </w:p>
    <w:p>
      <w:r>
        <w:t>"خلاصة القول: ثمان نظام تقييم عقاري منتشر فعلياً لمدينتين، يستخدم مجموعة من أربعة نماذج ذكاء اصطناعي عبر مئة وأربع ميزات في نيويورك، وستة وسبعين ميزة في الرياض. شكراً."</w:t>
      </w:r>
    </w:p>
    <w:p/>
    <w:p>
      <w:pPr>
        <w:pStyle w:val="Heading1"/>
      </w:pPr>
      <w:r>
        <w:t>Fallback Protocol (if Hugging Face is slow)</w:t>
      </w:r>
    </w:p>
    <w:p>
      <w:pPr>
        <w:pStyle w:val="ListNumber"/>
      </w:pPr>
      <w:r>
        <w:t>Say: 'The deployed version is loading from cold start — common with Hugging Face Spaces after inactivity. While it loads, I'll walk through the architecture.'</w:t>
      </w:r>
    </w:p>
    <w:p>
      <w:pPr>
        <w:pStyle w:val="ListNumber"/>
      </w:pPr>
      <w:r>
        <w:t>Switch to showing the paper/slides and explain the model architecture verbally.</w:t>
      </w:r>
    </w:p>
    <w:p>
      <w:pPr>
        <w:pStyle w:val="ListNumber"/>
      </w:pPr>
      <w:r>
        <w:t>Keep refreshing the HF tab in the background — typically loads in 45–90 seconds.</w:t>
      </w:r>
    </w:p>
    <w:p>
      <w:pPr>
        <w:pStyle w:val="ListNumber"/>
      </w:pPr>
      <w:r>
        <w:t>If HF completely unavailable: open Terminal and run:</w:t>
        <w:br/>
        <w:t xml:space="preserve">    cd /Users/totam/Desktop/THAMAN/new_try &amp;&amp; uvicorn api.main:app --port 8000</w:t>
        <w:br/>
        <w:t xml:space="preserve">    Then open: http://localhost:8000/ui</w:t>
      </w:r>
    </w:p>
    <w:p>
      <w:pPr>
        <w:pStyle w:val="ListNumber"/>
      </w:pPr>
      <w:r>
        <w:t>API startup time: ~30 seconds (spatial KD-tree indexes loading).</w:t>
      </w:r>
    </w:p>
    <w:p>
      <w:pPr>
        <w:pStyle w:val="Heading1"/>
      </w:pPr>
      <w:r>
        <w:t>Key Numbers to Memorise</w:t>
      </w:r>
    </w:p>
    <w:p>
      <w:r>
        <w:rPr>
          <w:b/>
        </w:rPr>
        <w:t>Print this section and keep it in your pocket.</w:t>
      </w:r>
    </w:p>
    <w:p>
      <w:pPr>
        <w:jc w:val="center"/>
      </w:pPr>
      <w:r>
        <w:rPr>
          <w:i/>
          <w:sz w:val="20"/>
        </w:rPr>
        <w:t>Table: 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Context</w:t>
            </w:r>
          </w:p>
        </w:tc>
      </w:tr>
      <w:tr>
        <w:tc>
          <w:tcPr>
            <w:tcW w:type="dxa" w:w="3041"/>
          </w:tcPr>
          <w:p>
            <w:r>
              <w:t>NYC training rows</w:t>
            </w:r>
          </w:p>
        </w:tc>
        <w:tc>
          <w:tcPr>
            <w:tcW w:type="dxa" w:w="3041"/>
          </w:tcPr>
          <w:p>
            <w:r>
              <w:t>185,092</w:t>
            </w:r>
          </w:p>
        </w:tc>
        <w:tc>
          <w:tcPr>
            <w:tcW w:type="dxa" w:w="3041"/>
          </w:tcPr>
          <w:p>
            <w:r>
              <w:t>Sales 2022–2026</w:t>
            </w:r>
          </w:p>
        </w:tc>
      </w:tr>
      <w:tr>
        <w:tc>
          <w:tcPr>
            <w:tcW w:type="dxa" w:w="3041"/>
          </w:tcPr>
          <w:p>
            <w:r>
              <w:t>NYC features</w:t>
            </w:r>
          </w:p>
        </w:tc>
        <w:tc>
          <w:tcPr>
            <w:tcW w:type="dxa" w:w="3041"/>
          </w:tcPr>
          <w:p>
            <w:r>
              <w:t>134</w:t>
            </w:r>
          </w:p>
        </w:tc>
        <w:tc>
          <w:tcPr>
            <w:tcW w:type="dxa" w:w="3041"/>
          </w:tcPr>
          <w:p>
            <w:r>
              <w:t>Structural + spatial + QoL</w:t>
            </w:r>
          </w:p>
        </w:tc>
      </w:tr>
      <w:tr>
        <w:tc>
          <w:tcPr>
            <w:tcW w:type="dxa" w:w="3041"/>
          </w:tcPr>
          <w:p>
            <w:r>
              <w:t>NYC holdout rows</w:t>
            </w:r>
          </w:p>
        </w:tc>
        <w:tc>
          <w:tcPr>
            <w:tcW w:type="dxa" w:w="3041"/>
          </w:tcPr>
          <w:p>
            <w:r>
              <w:t>27,763</w:t>
            </w:r>
          </w:p>
        </w:tc>
        <w:tc>
          <w:tcPr>
            <w:tcW w:type="dxa" w:w="3041"/>
          </w:tcPr>
          <w:p>
            <w:r>
              <w:t>Newest 15% by date</w:t>
            </w:r>
          </w:p>
        </w:tc>
      </w:tr>
      <w:tr>
        <w:tc>
          <w:tcPr>
            <w:tcW w:type="dxa" w:w="3041"/>
          </w:tcPr>
          <w:p>
            <w:r>
              <w:t>NYC R² (holdout)</w:t>
            </w:r>
          </w:p>
        </w:tc>
        <w:tc>
          <w:tcPr>
            <w:tcW w:type="dxa" w:w="3041"/>
          </w:tcPr>
          <w:p>
            <w:r>
              <w:t>0.6495</w:t>
            </w:r>
          </w:p>
        </w:tc>
        <w:tc>
          <w:tcPr>
            <w:tcW w:type="dxa" w:w="3041"/>
          </w:tcPr>
          <w:p>
            <w:r>
              <w:t>Stack v22</w:t>
            </w:r>
          </w:p>
        </w:tc>
      </w:tr>
      <w:tr>
        <w:tc>
          <w:tcPr>
            <w:tcW w:type="dxa" w:w="3041"/>
          </w:tcPr>
          <w:p>
            <w:r>
              <w:t>NYC MedAPE (holdout)</w:t>
            </w:r>
          </w:p>
        </w:tc>
        <w:tc>
          <w:tcPr>
            <w:tcW w:type="dxa" w:w="3041"/>
          </w:tcPr>
          <w:p>
            <w:r>
              <w:t>20.32%</w:t>
            </w:r>
          </w:p>
        </w:tc>
        <w:tc>
          <w:tcPr>
            <w:tcW w:type="dxa" w:w="3041"/>
          </w:tcPr>
          <w:p>
            <w:r>
              <w:t>Stack v22</w:t>
            </w:r>
          </w:p>
        </w:tc>
      </w:tr>
      <w:tr>
        <w:tc>
          <w:tcPr>
            <w:tcW w:type="dxa" w:w="3041"/>
          </w:tcPr>
          <w:p>
            <w:r>
              <w:t>Riyadh total rows</w:t>
            </w:r>
          </w:p>
        </w:tc>
        <w:tc>
          <w:tcPr>
            <w:tcW w:type="dxa" w:w="3041"/>
          </w:tcPr>
          <w:p>
            <w:r>
              <w:t>6,910</w:t>
            </w:r>
          </w:p>
        </w:tc>
        <w:tc>
          <w:tcPr>
            <w:tcW w:type="dxa" w:w="3041"/>
          </w:tcPr>
          <w:p>
            <w:r>
              <w:t>District-quarter obs., 2018–2025</w:t>
            </w:r>
          </w:p>
        </w:tc>
      </w:tr>
      <w:tr>
        <w:tc>
          <w:tcPr>
            <w:tcW w:type="dxa" w:w="3041"/>
          </w:tcPr>
          <w:p>
            <w:r>
              <w:t>Riyadh training rows</w:t>
            </w:r>
          </w:p>
        </w:tc>
        <w:tc>
          <w:tcPr>
            <w:tcW w:type="dxa" w:w="3041"/>
          </w:tcPr>
          <w:p>
            <w:r>
              <w:t>5,531</w:t>
            </w:r>
          </w:p>
        </w:tc>
        <w:tc>
          <w:tcPr>
            <w:tcW w:type="dxa" w:w="3041"/>
          </w:tcPr>
          <w:p>
            <w:r>
              <w:t>2018–2024 (incl. Metro-era)</w:t>
            </w:r>
          </w:p>
        </w:tc>
      </w:tr>
      <w:tr>
        <w:tc>
          <w:tcPr>
            <w:tcW w:type="dxa" w:w="3041"/>
          </w:tcPr>
          <w:p>
            <w:r>
              <w:t>Riyadh features</w:t>
            </w:r>
          </w:p>
        </w:tc>
        <w:tc>
          <w:tcPr>
            <w:tcW w:type="dxa" w:w="3041"/>
          </w:tcPr>
          <w:p>
            <w:r>
              <w:t>76</w:t>
            </w:r>
          </w:p>
        </w:tc>
        <w:tc>
          <w:tcPr>
            <w:tcW w:type="dxa" w:w="3041"/>
          </w:tcPr>
          <w:p>
            <w:r>
              <w:t>Transit, QoL, macro, rental</w:t>
            </w:r>
          </w:p>
        </w:tc>
      </w:tr>
      <w:tr>
        <w:tc>
          <w:tcPr>
            <w:tcW w:type="dxa" w:w="3041"/>
          </w:tcPr>
          <w:p>
            <w:r>
              <w:t>Riyadh OOF R²</w:t>
            </w:r>
          </w:p>
        </w:tc>
        <w:tc>
          <w:tcPr>
            <w:tcW w:type="dxa" w:w="3041"/>
          </w:tcPr>
          <w:p>
            <w:r>
              <w:t>0.9348</w:t>
            </w:r>
          </w:p>
        </w:tc>
        <w:tc>
          <w:tcPr>
            <w:tcW w:type="dxa" w:w="3041"/>
          </w:tcPr>
          <w:p>
            <w:r>
              <w:t>5-fold spatial GroupKFold</w:t>
            </w:r>
          </w:p>
        </w:tc>
      </w:tr>
      <w:tr>
        <w:tc>
          <w:tcPr>
            <w:tcW w:type="dxa" w:w="3041"/>
          </w:tcPr>
          <w:p>
            <w:r>
              <w:t>Riyadh OOF MedAPE</w:t>
            </w:r>
          </w:p>
        </w:tc>
        <w:tc>
          <w:tcPr>
            <w:tcW w:type="dxa" w:w="3041"/>
          </w:tcPr>
          <w:p>
            <w:r>
              <w:t>8.25%</w:t>
            </w:r>
          </w:p>
        </w:tc>
        <w:tc>
          <w:tcPr>
            <w:tcW w:type="dxa" w:w="3041"/>
          </w:tcPr>
          <w:p>
            <w:r>
              <w:t>In-sample cross-validation</w:t>
            </w:r>
          </w:p>
        </w:tc>
      </w:tr>
      <w:tr>
        <w:tc>
          <w:tcPr>
            <w:tcW w:type="dxa" w:w="3041"/>
          </w:tcPr>
          <w:p>
            <w:r>
              <w:t>Riyadh holdout R²</w:t>
            </w:r>
          </w:p>
        </w:tc>
        <w:tc>
          <w:tcPr>
            <w:tcW w:type="dxa" w:w="3041"/>
          </w:tcPr>
          <w:p>
            <w:r>
              <w:t>0.8014</w:t>
            </w:r>
          </w:p>
        </w:tc>
        <w:tc>
          <w:tcPr>
            <w:tcW w:type="dxa" w:w="3041"/>
          </w:tcPr>
          <w:p>
            <w:r>
              <w:t>2025 Q1–Q3, n=1,730</w:t>
            </w:r>
          </w:p>
        </w:tc>
      </w:tr>
      <w:tr>
        <w:tc>
          <w:tcPr>
            <w:tcW w:type="dxa" w:w="3041"/>
          </w:tcPr>
          <w:p>
            <w:r>
              <w:t>Riyadh holdout MedAPE</w:t>
            </w:r>
          </w:p>
        </w:tc>
        <w:tc>
          <w:tcPr>
            <w:tcW w:type="dxa" w:w="3041"/>
          </w:tcPr>
          <w:p>
            <w:r>
              <w:t>15.59%</w:t>
            </w:r>
          </w:p>
        </w:tc>
        <w:tc>
          <w:tcPr>
            <w:tcW w:type="dxa" w:w="3041"/>
          </w:tcPr>
          <w:p>
            <w:r>
              <w:t>Out-of-sample stress test</w:t>
            </w:r>
          </w:p>
        </w:tc>
      </w:tr>
      <w:tr>
        <w:tc>
          <w:tcPr>
            <w:tcW w:type="dxa" w:w="3041"/>
          </w:tcPr>
          <w:p>
            <w:r>
              <w:t>Riyadh holdout MAE</w:t>
            </w:r>
          </w:p>
        </w:tc>
        <w:tc>
          <w:tcPr>
            <w:tcW w:type="dxa" w:w="3041"/>
          </w:tcPr>
          <w:p>
            <w:r>
              <w:t>986 SAR/m²</w:t>
            </w:r>
          </w:p>
        </w:tc>
        <w:tc>
          <w:tcPr>
            <w:tcW w:type="dxa" w:w="3041"/>
          </w:tcPr>
          <w:p>
            <w:r>
              <w:t>Out-of-sample stress test</w:t>
            </w:r>
          </w:p>
        </w:tc>
      </w:tr>
      <w:tr>
        <w:tc>
          <w:tcPr>
            <w:tcW w:type="dxa" w:w="3041"/>
          </w:tcPr>
          <w:p>
            <w:r>
              <w:t>Haraj validation MedAPE</w:t>
            </w:r>
          </w:p>
        </w:tc>
        <w:tc>
          <w:tcPr>
            <w:tcW w:type="dxa" w:w="3041"/>
          </w:tcPr>
          <w:p>
            <w:r>
              <w:t>54.33%</w:t>
            </w:r>
          </w:p>
        </w:tc>
        <w:tc>
          <w:tcPr>
            <w:tcW w:type="dxa" w:w="3041"/>
          </w:tcPr>
          <w:p>
            <w:r>
              <w:t>Asking vs. transaction (expected)</w:t>
            </w:r>
          </w:p>
        </w:tc>
      </w:tr>
      <w:tr>
        <w:tc>
          <w:tcPr>
            <w:tcW w:type="dxa" w:w="3041"/>
          </w:tcPr>
          <w:p>
            <w:r>
              <w:t>Haraj listings</w:t>
            </w:r>
          </w:p>
        </w:tc>
        <w:tc>
          <w:tcPr>
            <w:tcW w:type="dxa" w:w="3041"/>
          </w:tcPr>
          <w:p>
            <w:r>
              <w:t>1,615</w:t>
            </w:r>
          </w:p>
        </w:tc>
        <w:tc>
          <w:tcPr>
            <w:tcW w:type="dxa" w:w="3041"/>
          </w:tcPr>
          <w:p>
            <w:r>
              <w:t>444 apts, 630 villas, 526 plots</w:t>
            </w:r>
          </w:p>
        </w:tc>
      </w:tr>
      <w:tr>
        <w:tc>
          <w:tcPr>
            <w:tcW w:type="dxa" w:w="3041"/>
          </w:tcPr>
          <w:p>
            <w:r>
              <w:t>NYC NTA groups</w:t>
            </w:r>
          </w:p>
        </w:tc>
        <w:tc>
          <w:tcPr>
            <w:tcW w:type="dxa" w:w="3041"/>
          </w:tcPr>
          <w:p>
            <w:r>
              <w:t>212</w:t>
            </w:r>
          </w:p>
        </w:tc>
        <w:tc>
          <w:tcPr>
            <w:tcW w:type="dxa" w:w="3041"/>
          </w:tcPr>
          <w:p>
            <w:r>
              <w:t>Neighbourhood spatial units</w:t>
            </w:r>
          </w:p>
        </w:tc>
      </w:tr>
      <w:tr>
        <w:tc>
          <w:tcPr>
            <w:tcW w:type="dxa" w:w="3041"/>
          </w:tcPr>
          <w:p>
            <w:r>
              <w:t>Riyadh district polygons</w:t>
            </w:r>
          </w:p>
        </w:tc>
        <w:tc>
          <w:tcPr>
            <w:tcW w:type="dxa" w:w="3041"/>
          </w:tcPr>
          <w:p>
            <w:r>
              <w:t>133</w:t>
            </w:r>
          </w:p>
        </w:tc>
        <w:tc>
          <w:tcPr>
            <w:tcW w:type="dxa" w:w="3041"/>
          </w:tcPr>
          <w:p>
            <w:r>
              <w:t>From OSM admin_level=10</w:t>
            </w:r>
          </w:p>
        </w:tc>
      </w:tr>
      <w:tr>
        <w:tc>
          <w:tcPr>
            <w:tcW w:type="dxa" w:w="3041"/>
          </w:tcPr>
          <w:p>
            <w:r>
              <w:t>API latency</w:t>
            </w:r>
          </w:p>
        </w:tc>
        <w:tc>
          <w:tcPr>
            <w:tcW w:type="dxa" w:w="3041"/>
          </w:tcPr>
          <w:p>
            <w:r>
              <w:t>200–400 ms</w:t>
            </w:r>
          </w:p>
        </w:tc>
        <w:tc>
          <w:tcPr>
            <w:tcW w:type="dxa" w:w="3041"/>
          </w:tcPr>
          <w:p>
            <w:r>
              <w:t>Including SHAP computation</w:t>
            </w:r>
          </w:p>
        </w:tc>
      </w:tr>
      <w:tr>
        <w:tc>
          <w:tcPr>
            <w:tcW w:type="dxa" w:w="3041"/>
          </w:tcPr>
          <w:p>
            <w:r>
              <w:t>Automated tests</w:t>
            </w:r>
          </w:p>
        </w:tc>
        <w:tc>
          <w:tcPr>
            <w:tcW w:type="dxa" w:w="3041"/>
          </w:tcPr>
          <w:p>
            <w:r>
              <w:t>109</w:t>
            </w:r>
          </w:p>
        </w:tc>
        <w:tc>
          <w:tcPr>
            <w:tcW w:type="dxa" w:w="3041"/>
          </w:tcPr>
          <w:p>
            <w:r>
              <w:t>api, scorer, parity, SHAP, pins, golden, distribution, load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