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Building class and neighbourhood encoding are the top two features — consistent with NYC real estate: where you are and what type of building matter more than size alone."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metro access, commercial density, air quality, and district price history are the top drivers."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R²=0.9348, MedAPE=8.25% — model genuinely learned Saudi market structure.</w:t>
        <w:br/>
        <w:t>Holdout Q1–Q3 2025: R²=0.8014, MedAPE=15.59%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lowest R²=0.41 but best MedAPE=13.5%. Staten Island has very low price variance; the model's absolute errors are small, but R² penalises a low-variance target. MedAPE is the right metric for a user-facing AVM."</w:t>
        <w:br/>
        <w:br/>
        <w:t>"Manhattan is hardest at 36.7%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104 and 76 features respectively. It achieves competitive accuracy on NYC's 185,000-sale holdout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104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0.6450</w:t>
            </w:r>
          </w:p>
        </w:tc>
        <w:tc>
          <w:tcPr>
            <w:tcW w:type="dxa" w:w="3041"/>
          </w:tcPr>
          <w:p>
            <w:r>
              <w:t>Stack v11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v11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0.9348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8.25%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  <w:tc>
          <w:tcPr>
            <w:tcW w:type="dxa" w:w="3041"/>
          </w:tcPr>
          <w:p>
            <w:r>
              <w:t>2025 Q1–Q3, n=1,730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986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</w:t>
            </w:r>
          </w:p>
        </w:tc>
        <w:tc>
          <w:tcPr>
            <w:tcW w:type="dxa" w:w="3041"/>
          </w:tcPr>
          <w:p>
            <w:r>
              <w:t>Including SHAP computation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37</w:t>
            </w:r>
          </w:p>
        </w:tc>
        <w:tc>
          <w:tcPr>
            <w:tcW w:type="dxa" w:w="3041"/>
          </w:tcPr>
          <w:p>
            <w:r>
              <w:t>15 scorer + 22 API tests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