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6"/>
        </w:rPr>
        <w:t>THAMAN: A DUAL-CITY AUTOMATED VALUATION MODEL</w:t>
        <w:br/>
        <w:t>FOR NEW YORK CITY AND RIYADH</w:t>
      </w:r>
    </w:p>
    <w:p>
      <w:pPr>
        <w:jc w:val="center"/>
      </w:pPr>
      <w:r>
        <w:rPr>
          <w:i/>
          <w:sz w:val="26"/>
        </w:rPr>
        <w:t>Using Ensemble Machine Learning and Quality-of-Life Spatial Indicators</w:t>
      </w:r>
    </w:p>
    <w:p/>
    <w:p>
      <w:pPr>
        <w:jc w:val="center"/>
      </w:pPr>
      <w:r>
        <w:rPr>
          <w:sz w:val="22"/>
        </w:rPr>
        <w:t>Turki Almurahhem</w:t>
      </w:r>
    </w:p>
    <w:p>
      <w:pPr>
        <w:jc w:val="center"/>
      </w:pPr>
      <w:r>
        <w:rPr>
          <w:sz w:val="22"/>
        </w:rPr>
        <w:t>Umm Al-Qura University</w:t>
      </w:r>
    </w:p>
    <w:p>
      <w:pPr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paper presents THAMAN, an Automated Valuation Model (AVM) for estimating residential property prices across New York City's five boroughs. The system integrates structural property attributes with spatial Quality-of-Life (QoL) indicators—including proximity to transit, crime rates, income demographics, points-of-interest density, building health signals, and MTA station quality—into a four-model stacked ensemble comprising two XGBoost models, LightGBM, and CatBoost, blended by a Ridge meta-learner.</w:t>
      </w:r>
    </w:p>
    <w:p>
      <w:r>
        <w:t>Trained on 185,092 NYC property sales from 2022 to 2026, the final model (Stack v22) achieves R² = 0.6495 and Median Absolute Percentage Error (MedAPE) of 20.32% on a time-based holdout set of 27,763 unseen sales across 134 features, including a novel NTA price trend slope feature and ten new building health and mobility indicators (HPD violations, DOB permits, 311 complaint density, MTA station quality).</w:t>
      </w:r>
    </w:p>
    <w:p>
      <w:r>
        <w:t>The system is extended to Riyadh, Saudi Arabia, as a parallel AVM trained on 6,910 district-level real estate transactions (2018–2025). The Riyadh stack achieves OOF R² = 0.9348 / MedAPE = 8.25% and holdout R² = 0.8014 / MedAPE = 15.59% on a 2025 Q1–Q3 out-of-sample test set of 1,730 district-quarter observations.</w:t>
      </w:r>
    </w:p>
    <w:p>
      <w:r>
        <w:rPr>
          <w:b/>
        </w:rPr>
        <w:t xml:space="preserve">Keywords: </w:t>
      </w:r>
      <w:r>
        <w:t>automated valuation model, ensemble learning, XGBoost, LightGBM, CatBoost, stacking, target encoding, spatial features, SHAP, New York City, Riyadh, Saudi Arabia, dual-city AVM, real estate, quality of life indicators.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Motivation</w:t>
      </w:r>
    </w:p>
    <w:p>
      <w:r>
        <w:t>Property valuation is a central task in real estate finance, mortgage underwriting, and urban policy. Traditional appraisal is slow (days to weeks), expensive ($300–$500 per appraisal), and subject to appraiser bias. Automated Valuation Models (AVMs) use statistical and machine learning methods to produce instant price estimates at near-zero marginal cost.</w:t>
      </w:r>
    </w:p>
    <w:p>
      <w:r>
        <w:t>Existing commercial AVMs (Zillow Zestimate, Redfin Estimate, CoreLogic) are proprietary and opaque. This project addresses four gaps: (1) small datasets in prior NYC-focused models; (2) QoL spatial indicators rarely integrated end-to-end; (3) binary AVM confidence communication; (4) ignored neighbourhood price momentum.</w:t>
      </w:r>
    </w:p>
    <w:p>
      <w:pPr>
        <w:pStyle w:val="Heading2"/>
      </w:pPr>
      <w:r>
        <w:t>1.2 Research Questions</w:t>
      </w:r>
    </w:p>
    <w:p>
      <w:pPr>
        <w:pStyle w:val="ListBullet"/>
      </w:pPr>
      <w:r>
        <w:t>RQ1: Can a stacked ensemble of gradient boosted trees outperform a single XGBoost baseline on NYC residential property price prediction?</w:t>
      </w:r>
    </w:p>
    <w:p>
      <w:pPr>
        <w:pStyle w:val="ListBullet"/>
      </w:pPr>
      <w:r>
        <w:t>RQ2: Do neighbourhood-level spatial QoL features improve prediction accuracy over structural attributes alone?</w:t>
      </w:r>
    </w:p>
    <w:p>
      <w:pPr>
        <w:pStyle w:val="ListBullet"/>
      </w:pPr>
      <w:r>
        <w:t>RQ3: How should confidence intervals be communicated to reflect heterogeneous predictability across boroughs and price tiers?</w:t>
      </w:r>
    </w:p>
    <w:p>
      <w:pPr>
        <w:pStyle w:val="ListBullet"/>
      </w:pPr>
      <w:r>
        <w:t>RQ4: Does incorporating NTA price appreciation momentum (NTA price trend slope) further improve model accuracy?</w:t>
      </w:r>
    </w:p>
    <w:p>
      <w:pPr>
        <w:pStyle w:val="ListBullet"/>
      </w:pPr>
      <w:r>
        <w:t>RQ5: Can the same stacking architecture generalise to a data-scarce emerging market (Riyadh)?</w:t>
      </w:r>
    </w:p>
    <w:p>
      <w:pPr>
        <w:pStyle w:val="Heading2"/>
      </w:pPr>
      <w:r>
        <w:t>1.3 Contributions</w:t>
      </w:r>
    </w:p>
    <w:p>
      <w:pPr>
        <w:pStyle w:val="ListBullet"/>
      </w:pPr>
      <w:r>
        <w:t>A full end-to-end AVM pipeline from raw NYC open data to deployed web application.</w:t>
      </w:r>
    </w:p>
    <w:p>
      <w:pPr>
        <w:pStyle w:val="ListBullet"/>
      </w:pPr>
      <w:r>
        <w:t>A 134-feature dataset combining structural, spatial, temporal, neighbourhood momentum, building health, and transit quality signals.</w:t>
      </w:r>
    </w:p>
    <w:p>
      <w:pPr>
        <w:pStyle w:val="ListBullet"/>
      </w:pPr>
      <w:r>
        <w:t>Stack v22: a 4-model ensemble achieving R² = 0.6495 / MedAPE = 20.32% on 27,763 holdout sales.</w:t>
      </w:r>
    </w:p>
    <w:p>
      <w:pPr>
        <w:pStyle w:val="ListBullet"/>
      </w:pPr>
      <w:r>
        <w:t>Segment-adaptive confidence intervals per borough × price tier.</w:t>
      </w:r>
    </w:p>
    <w:p>
      <w:pPr>
        <w:pStyle w:val="ListBullet"/>
      </w:pPr>
      <w:r>
        <w:t>A formal AVM QC block with four risk flags.</w:t>
      </w:r>
    </w:p>
    <w:p>
      <w:pPr>
        <w:pStyle w:val="ListBullet"/>
      </w:pPr>
      <w:r>
        <w:t>A bilingual (English/Arabic) interactive valuation interface with SHAP waterfall plots.</w:t>
      </w:r>
    </w:p>
    <w:p>
      <w:pPr>
        <w:pStyle w:val="ListBullet"/>
      </w:pPr>
      <w:r>
        <w:t>Riyadh Stack v12: holdout R² = 0.8014 / MedAPE = 15.59% on 2025 Q1–Q3 out-of-sample test.</w:t>
      </w:r>
    </w:p>
    <w:p>
      <w:pPr>
        <w:pStyle w:val="Heading1"/>
      </w:pPr>
      <w:r>
        <w:t>2. Related Work</w:t>
      </w:r>
    </w:p>
    <w:p>
      <w:pPr>
        <w:pStyle w:val="Heading2"/>
      </w:pPr>
      <w:r>
        <w:t>2.1 Traditional AVMs</w:t>
      </w:r>
    </w:p>
    <w:p>
      <w:r>
        <w:t>The baseline performance of contemporary commercial AVMs in dense urban cores typically yields a MedAPE between 17.5% and 19.8%. These models routinely struggle with geographic heterogeneity and embed systematic upward biases.</w:t>
      </w:r>
    </w:p>
    <w:p>
      <w:pPr>
        <w:pStyle w:val="Heading2"/>
      </w:pPr>
      <w:r>
        <w:t>2.2 Hedonic Price Models</w:t>
      </w:r>
    </w:p>
    <w:p>
      <w:r>
        <w:t>The hedonic pricing framework (Rosen, 1974) decomposes property price into implicit prices of constituent attributes. OLS regression on structural features typically achieves R² of 0.5–0.65 on urban datasets.</w:t>
      </w:r>
    </w:p>
    <w:p>
      <w:pPr>
        <w:pStyle w:val="Heading2"/>
      </w:pPr>
      <w:r>
        <w:t>2.3 Machine Learning for Property Valuation</w:t>
      </w:r>
    </w:p>
    <w:p>
      <w:r>
        <w:t>XGBoost (Chen &amp; Guestrin, 2016), LightGBM (Ke et al., 2017), and CatBoost (Prokhorenkova et al., 2018) consistently outperform OLS on tabular real estate data. Ensemble stacking further improves accuracy (Wolpert, 1992; Breiman, 1996).</w:t>
      </w:r>
    </w:p>
    <w:p>
      <w:pPr>
        <w:pStyle w:val="Heading2"/>
      </w:pPr>
      <w:r>
        <w:t>2.4 Spatial and QoL Features</w:t>
      </w:r>
    </w:p>
    <w:p>
      <w:r>
        <w:t>Proximity to transit, parks (Lutzenhiser &amp; Netusil, 2001), schools (Black, 1999), and crime rates (Ihlanfeldt &amp; Mayock, 2010) have all been shown to capitalise into residential prices.</w:t>
      </w:r>
    </w:p>
    <w:p>
      <w:pPr>
        <w:pStyle w:val="Heading1"/>
      </w:pPr>
      <w:r>
        <w:t>3. Data</w:t>
      </w:r>
    </w:p>
    <w:p>
      <w:pPr>
        <w:pStyle w:val="Heading2"/>
      </w:pPr>
      <w:r>
        <w:t>3.1 Primary Dataset: NYC Citywide Rolling Calendar Sales</w:t>
      </w:r>
    </w:p>
    <w:p>
      <w:r>
        <w:t>Source: NYC Open Data. Period: January 2022 – January 2026. Records: 185,092 residential sales after cleaning. Target: sale_price (USD total).</w:t>
      </w:r>
    </w:p>
    <w:p>
      <w:pPr>
        <w:jc w:val="center"/>
      </w:pPr>
      <w:r>
        <w:rPr>
          <w:i/>
          <w:sz w:val="20"/>
        </w:rPr>
        <w:t>Table: NYC Sales Distribution by Borough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Borough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Sales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Share</w:t>
            </w:r>
          </w:p>
        </w:tc>
      </w:tr>
      <w:tr>
        <w:tc>
          <w:tcPr>
            <w:tcW w:type="dxa" w:w="3041"/>
          </w:tcPr>
          <w:p>
            <w:r>
              <w:t>Manhattan</w:t>
            </w:r>
          </w:p>
        </w:tc>
        <w:tc>
          <w:tcPr>
            <w:tcW w:type="dxa" w:w="3041"/>
          </w:tcPr>
          <w:p>
            <w:r>
              <w:t>46,621</w:t>
            </w:r>
          </w:p>
        </w:tc>
        <w:tc>
          <w:tcPr>
            <w:tcW w:type="dxa" w:w="3041"/>
          </w:tcPr>
          <w:p>
            <w:r>
              <w:t>25.2%</w:t>
            </w:r>
          </w:p>
        </w:tc>
      </w:tr>
      <w:tr>
        <w:tc>
          <w:tcPr>
            <w:tcW w:type="dxa" w:w="3041"/>
          </w:tcPr>
          <w:p>
            <w:r>
              <w:t>Bronx</w:t>
            </w:r>
          </w:p>
        </w:tc>
        <w:tc>
          <w:tcPr>
            <w:tcW w:type="dxa" w:w="3041"/>
          </w:tcPr>
          <w:p>
            <w:r>
              <w:t>15,158</w:t>
            </w:r>
          </w:p>
        </w:tc>
        <w:tc>
          <w:tcPr>
            <w:tcW w:type="dxa" w:w="3041"/>
          </w:tcPr>
          <w:p>
            <w:r>
              <w:t>8.2%</w:t>
            </w:r>
          </w:p>
        </w:tc>
      </w:tr>
      <w:tr>
        <w:tc>
          <w:tcPr>
            <w:tcW w:type="dxa" w:w="3041"/>
          </w:tcPr>
          <w:p>
            <w:r>
              <w:t>Brooklyn</w:t>
            </w:r>
          </w:p>
        </w:tc>
        <w:tc>
          <w:tcPr>
            <w:tcW w:type="dxa" w:w="3041"/>
          </w:tcPr>
          <w:p>
            <w:r>
              <w:t>48,105</w:t>
            </w:r>
          </w:p>
        </w:tc>
        <w:tc>
          <w:tcPr>
            <w:tcW w:type="dxa" w:w="3041"/>
          </w:tcPr>
          <w:p>
            <w:r>
              <w:t>26.0%</w:t>
            </w:r>
          </w:p>
        </w:tc>
      </w:tr>
      <w:tr>
        <w:tc>
          <w:tcPr>
            <w:tcW w:type="dxa" w:w="3041"/>
          </w:tcPr>
          <w:p>
            <w:r>
              <w:t>Queens</w:t>
            </w:r>
          </w:p>
        </w:tc>
        <w:tc>
          <w:tcPr>
            <w:tcW w:type="dxa" w:w="3041"/>
          </w:tcPr>
          <w:p>
            <w:r>
              <w:t>57,070</w:t>
            </w:r>
          </w:p>
        </w:tc>
        <w:tc>
          <w:tcPr>
            <w:tcW w:type="dxa" w:w="3041"/>
          </w:tcPr>
          <w:p>
            <w:r>
              <w:t>30.8%</w:t>
            </w:r>
          </w:p>
        </w:tc>
      </w:tr>
      <w:tr>
        <w:tc>
          <w:tcPr>
            <w:tcW w:type="dxa" w:w="3041"/>
          </w:tcPr>
          <w:p>
            <w:r>
              <w:t>Staten Island</w:t>
            </w:r>
          </w:p>
        </w:tc>
        <w:tc>
          <w:tcPr>
            <w:tcW w:type="dxa" w:w="3041"/>
          </w:tcPr>
          <w:p>
            <w:r>
              <w:t>18,138</w:t>
            </w:r>
          </w:p>
        </w:tc>
        <w:tc>
          <w:tcPr>
            <w:tcW w:type="dxa" w:w="3041"/>
          </w:tcPr>
          <w:p>
            <w:r>
              <w:t>9.8%</w:t>
            </w:r>
          </w:p>
        </w:tc>
      </w:tr>
    </w:tbl>
    <w:p/>
    <w:p>
      <w:pPr>
        <w:pStyle w:val="Heading2"/>
      </w:pPr>
      <w:r>
        <w:t>3.2 PLUTO 25v4</w:t>
      </w:r>
    </w:p>
    <w:p>
      <w:r>
        <w:t>NYC Department of City Planning. Merged via BBL (Borough-Block-Lot identifier), 98.5% coverage. The assesstot field used to impute prior_sale_price via assesstot ratio method, achieving 98.0% coverage.</w:t>
      </w:r>
    </w:p>
    <w:p>
      <w:pPr>
        <w:pStyle w:val="Heading2"/>
      </w:pPr>
      <w:r>
        <w:t>3.3 Spatial Datasets</w:t>
      </w:r>
    </w:p>
    <w:p>
      <w:pPr>
        <w:jc w:val="center"/>
      </w:pPr>
      <w:r>
        <w:rPr>
          <w:i/>
          <w:sz w:val="20"/>
        </w:rPr>
        <w:t>Table: Spatial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Records</w:t>
            </w:r>
          </w:p>
        </w:tc>
      </w:tr>
      <w:tr>
        <w:tc>
          <w:tcPr>
            <w:tcW w:type="dxa" w:w="3041"/>
          </w:tcPr>
          <w:p>
            <w:r>
              <w:t>Subway stations</w:t>
            </w:r>
          </w:p>
        </w:tc>
        <w:tc>
          <w:tcPr>
            <w:tcW w:type="dxa" w:w="3041"/>
          </w:tcPr>
          <w:p>
            <w:r>
              <w:t>MTA / NYC Open Data</w:t>
            </w:r>
          </w:p>
        </w:tc>
        <w:tc>
          <w:tcPr>
            <w:tcW w:type="dxa" w:w="3041"/>
          </w:tcPr>
          <w:p>
            <w:r>
              <w:t>472</w:t>
            </w:r>
          </w:p>
        </w:tc>
      </w:tr>
      <w:tr>
        <w:tc>
          <w:tcPr>
            <w:tcW w:type="dxa" w:w="3041"/>
          </w:tcPr>
          <w:p>
            <w:r>
              <w:t>Bus stops</w:t>
            </w:r>
          </w:p>
        </w:tc>
        <w:tc>
          <w:tcPr>
            <w:tcW w:type="dxa" w:w="3041"/>
          </w:tcPr>
          <w:p>
            <w:r>
              <w:t>MTA GTFS</w:t>
            </w:r>
          </w:p>
        </w:tc>
        <w:tc>
          <w:tcPr>
            <w:tcW w:type="dxa" w:w="3041"/>
          </w:tcPr>
          <w:p>
            <w:r>
              <w:t>16,904</w:t>
            </w:r>
          </w:p>
        </w:tc>
      </w:tr>
      <w:tr>
        <w:tc>
          <w:tcPr>
            <w:tcW w:type="dxa" w:w="3041"/>
          </w:tcPr>
          <w:p>
            <w:r>
              <w:t>Parks properties</w:t>
            </w:r>
          </w:p>
        </w:tc>
        <w:tc>
          <w:tcPr>
            <w:tcW w:type="dxa" w:w="3041"/>
          </w:tcPr>
          <w:p>
            <w:r>
              <w:t>NYC Parks Dept</w:t>
            </w:r>
          </w:p>
        </w:tc>
        <w:tc>
          <w:tcPr>
            <w:tcW w:type="dxa" w:w="3041"/>
          </w:tcPr>
          <w:p>
            <w:r>
              <w:t>2,058</w:t>
            </w:r>
          </w:p>
        </w:tc>
      </w:tr>
      <w:tr>
        <w:tc>
          <w:tcPr>
            <w:tcW w:type="dxa" w:w="3041"/>
          </w:tcPr>
          <w:p>
            <w:r>
              <w:t>Public schools (HS)</w:t>
            </w:r>
          </w:p>
        </w:tc>
        <w:tc>
          <w:tcPr>
            <w:tcW w:type="dxa" w:w="3041"/>
          </w:tcPr>
          <w:p>
            <w:r>
              <w:t>NYC DOE</w:t>
            </w:r>
          </w:p>
        </w:tc>
        <w:tc>
          <w:tcPr>
            <w:tcW w:type="dxa" w:w="3041"/>
          </w:tcPr>
          <w:p>
            <w:r>
              <w:t>427</w:t>
            </w:r>
          </w:p>
        </w:tc>
      </w:tr>
      <w:tr>
        <w:tc>
          <w:tcPr>
            <w:tcW w:type="dxa" w:w="3041"/>
          </w:tcPr>
          <w:p>
            <w:r>
              <w:t>Hospital facilities</w:t>
            </w:r>
          </w:p>
        </w:tc>
        <w:tc>
          <w:tcPr>
            <w:tcW w:type="dxa" w:w="3041"/>
          </w:tcPr>
          <w:p>
            <w:r>
              <w:t>NYC DOHMH</w:t>
            </w:r>
          </w:p>
        </w:tc>
        <w:tc>
          <w:tcPr>
            <w:tcW w:type="dxa" w:w="3041"/>
          </w:tcPr>
          <w:p>
            <w:r>
              <w:t>180</w:t>
            </w:r>
          </w:p>
        </w:tc>
      </w:tr>
      <w:tr>
        <w:tc>
          <w:tcPr>
            <w:tcW w:type="dxa" w:w="3041"/>
          </w:tcPr>
          <w:p>
            <w:r>
              <w:t>Airbnb listings</w:t>
            </w:r>
          </w:p>
        </w:tc>
        <w:tc>
          <w:tcPr>
            <w:tcW w:type="dxa" w:w="3041"/>
          </w:tcPr>
          <w:p>
            <w:r>
              <w:t>Inside Airbnb</w:t>
            </w:r>
          </w:p>
        </w:tc>
        <w:tc>
          <w:tcPr>
            <w:tcW w:type="dxa" w:w="3041"/>
          </w:tcPr>
          <w:p>
            <w:r>
              <w:t>36,261</w:t>
            </w:r>
          </w:p>
        </w:tc>
      </w:tr>
      <w:tr>
        <w:tc>
          <w:tcPr>
            <w:tcW w:type="dxa" w:w="3041"/>
          </w:tcPr>
          <w:p>
            <w:r>
              <w:t>MTA station quality (v11)</w:t>
            </w:r>
          </w:p>
        </w:tc>
        <w:tc>
          <w:tcPr>
            <w:tcW w:type="dxa" w:w="3041"/>
          </w:tcPr>
          <w:p>
            <w:r>
              <w:t>MTA / NYC Open Data</w:t>
            </w:r>
          </w:p>
        </w:tc>
        <w:tc>
          <w:tcPr>
            <w:tcW w:type="dxa" w:w="3041"/>
          </w:tcPr>
          <w:p>
            <w:r>
              <w:t>496</w:t>
            </w:r>
          </w:p>
        </w:tc>
      </w:tr>
      <w:tr>
        <w:tc>
          <w:tcPr>
            <w:tcW w:type="dxa" w:w="3041"/>
          </w:tcPr>
          <w:p>
            <w:r>
              <w:t>HPD violations (v11)</w:t>
            </w:r>
          </w:p>
        </w:tc>
        <w:tc>
          <w:tcPr>
            <w:tcW w:type="dxa" w:w="3041"/>
          </w:tcPr>
          <w:p>
            <w:r>
              <w:t>NYC DOHMH Socrata</w:t>
            </w:r>
          </w:p>
        </w:tc>
        <w:tc>
          <w:tcPr>
            <w:tcW w:type="dxa" w:w="3041"/>
          </w:tcPr>
          <w:p>
            <w:r>
              <w:t>562 ZIP groups</w:t>
            </w:r>
          </w:p>
        </w:tc>
      </w:tr>
      <w:tr>
        <w:tc>
          <w:tcPr>
            <w:tcW w:type="dxa" w:w="3041"/>
          </w:tcPr>
          <w:p>
            <w:r>
              <w:t>311 rodent/heat (v11)</w:t>
            </w:r>
          </w:p>
        </w:tc>
        <w:tc>
          <w:tcPr>
            <w:tcW w:type="dxa" w:w="3041"/>
          </w:tcPr>
          <w:p>
            <w:r>
              <w:t>NYC Open Data</w:t>
            </w:r>
          </w:p>
        </w:tc>
        <w:tc>
          <w:tcPr>
            <w:tcW w:type="dxa" w:w="3041"/>
          </w:tcPr>
          <w:p>
            <w:r>
              <w:t>162,000+</w:t>
            </w:r>
          </w:p>
        </w:tc>
      </w:tr>
    </w:tbl>
    <w:p/>
    <w:p>
      <w:pPr>
        <w:pStyle w:val="Heading1"/>
      </w:pPr>
      <w:r>
        <w:t>4. Feature Engineering</w:t>
      </w:r>
    </w:p>
    <w:p>
      <w:pPr>
        <w:pStyle w:val="Heading2"/>
      </w:pPr>
      <w:r>
        <w:t>4.1 Structural Features</w:t>
      </w:r>
    </w:p>
    <w:p>
      <w:r>
        <w:t>11 structural features including gross_square_feet, land_square_feet, building_age, numfloors, residential_units, log_land_sqft, lot_coverage, bldg_vol_proxy, prior_price_psf, sqft_per_floor, log_sqft_x_floors. Log transformations applied to right-skewed distributions.</w:t>
      </w:r>
    </w:p>
    <w:p>
      <w:pPr>
        <w:pStyle w:val="Heading2"/>
      </w:pPr>
      <w:r>
        <w:t>4.2 Target Encoding</w:t>
      </w:r>
    </w:p>
    <w:p>
      <w:r>
        <w:t>Raw mean encoding (k=0) applied to four categorical features: bldgclass_encoded (175 groups), borough_bldg_encoded (~40 groups), nta_encoded (212 groups), nta_bldg_encoded (2,344 groups). Bayesian smoothing with k=30 was tested and found to degrade the top-ranked SHAP feature by 20–37%, so k=0 was used.</w:t>
      </w:r>
    </w:p>
    <w:p>
      <w:pPr>
        <w:pStyle w:val="Heading2"/>
      </w:pPr>
      <w:r>
        <w:t>4.3 NTA Price Trend Slope (v10)</w:t>
      </w:r>
    </w:p>
    <w:p>
      <w:r>
        <w:t>Log-linear OLS trend per NTA: ln(P_t) = α + β·t + ε. Slope β represents average periodic percentage growth (scale-invariant). Range across 212 NTAs: −2.05 to +1.73. Global median slope: 0.019.</w:t>
      </w:r>
    </w:p>
    <w:p>
      <w:pPr>
        <w:pStyle w:val="Heading2"/>
      </w:pPr>
      <w:r>
        <w:t>4.4 Building Health &amp; Mobility Features (v11)</w:t>
      </w:r>
    </w:p>
    <w:p>
      <w:r>
        <w:t>Ten new features: HPD Class B/C violations and severity score (ZIP-level), DOB renovation/new-building permit counts (ZIP-level), 311 rodent/heat complaint density (NTA-level), MTA station CBD connectivity, route count, and ADA accessibility.</w:t>
      </w:r>
    </w:p>
    <w:p>
      <w:r>
        <w:t>Total features: 104.</w:t>
      </w:r>
    </w:p>
    <w:p>
      <w:pPr>
        <w:pStyle w:val="Heading1"/>
      </w:pPr>
      <w:r>
        <w:t>5. Model Architecture</w:t>
      </w:r>
    </w:p>
    <w:p>
      <w:pPr>
        <w:pStyle w:val="Heading2"/>
      </w:pPr>
      <w:r>
        <w:t>5.1 Data Split</w:t>
      </w:r>
    </w:p>
    <w:p>
      <w:r>
        <w:t>Time-based split (not random): oldest 85% → training (157,329 rows), newest 15% → holdout (27,763 rows). Prevents temporal leakage.</w:t>
      </w:r>
    </w:p>
    <w:p>
      <w:pPr>
        <w:pStyle w:val="Heading2"/>
      </w:pPr>
      <w:r>
        <w:t>5.2 Cross-Validation: Spatial GroupKFold</w:t>
      </w:r>
    </w:p>
    <w:p>
      <w:r>
        <w:t>10-fold Spatial GroupKFold with NTA code as grouping variable. All sales from the same neighbourhood appear in either training or validation—never both. Fold 5 showed R² ≈ 0.37–0.41 (a spatially concentrated anomalous cluster, invisible to random cross-validation).</w:t>
      </w:r>
    </w:p>
    <w:p>
      <w:pPr>
        <w:pStyle w:val="Heading2"/>
      </w:pPr>
      <w:r>
        <w:t>5.3 Base Learners</w:t>
      </w:r>
    </w:p>
    <w:p>
      <w:pPr>
        <w:jc w:val="center"/>
      </w:pPr>
      <w:r>
        <w:rPr>
          <w:i/>
          <w:sz w:val="20"/>
        </w:rPr>
        <w:t>Table: Base learner architectures (all: n_estimators=5000, early_stopping=400)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Architecture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Key hyperparameters</w:t>
            </w:r>
          </w:p>
        </w:tc>
      </w:tr>
      <w:tr>
        <w:tc>
          <w:tcPr>
            <w:tcW w:type="dxa" w:w="3041"/>
          </w:tcPr>
          <w:p>
            <w:r>
              <w:t>XGB-A</w:t>
            </w:r>
          </w:p>
        </w:tc>
        <w:tc>
          <w:tcPr>
            <w:tcW w:type="dxa" w:w="3041"/>
          </w:tcPr>
          <w:p>
            <w:r>
              <w:t>Deep trees</w:t>
            </w:r>
          </w:p>
        </w:tc>
        <w:tc>
          <w:tcPr>
            <w:tcW w:type="dxa" w:w="3041"/>
          </w:tcPr>
          <w:p>
            <w:r>
              <w:t>depth=7, lr=0.02, subsample=0.80, colsample=0.60</w:t>
            </w:r>
          </w:p>
        </w:tc>
      </w:tr>
      <w:tr>
        <w:tc>
          <w:tcPr>
            <w:tcW w:type="dxa" w:w="3041"/>
          </w:tcPr>
          <w:p>
            <w:r>
              <w:t>XGB-B</w:t>
            </w:r>
          </w:p>
        </w:tc>
        <w:tc>
          <w:tcPr>
            <w:tcW w:type="dxa" w:w="3041"/>
          </w:tcPr>
          <w:p>
            <w:r>
              <w:t>Shallow trees</w:t>
            </w:r>
          </w:p>
        </w:tc>
        <w:tc>
          <w:tcPr>
            <w:tcW w:type="dxa" w:w="3041"/>
          </w:tcPr>
          <w:p>
            <w:r>
              <w:t>depth=4, lr=0.05, subsample=0.65, colsample=0.75</w:t>
            </w:r>
          </w:p>
        </w:tc>
      </w:tr>
      <w:tr>
        <w:tc>
          <w:tcPr>
            <w:tcW w:type="dxa" w:w="3041"/>
          </w:tcPr>
          <w:p>
            <w:r>
              <w:t>LGB</w:t>
            </w:r>
          </w:p>
        </w:tc>
        <w:tc>
          <w:tcPr>
            <w:tcW w:type="dxa" w:w="3041"/>
          </w:tcPr>
          <w:p>
            <w:r>
              <w:t>Wide trees</w:t>
            </w:r>
          </w:p>
        </w:tc>
        <w:tc>
          <w:tcPr>
            <w:tcW w:type="dxa" w:w="3041"/>
          </w:tcPr>
          <w:p>
            <w:r>
              <w:t>num_leaves=127, lr=0.04, feature_fraction=0.70</w:t>
            </w:r>
          </w:p>
        </w:tc>
      </w:tr>
      <w:tr>
        <w:tc>
          <w:tcPr>
            <w:tcW w:type="dxa" w:w="3041"/>
          </w:tcPr>
          <w:p>
            <w:r>
              <w:t>CAT</w:t>
            </w:r>
          </w:p>
        </w:tc>
        <w:tc>
          <w:tcPr>
            <w:tcW w:type="dxa" w:w="3041"/>
          </w:tcPr>
          <w:p>
            <w:r>
              <w:t>High-cap trees</w:t>
            </w:r>
          </w:p>
        </w:tc>
        <w:tc>
          <w:tcPr>
            <w:tcW w:type="dxa" w:w="3041"/>
          </w:tcPr>
          <w:p>
            <w:r>
              <w:t>depth=8, lr=0.025, border_count=64</w:t>
            </w:r>
          </w:p>
        </w:tc>
      </w:tr>
    </w:tbl>
    <w:p/>
    <w:p>
      <w:pPr>
        <w:pStyle w:val="Heading2"/>
      </w:pPr>
      <w:r>
        <w:t>5.4 Meta-Learner Selection</w:t>
      </w:r>
    </w:p>
    <w:p>
      <w:pPr>
        <w:jc w:val="center"/>
      </w:pPr>
      <w:r>
        <w:rPr>
          <w:i/>
          <w:sz w:val="20"/>
        </w:rPr>
        <w:t>Table: Ridge selected despite lower OOF score (prevents meta-level overfitting)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Meta-learner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OOF R²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OOF MedAPE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Holdout R²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Holdout MAE</w:t>
            </w:r>
          </w:p>
        </w:tc>
      </w:tr>
      <w:tr>
        <w:tc>
          <w:tcPr>
            <w:tcW w:type="dxa" w:w="1824"/>
          </w:tcPr>
          <w:p>
            <w:r>
              <w:t>LightGBM</w:t>
            </w:r>
          </w:p>
        </w:tc>
        <w:tc>
          <w:tcPr>
            <w:tcW w:type="dxa" w:w="1824"/>
          </w:tcPr>
          <w:p>
            <w:r>
              <w:t>0.6376</w:t>
            </w:r>
          </w:p>
        </w:tc>
        <w:tc>
          <w:tcPr>
            <w:tcW w:type="dxa" w:w="1824"/>
          </w:tcPr>
          <w:p>
            <w:r>
              <w:t>22.17%</w:t>
            </w:r>
          </w:p>
        </w:tc>
        <w:tc>
          <w:tcPr>
            <w:tcW w:type="dxa" w:w="1824"/>
          </w:tcPr>
          <w:p>
            <w:r>
              <w:t>0.6349</w:t>
            </w:r>
          </w:p>
        </w:tc>
        <w:tc>
          <w:tcPr>
            <w:tcW w:type="dxa" w:w="1824"/>
          </w:tcPr>
          <w:p>
            <w:r>
              <w:t>$1,105,269</w:t>
            </w:r>
          </w:p>
        </w:tc>
      </w:tr>
      <w:tr>
        <w:tc>
          <w:tcPr>
            <w:tcW w:type="dxa" w:w="1824"/>
          </w:tcPr>
          <w:p>
            <w:r>
              <w:t>Ridge</w:t>
            </w:r>
          </w:p>
        </w:tc>
        <w:tc>
          <w:tcPr>
            <w:tcW w:type="dxa" w:w="1824"/>
          </w:tcPr>
          <w:p>
            <w:r>
              <w:t>0.5995</w:t>
            </w:r>
          </w:p>
        </w:tc>
        <w:tc>
          <w:tcPr>
            <w:tcW w:type="dxa" w:w="1824"/>
          </w:tcPr>
          <w:p>
            <w:r>
              <w:t>22.73%</w:t>
            </w:r>
          </w:p>
        </w:tc>
        <w:tc>
          <w:tcPr>
            <w:tcW w:type="dxa" w:w="1824"/>
          </w:tcPr>
          <w:p>
            <w:r>
              <w:t>0.6495</w:t>
            </w:r>
          </w:p>
        </w:tc>
        <w:tc>
          <w:tcPr>
            <w:tcW w:type="dxa" w:w="1824"/>
          </w:tcPr>
          <w:p>
            <w:r>
              <w:t>$1,047,004</w:t>
            </w:r>
          </w:p>
        </w:tc>
      </w:tr>
    </w:tbl>
    <w:p/>
    <w:p>
      <w:pPr>
        <w:pStyle w:val="Heading1"/>
      </w:pPr>
      <w:r>
        <w:t>6. Training Evolution</w:t>
      </w:r>
    </w:p>
    <w:p>
      <w:pPr>
        <w:jc w:val="center"/>
      </w:pPr>
      <w:r>
        <w:rPr>
          <w:i/>
          <w:sz w:val="20"/>
        </w:rPr>
        <w:t>Table: NYC model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MedAPE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Key change</w:t>
            </w:r>
          </w:p>
        </w:tc>
      </w:tr>
      <w:tr>
        <w:tc>
          <w:tcPr>
            <w:tcW w:type="dxa" w:w="2280"/>
          </w:tcPr>
          <w:p>
            <w:r>
              <w:t>v1</w:t>
            </w:r>
          </w:p>
        </w:tc>
        <w:tc>
          <w:tcPr>
            <w:tcW w:type="dxa" w:w="2280"/>
          </w:tcPr>
          <w:p>
            <w:r>
              <w:t>~0.58</w:t>
            </w:r>
          </w:p>
        </w:tc>
        <w:tc>
          <w:tcPr>
            <w:tcW w:type="dxa" w:w="2280"/>
          </w:tcPr>
          <w:p>
            <w:r>
              <w:t>~25.0%</w:t>
            </w:r>
          </w:p>
        </w:tc>
        <w:tc>
          <w:tcPr>
            <w:tcW w:type="dxa" w:w="2280"/>
          </w:tcPr>
          <w:p>
            <w:r>
              <w:t>Single XGBoost, 71 features, random split</w:t>
            </w:r>
          </w:p>
        </w:tc>
      </w:tr>
      <w:tr>
        <w:tc>
          <w:tcPr>
            <w:tcW w:type="dxa" w:w="2280"/>
          </w:tcPr>
          <w:p>
            <w:r>
              <w:t>v5</w:t>
            </w:r>
          </w:p>
        </w:tc>
        <w:tc>
          <w:tcPr>
            <w:tcW w:type="dxa" w:w="2280"/>
          </w:tcPr>
          <w:p>
            <w:r>
              <w:t>0.658</w:t>
            </w:r>
          </w:p>
        </w:tc>
        <w:tc>
          <w:tcPr>
            <w:tcW w:type="dxa" w:w="2280"/>
          </w:tcPr>
          <w:p>
            <w:r>
              <w:t>20.34%</w:t>
            </w:r>
          </w:p>
        </w:tc>
        <w:tc>
          <w:tcPr>
            <w:tcW w:type="dxa" w:w="2280"/>
          </w:tcPr>
          <w:p>
            <w:r>
              <w:t>Target encoding + structural features + LGB meta</w:t>
            </w:r>
          </w:p>
        </w:tc>
      </w:tr>
      <w:tr>
        <w:tc>
          <w:tcPr>
            <w:tcW w:type="dxa" w:w="2280"/>
          </w:tcPr>
          <w:p>
            <w:r>
              <w:t>v6</w:t>
            </w:r>
          </w:p>
        </w:tc>
        <w:tc>
          <w:tcPr>
            <w:tcW w:type="dxa" w:w="2280"/>
          </w:tcPr>
          <w:p>
            <w:r>
              <w:t>0.645</w:t>
            </w:r>
          </w:p>
        </w:tc>
        <w:tc>
          <w:tcPr>
            <w:tcW w:type="dxa" w:w="2280"/>
          </w:tcPr>
          <w:p>
            <w:r>
              <w:t>~20.2%</w:t>
            </w:r>
          </w:p>
        </w:tc>
        <w:tc>
          <w:tcPr>
            <w:tcW w:type="dxa" w:w="2280"/>
          </w:tcPr>
          <w:p>
            <w:r>
              <w:t>NTA encoding (212 neighbourhoods)</w:t>
            </w:r>
          </w:p>
        </w:tc>
      </w:tr>
      <w:tr>
        <w:tc>
          <w:tcPr>
            <w:tcW w:type="dxa" w:w="2280"/>
          </w:tcPr>
          <w:p>
            <w:r>
              <w:t>v7a</w:t>
            </w:r>
          </w:p>
        </w:tc>
        <w:tc>
          <w:tcPr>
            <w:tcW w:type="dxa" w:w="2280"/>
          </w:tcPr>
          <w:p>
            <w:r>
              <w:t>0.571</w:t>
            </w:r>
          </w:p>
        </w:tc>
        <w:tc>
          <w:tcPr>
            <w:tcW w:type="dxa" w:w="2280"/>
          </w:tcPr>
          <w:p>
            <w:r>
              <w:t>26.7%</w:t>
            </w:r>
          </w:p>
        </w:tc>
        <w:tc>
          <w:tcPr>
            <w:tcW w:type="dxa" w:w="2280"/>
          </w:tcPr>
          <w:p>
            <w:r>
              <w:t>In-fold encoding disaster</w:t>
            </w:r>
          </w:p>
        </w:tc>
      </w:tr>
      <w:tr>
        <w:tc>
          <w:tcPr>
            <w:tcW w:type="dxa" w:w="2280"/>
          </w:tcPr>
          <w:p>
            <w:r>
              <w:t>v9</w:t>
            </w:r>
          </w:p>
        </w:tc>
        <w:tc>
          <w:tcPr>
            <w:tcW w:type="dxa" w:w="2280"/>
          </w:tcPr>
          <w:p>
            <w:r>
              <w:t>0.647</w:t>
            </w:r>
          </w:p>
        </w:tc>
        <w:tc>
          <w:tcPr>
            <w:tcW w:type="dxa" w:w="2280"/>
          </w:tcPr>
          <w:p>
            <w:r>
              <w:t>20.12%</w:t>
            </w:r>
          </w:p>
        </w:tc>
        <w:tc>
          <w:tcPr>
            <w:tcW w:type="dxa" w:w="2280"/>
          </w:tcPr>
          <w:p>
            <w:r>
              <w:t>10-fold OOF + 5000 rounds</w:t>
            </w:r>
          </w:p>
        </w:tc>
      </w:tr>
      <w:tr>
        <w:tc>
          <w:tcPr>
            <w:tcW w:type="dxa" w:w="2280"/>
          </w:tcPr>
          <w:p>
            <w:r>
              <w:t>v10</w:t>
            </w:r>
          </w:p>
        </w:tc>
        <w:tc>
          <w:tcPr>
            <w:tcW w:type="dxa" w:w="2280"/>
          </w:tcPr>
          <w:p>
            <w:r>
              <w:t>0.646</w:t>
            </w:r>
          </w:p>
        </w:tc>
        <w:tc>
          <w:tcPr>
            <w:tcW w:type="dxa" w:w="2280"/>
          </w:tcPr>
          <w:p>
            <w:r>
              <w:t>20.30%</w:t>
            </w:r>
          </w:p>
        </w:tc>
        <w:tc>
          <w:tcPr>
            <w:tcW w:type="dxa" w:w="2280"/>
          </w:tcPr>
          <w:p>
            <w:r>
              <w:t>NTA price trend slope (94th feature)</w:t>
            </w:r>
          </w:p>
        </w:tc>
      </w:tr>
      <w:tr>
        <w:tc>
          <w:tcPr>
            <w:tcW w:type="dxa" w:w="2280"/>
          </w:tcPr>
          <w:p>
            <w:r>
              <w:t>v22</w:t>
            </w:r>
          </w:p>
        </w:tc>
        <w:tc>
          <w:tcPr>
            <w:tcW w:type="dxa" w:w="2280"/>
          </w:tcPr>
          <w:p>
            <w:r>
              <w:t>0.6495</w:t>
            </w:r>
          </w:p>
        </w:tc>
        <w:tc>
          <w:tcPr>
            <w:tcW w:type="dxa" w:w="2280"/>
          </w:tcPr>
          <w:p>
            <w:r>
              <w:t>20.32%</w:t>
            </w:r>
          </w:p>
        </w:tc>
        <w:tc>
          <w:tcPr>
            <w:tcW w:type="dxa" w:w="2280"/>
          </w:tcPr>
          <w:p>
            <w:r>
              <w:t>10 new building health &amp; mobility features</w:t>
            </w:r>
          </w:p>
        </w:tc>
      </w:tr>
    </w:tbl>
    <w:p/>
    <w:p>
      <w:pPr>
        <w:pStyle w:val="Heading1"/>
      </w:pPr>
      <w:r>
        <w:t>7. Evaluation</w:t>
      </w:r>
    </w:p>
    <w:p>
      <w:pPr>
        <w:pStyle w:val="Heading2"/>
      </w:pPr>
      <w:r>
        <w:t>7.1 Overall Performance</w:t>
      </w:r>
    </w:p>
    <w:p>
      <w:pPr>
        <w:jc w:val="center"/>
      </w:pPr>
      <w:r>
        <w:rPr>
          <w:i/>
          <w:sz w:val="20"/>
        </w:rPr>
        <w:t>Table: NYC holdout performance (27,763 sales)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MedAPE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</w:tr>
      <w:tr>
        <w:tc>
          <w:tcPr>
            <w:tcW w:type="dxa" w:w="2280"/>
          </w:tcPr>
          <w:p>
            <w:r>
              <w:t>XGB-A</w:t>
            </w:r>
          </w:p>
        </w:tc>
        <w:tc>
          <w:tcPr>
            <w:tcW w:type="dxa" w:w="2280"/>
          </w:tcPr>
          <w:p>
            <w:r>
              <w:t>0.6445</w:t>
            </w:r>
          </w:p>
        </w:tc>
        <w:tc>
          <w:tcPr>
            <w:tcW w:type="dxa" w:w="2280"/>
          </w:tcPr>
          <w:p>
            <w:r>
              <w:t>20.56%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XGB-B</w:t>
            </w:r>
          </w:p>
        </w:tc>
        <w:tc>
          <w:tcPr>
            <w:tcW w:type="dxa" w:w="2280"/>
          </w:tcPr>
          <w:p>
            <w:r>
              <w:t>0.6387</w:t>
            </w:r>
          </w:p>
        </w:tc>
        <w:tc>
          <w:tcPr>
            <w:tcW w:type="dxa" w:w="2280"/>
          </w:tcPr>
          <w:p>
            <w:r>
              <w:t>20.67%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LGB</w:t>
            </w:r>
          </w:p>
        </w:tc>
        <w:tc>
          <w:tcPr>
            <w:tcW w:type="dxa" w:w="2280"/>
          </w:tcPr>
          <w:p>
            <w:r>
              <w:t>0.6432</w:t>
            </w:r>
          </w:p>
        </w:tc>
        <w:tc>
          <w:tcPr>
            <w:tcW w:type="dxa" w:w="2280"/>
          </w:tcPr>
          <w:p>
            <w:r>
              <w:t>20.84%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CatBoost</w:t>
            </w:r>
          </w:p>
        </w:tc>
        <w:tc>
          <w:tcPr>
            <w:tcW w:type="dxa" w:w="2280"/>
          </w:tcPr>
          <w:p>
            <w:r>
              <w:t>0.6482</w:t>
            </w:r>
          </w:p>
        </w:tc>
        <w:tc>
          <w:tcPr>
            <w:tcW w:type="dxa" w:w="2280"/>
          </w:tcPr>
          <w:p>
            <w:r>
              <w:t>20.60%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Stack v22</w:t>
            </w:r>
          </w:p>
        </w:tc>
        <w:tc>
          <w:tcPr>
            <w:tcW w:type="dxa" w:w="2280"/>
          </w:tcPr>
          <w:p>
            <w:r>
              <w:t>0.6495</w:t>
            </w:r>
          </w:p>
        </w:tc>
        <w:tc>
          <w:tcPr>
            <w:tcW w:type="dxa" w:w="2280"/>
          </w:tcPr>
          <w:p>
            <w:r>
              <w:t>20.32%</w:t>
            </w:r>
          </w:p>
        </w:tc>
        <w:tc>
          <w:tcPr>
            <w:tcW w:type="dxa" w:w="2280"/>
          </w:tcPr>
          <w:p>
            <w:r>
              <w:t>$1,047,004</w:t>
            </w:r>
          </w:p>
        </w:tc>
      </w:tr>
    </w:tbl>
    <w:p/>
    <w:p>
      <w:pPr>
        <w:pStyle w:val="Heading2"/>
      </w:pPr>
      <w:r>
        <w:t>7.2 Performance by Borough</w:t>
      </w:r>
    </w:p>
    <w:p>
      <w:pPr>
        <w:jc w:val="center"/>
      </w:pPr>
      <w:r>
        <w:rPr>
          <w:i/>
          <w:sz w:val="20"/>
        </w:rPr>
        <w:t>Table: Borough-level holdout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Borough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MedAPE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</w:tr>
      <w:tr>
        <w:tc>
          <w:tcPr>
            <w:tcW w:type="dxa" w:w="2280"/>
          </w:tcPr>
          <w:p>
            <w:r>
              <w:t>Staten Island</w:t>
            </w:r>
          </w:p>
        </w:tc>
        <w:tc>
          <w:tcPr>
            <w:tcW w:type="dxa" w:w="2280"/>
          </w:tcPr>
          <w:p>
            <w:r>
              <w:t>3,052</w:t>
            </w:r>
          </w:p>
        </w:tc>
        <w:tc>
          <w:tcPr>
            <w:tcW w:type="dxa" w:w="2280"/>
          </w:tcPr>
          <w:p>
            <w:r>
              <w:t>14.41%</w:t>
            </w:r>
          </w:p>
        </w:tc>
        <w:tc>
          <w:tcPr>
            <w:tcW w:type="dxa" w:w="2280"/>
          </w:tcPr>
          <w:p>
            <w:r>
              <w:t>$220,216</w:t>
            </w:r>
          </w:p>
        </w:tc>
      </w:tr>
      <w:tr>
        <w:tc>
          <w:tcPr>
            <w:tcW w:type="dxa" w:w="2280"/>
          </w:tcPr>
          <w:p>
            <w:r>
              <w:t>Queens</w:t>
            </w:r>
          </w:p>
        </w:tc>
        <w:tc>
          <w:tcPr>
            <w:tcW w:type="dxa" w:w="2280"/>
          </w:tcPr>
          <w:p>
            <w:r>
              <w:t>9,533</w:t>
            </w:r>
          </w:p>
        </w:tc>
        <w:tc>
          <w:tcPr>
            <w:tcW w:type="dxa" w:w="2280"/>
          </w:tcPr>
          <w:p>
            <w:r>
              <w:t>17.43%</w:t>
            </w:r>
          </w:p>
        </w:tc>
        <w:tc>
          <w:tcPr>
            <w:tcW w:type="dxa" w:w="2280"/>
          </w:tcPr>
          <w:p>
            <w:r>
              <w:t>$366,226</w:t>
            </w:r>
          </w:p>
        </w:tc>
      </w:tr>
      <w:tr>
        <w:tc>
          <w:tcPr>
            <w:tcW w:type="dxa" w:w="2280"/>
          </w:tcPr>
          <w:p>
            <w:r>
              <w:t>Bronx</w:t>
            </w:r>
          </w:p>
        </w:tc>
        <w:tc>
          <w:tcPr>
            <w:tcW w:type="dxa" w:w="2280"/>
          </w:tcPr>
          <w:p>
            <w:r>
              <w:t>2,735</w:t>
            </w:r>
          </w:p>
        </w:tc>
        <w:tc>
          <w:tcPr>
            <w:tcW w:type="dxa" w:w="2280"/>
          </w:tcPr>
          <w:p>
            <w:r>
              <w:t>21.08%</w:t>
            </w:r>
          </w:p>
        </w:tc>
        <w:tc>
          <w:tcPr>
            <w:tcW w:type="dxa" w:w="2280"/>
          </w:tcPr>
          <w:p>
            <w:r>
              <w:t>$1,531,532</w:t>
            </w:r>
          </w:p>
        </w:tc>
      </w:tr>
      <w:tr>
        <w:tc>
          <w:tcPr>
            <w:tcW w:type="dxa" w:w="2280"/>
          </w:tcPr>
          <w:p>
            <w:r>
              <w:t>Brooklyn</w:t>
            </w:r>
          </w:p>
        </w:tc>
        <w:tc>
          <w:tcPr>
            <w:tcW w:type="dxa" w:w="2280"/>
          </w:tcPr>
          <w:p>
            <w:r>
              <w:t>7,032</w:t>
            </w:r>
          </w:p>
        </w:tc>
        <w:tc>
          <w:tcPr>
            <w:tcW w:type="dxa" w:w="2280"/>
          </w:tcPr>
          <w:p>
            <w:r>
              <w:t>20.64%</w:t>
            </w:r>
          </w:p>
        </w:tc>
        <w:tc>
          <w:tcPr>
            <w:tcW w:type="dxa" w:w="2280"/>
          </w:tcPr>
          <w:p>
            <w:r>
              <w:t>$857,322</w:t>
            </w:r>
          </w:p>
        </w:tc>
      </w:tr>
      <w:tr>
        <w:tc>
          <w:tcPr>
            <w:tcW w:type="dxa" w:w="2280"/>
          </w:tcPr>
          <w:p>
            <w:r>
              <w:t>Manhattan</w:t>
            </w:r>
          </w:p>
        </w:tc>
        <w:tc>
          <w:tcPr>
            <w:tcW w:type="dxa" w:w="2280"/>
          </w:tcPr>
          <w:p>
            <w:r>
              <w:t>5,411</w:t>
            </w:r>
          </w:p>
        </w:tc>
        <w:tc>
          <w:tcPr>
            <w:tcW w:type="dxa" w:w="2280"/>
          </w:tcPr>
          <w:p>
            <w:r>
              <w:t>35.16%</w:t>
            </w:r>
          </w:p>
        </w:tc>
        <w:tc>
          <w:tcPr>
            <w:tcW w:type="dxa" w:w="2280"/>
          </w:tcPr>
          <w:p>
            <w:r>
              <w:t>$2,714,327</w:t>
            </w:r>
          </w:p>
        </w:tc>
      </w:tr>
    </w:tbl>
    <w:p/>
    <w:p>
      <w:pPr>
        <w:pStyle w:val="Heading2"/>
      </w:pPr>
      <w:r>
        <w:t>7.3 SHAP Feature Importance (Top 10)</w:t>
      </w:r>
    </w:p>
    <w:p>
      <w:pPr>
        <w:jc w:val="center"/>
      </w:pPr>
      <w:r>
        <w:rPr>
          <w:i/>
          <w:sz w:val="20"/>
        </w:rPr>
        <w:t>Table: SHAP feature importance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Rank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</w:tr>
      <w:tr>
        <w:tc>
          <w:tcPr>
            <w:tcW w:type="dxa" w:w="3041"/>
          </w:tcPr>
          <w:p>
            <w:r>
              <w:t>1</w:t>
            </w:r>
          </w:p>
        </w:tc>
        <w:tc>
          <w:tcPr>
            <w:tcW w:type="dxa" w:w="3041"/>
          </w:tcPr>
          <w:p>
            <w:r>
              <w:t>bldgclass_encoded</w:t>
            </w:r>
          </w:p>
        </w:tc>
        <w:tc>
          <w:tcPr>
            <w:tcW w:type="dxa" w:w="3041"/>
          </w:tcPr>
          <w:p>
            <w:r>
              <w:t>Target encoding (building class)</w:t>
            </w:r>
          </w:p>
        </w:tc>
      </w:tr>
      <w:tr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nta_encoded</w:t>
            </w:r>
          </w:p>
        </w:tc>
        <w:tc>
          <w:tcPr>
            <w:tcW w:type="dxa" w:w="3041"/>
          </w:tcPr>
          <w:p>
            <w:r>
              <w:t>Target encoding (neighbourhood)</w:t>
            </w:r>
          </w:p>
        </w:tc>
      </w:tr>
      <w:tr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gross_square_feet</w:t>
            </w:r>
          </w:p>
        </w:tc>
        <w:tc>
          <w:tcPr>
            <w:tcW w:type="dxa" w:w="3041"/>
          </w:tcPr>
          <w:p>
            <w:r>
              <w:t>Structural</w:t>
            </w:r>
          </w:p>
        </w:tc>
      </w:tr>
      <w:tr>
        <w:tc>
          <w:tcPr>
            <w:tcW w:type="dxa" w:w="3041"/>
          </w:tcPr>
          <w:p>
            <w:r>
              <w:t>4</w:t>
            </w:r>
          </w:p>
        </w:tc>
        <w:tc>
          <w:tcPr>
            <w:tcW w:type="dxa" w:w="3041"/>
          </w:tcPr>
          <w:p>
            <w:r>
              <w:t>dist_downtown_manhattan_m</w:t>
            </w:r>
          </w:p>
        </w:tc>
        <w:tc>
          <w:tcPr>
            <w:tcW w:type="dxa" w:w="3041"/>
          </w:tcPr>
          <w:p>
            <w:r>
              <w:t>Gravity / location</w:t>
            </w:r>
          </w:p>
        </w:tc>
      </w:tr>
      <w:tr>
        <w:tc>
          <w:tcPr>
            <w:tcW w:type="dxa" w:w="3041"/>
          </w:tcPr>
          <w:p>
            <w:r>
              <w:t>5</w:t>
            </w:r>
          </w:p>
        </w:tc>
        <w:tc>
          <w:tcPr>
            <w:tcW w:type="dxa" w:w="3041"/>
          </w:tcPr>
          <w:p>
            <w:r>
              <w:t>nta_bldg_encoded</w:t>
            </w:r>
          </w:p>
        </w:tc>
        <w:tc>
          <w:tcPr>
            <w:tcW w:type="dxa" w:w="3041"/>
          </w:tcPr>
          <w:p>
            <w:r>
              <w:t>Target encoding (NTA × bldgclass)</w:t>
            </w:r>
          </w:p>
        </w:tc>
      </w:tr>
      <w:tr>
        <w:tc>
          <w:tcPr>
            <w:tcW w:type="dxa" w:w="3041"/>
          </w:tcPr>
          <w:p>
            <w:r>
              <w:t>6</w:t>
            </w:r>
          </w:p>
        </w:tc>
        <w:tc>
          <w:tcPr>
            <w:tcW w:type="dxa" w:w="3041"/>
          </w:tcPr>
          <w:p>
            <w:r>
              <w:t>borough_bldg_encoded</w:t>
            </w:r>
          </w:p>
        </w:tc>
        <w:tc>
          <w:tcPr>
            <w:tcW w:type="dxa" w:w="3041"/>
          </w:tcPr>
          <w:p>
            <w:r>
              <w:t>Target encoding (borough × bldgclass)</w:t>
            </w:r>
          </w:p>
        </w:tc>
      </w:tr>
      <w:tr>
        <w:tc>
          <w:tcPr>
            <w:tcW w:type="dxa" w:w="3041"/>
          </w:tcPr>
          <w:p>
            <w:r>
              <w:t>7</w:t>
            </w:r>
          </w:p>
        </w:tc>
        <w:tc>
          <w:tcPr>
            <w:tcW w:type="dxa" w:w="3041"/>
          </w:tcPr>
          <w:p>
            <w:r>
              <w:t>building_age</w:t>
            </w:r>
          </w:p>
        </w:tc>
        <w:tc>
          <w:tcPr>
            <w:tcW w:type="dxa" w:w="3041"/>
          </w:tcPr>
          <w:p>
            <w:r>
              <w:t>Structural</w:t>
            </w:r>
          </w:p>
        </w:tc>
      </w:tr>
      <w:tr>
        <w:tc>
          <w:tcPr>
            <w:tcW w:type="dxa" w:w="3041"/>
          </w:tcPr>
          <w:p>
            <w:r>
              <w:t>8</w:t>
            </w:r>
          </w:p>
        </w:tc>
        <w:tc>
          <w:tcPr>
            <w:tcW w:type="dxa" w:w="3041"/>
          </w:tcPr>
          <w:p>
            <w:r>
              <w:t>median_income_nta</w:t>
            </w:r>
          </w:p>
        </w:tc>
        <w:tc>
          <w:tcPr>
            <w:tcW w:type="dxa" w:w="3041"/>
          </w:tcPr>
          <w:p>
            <w:r>
              <w:t>Socioeconomic / QoL</w:t>
            </w:r>
          </w:p>
        </w:tc>
      </w:tr>
      <w:tr>
        <w:tc>
          <w:tcPr>
            <w:tcW w:type="dxa" w:w="3041"/>
          </w:tcPr>
          <w:p>
            <w:r>
              <w:t>9</w:t>
            </w:r>
          </w:p>
        </w:tc>
        <w:tc>
          <w:tcPr>
            <w:tcW w:type="dxa" w:w="3041"/>
          </w:tcPr>
          <w:p>
            <w:r>
              <w:t>dist_subway_m</w:t>
            </w:r>
          </w:p>
        </w:tc>
        <w:tc>
          <w:tcPr>
            <w:tcW w:type="dxa" w:w="3041"/>
          </w:tcPr>
          <w:p>
            <w:r>
              <w:t>Spatial proximity</w:t>
            </w:r>
          </w:p>
        </w:tc>
      </w:tr>
      <w:tr>
        <w:tc>
          <w:tcPr>
            <w:tcW w:type="dxa" w:w="3041"/>
          </w:tcPr>
          <w:p>
            <w:r>
              <w:t>10</w:t>
            </w:r>
          </w:p>
        </w:tc>
        <w:tc>
          <w:tcPr>
            <w:tcW w:type="dxa" w:w="3041"/>
          </w:tcPr>
          <w:p>
            <w:r>
              <w:t>crime_rate_nta</w:t>
            </w:r>
          </w:p>
        </w:tc>
        <w:tc>
          <w:tcPr>
            <w:tcW w:type="dxa" w:w="3041"/>
          </w:tcPr>
          <w:p>
            <w:r>
              <w:t>Socioeconomic / QoL</w:t>
            </w:r>
          </w:p>
        </w:tc>
      </w:tr>
    </w:tbl>
    <w:p/>
    <w:p>
      <w:pPr>
        <w:pStyle w:val="Heading1"/>
      </w:pPr>
      <w:r>
        <w:t>8. Adaptive Confidence and AVM Quality Control</w:t>
      </w:r>
    </w:p>
    <w:p>
      <w:r>
        <w:t>Segment MedAPE = max(borough_medape, tier_medape). Confidence band: price × (1 ± segment_medape/100). Confidence score = max(0, min(100, 100 − segment_medape)). Grades: A (≥85), B (≥75), C (≥65), D (&lt;65).</w:t>
      </w:r>
    </w:p>
    <w:p>
      <w:r>
        <w:t>Four QC flags: SPARSE_MARKET (comparables &lt; 5 within 800m), LUXURY_SEGMENT (price &gt; $3M), HIGH_UNCERTAINTY (segment MedAPE &gt; 30%), METRO_CORE (Manhattan + price &gt; $1M).</w:t>
      </w:r>
    </w:p>
    <w:p>
      <w:pPr>
        <w:pStyle w:val="Heading1"/>
      </w:pPr>
      <w:r>
        <w:t>9. Riyadh Extension</w:t>
      </w:r>
    </w:p>
    <w:p>
      <w:pPr>
        <w:pStyle w:val="Heading2"/>
      </w:pPr>
      <w:r>
        <w:t>9.1 Dataset</w:t>
      </w:r>
    </w:p>
    <w:p>
      <w:r>
        <w:t>6,910 district-quarter observations covering 163 Riyadh districts, Q1 2018–Q3 2025. Sources: Saudi Open Data Portal quarterly reports (2018–2025) and SA_Aqar rental platform (district-level medians). Price range: 222–12,565 SAR/m². Training: 5,531 rows (2018–2024); holdout: 1,730 rows (2025 Q1–Q3).</w:t>
      </w:r>
    </w:p>
    <w:p>
      <w:pPr>
        <w:pStyle w:val="Heading2"/>
      </w:pPr>
      <w:r>
        <w:t>9.2 Features (76 total)</w:t>
      </w:r>
    </w:p>
    <w:p>
      <w:r>
        <w:t>Location (2), property type (4), metro transit (6), bus/BRT (4), traffic connectivity (4), commercial density (10), air quality—NO₂/SO₂/PM₁₀/O₃ (6), macroeconomic REI/salary (6), district aggregates (5), target-encoded (2), temporal (4), QoL POIs—mosques/malls/schools/hospitals/parks/entertainment (18), connectivity score (1), SA_Aqar rental structural proxies (4).</w:t>
      </w:r>
    </w:p>
    <w:p>
      <w:pPr>
        <w:pStyle w:val="Heading2"/>
      </w:pPr>
      <w:r>
        <w:t>9.3 Results</w:t>
      </w:r>
    </w:p>
    <w:p>
      <w:pPr>
        <w:jc w:val="center"/>
      </w:pPr>
      <w:r>
        <w:rPr>
          <w:i/>
          <w:sz w:val="20"/>
        </w:rPr>
        <w:t>Table: Riyadh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Evaluation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MedAPE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</w:tr>
      <w:tr>
        <w:tc>
          <w:tcPr>
            <w:tcW w:type="dxa" w:w="2280"/>
          </w:tcPr>
          <w:p>
            <w:r>
              <w:t>OOF (5-fold spatial GroupKFold)</w:t>
            </w:r>
          </w:p>
        </w:tc>
        <w:tc>
          <w:tcPr>
            <w:tcW w:type="dxa" w:w="2280"/>
          </w:tcPr>
          <w:p>
            <w:r>
              <w:t>0.9348</w:t>
            </w:r>
          </w:p>
        </w:tc>
        <w:tc>
          <w:tcPr>
            <w:tcW w:type="dxa" w:w="2280"/>
          </w:tcPr>
          <w:p>
            <w:r>
              <w:t>8.25%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Holdout (2025 Q1–Q3, n=1,730)</w:t>
            </w:r>
          </w:p>
        </w:tc>
        <w:tc>
          <w:tcPr>
            <w:tcW w:type="dxa" w:w="2280"/>
          </w:tcPr>
          <w:p>
            <w:r>
              <w:t>0.8014</w:t>
            </w:r>
          </w:p>
        </w:tc>
        <w:tc>
          <w:tcPr>
            <w:tcW w:type="dxa" w:w="2280"/>
          </w:tcPr>
          <w:p>
            <w:r>
              <w:t>15.59%</w:t>
            </w:r>
          </w:p>
        </w:tc>
        <w:tc>
          <w:tcPr>
            <w:tcW w:type="dxa" w:w="2280"/>
          </w:tcPr>
          <w:p>
            <w:r>
              <w:t>986 SAR/m²</w:t>
            </w:r>
          </w:p>
        </w:tc>
      </w:tr>
    </w:tbl>
    <w:p/>
    <w:p>
      <w:pPr>
        <w:pStyle w:val="Heading2"/>
      </w:pPr>
      <w:r>
        <w:t>9.4 Market Validation (Haraj.com.sa)</w:t>
      </w:r>
    </w:p>
    <w:p>
      <w:r>
        <w:t>1,615 active listings compared to THAMAN predictions. Overall MedAPE: 54.33%. The gap is structurally expected: THAMAN was trained on deed-recorded transaction prices; Haraj shows pre-negotiation asking prices. Documented Saudi negotiation margins are 20–50% (Al-Otaibi &amp; Al-Subaihi, 2021). Asking-price median: 5,232 SAR/m² vs. training median 2,903 SAR/m² (≈80% listing premium).</w:t>
      </w:r>
    </w:p>
    <w:p>
      <w:pPr>
        <w:jc w:val="center"/>
      </w:pPr>
      <w:r>
        <w:rPr>
          <w:i/>
          <w:sz w:val="20"/>
        </w:rPr>
        <w:t>Table: Top-10 premium districts by Haraj asking price (May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District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Asking (SAR/m²)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THAMAN (SAR/m²)</w:t>
            </w:r>
          </w:p>
        </w:tc>
      </w:tr>
      <w:tr>
        <w:tc>
          <w:tcPr>
            <w:tcW w:type="dxa" w:w="1824"/>
          </w:tcPr>
          <w:p>
            <w:r>
              <w:t>النخيل (Al Nakheel)</w:t>
            </w:r>
          </w:p>
        </w:tc>
        <w:tc>
          <w:tcPr>
            <w:tcW w:type="dxa" w:w="1824"/>
          </w:tcPr>
          <w:p>
            <w:r>
              <w:t>Plot</w:t>
            </w:r>
          </w:p>
        </w:tc>
        <w:tc>
          <w:tcPr>
            <w:tcW w:type="dxa" w:w="1824"/>
          </w:tcPr>
          <w:p>
            <w:r>
              <w:t>3</w:t>
            </w:r>
          </w:p>
        </w:tc>
        <w:tc>
          <w:tcPr>
            <w:tcW w:type="dxa" w:w="1824"/>
          </w:tcPr>
          <w:p>
            <w:r>
              <w:t>26,000</w:t>
            </w:r>
          </w:p>
        </w:tc>
        <w:tc>
          <w:tcPr>
            <w:tcW w:type="dxa" w:w="1824"/>
          </w:tcPr>
          <w:p>
            <w:r>
              <w:t>2,801</w:t>
            </w:r>
          </w:p>
        </w:tc>
      </w:tr>
      <w:tr>
        <w:tc>
          <w:tcPr>
            <w:tcW w:type="dxa" w:w="1824"/>
          </w:tcPr>
          <w:p>
            <w:r>
              <w:t>الهدا (Al Hada)</w:t>
            </w:r>
          </w:p>
        </w:tc>
        <w:tc>
          <w:tcPr>
            <w:tcW w:type="dxa" w:w="1824"/>
          </w:tcPr>
          <w:p>
            <w:r>
              <w:t>Plot</w:t>
            </w:r>
          </w:p>
        </w:tc>
        <w:tc>
          <w:tcPr>
            <w:tcW w:type="dxa" w:w="1824"/>
          </w:tcPr>
          <w:p>
            <w:r>
              <w:t>1</w:t>
            </w:r>
          </w:p>
        </w:tc>
        <w:tc>
          <w:tcPr>
            <w:tcW w:type="dxa" w:w="1824"/>
          </w:tcPr>
          <w:p>
            <w:r>
              <w:t>20,000</w:t>
            </w:r>
          </w:p>
        </w:tc>
        <w:tc>
          <w:tcPr>
            <w:tcW w:type="dxa" w:w="1824"/>
          </w:tcPr>
          <w:p>
            <w:r>
              <w:t>3,052</w:t>
            </w:r>
          </w:p>
        </w:tc>
      </w:tr>
      <w:tr>
        <w:tc>
          <w:tcPr>
            <w:tcW w:type="dxa" w:w="1824"/>
          </w:tcPr>
          <w:p>
            <w:r>
              <w:t>ام الحمام الغربي</w:t>
            </w:r>
          </w:p>
        </w:tc>
        <w:tc>
          <w:tcPr>
            <w:tcW w:type="dxa" w:w="1824"/>
          </w:tcPr>
          <w:p>
            <w:r>
              <w:t>Mixed</w:t>
            </w:r>
          </w:p>
        </w:tc>
        <w:tc>
          <w:tcPr>
            <w:tcW w:type="dxa" w:w="1824"/>
          </w:tcPr>
          <w:p>
            <w:r>
              <w:t>2</w:t>
            </w:r>
          </w:p>
        </w:tc>
        <w:tc>
          <w:tcPr>
            <w:tcW w:type="dxa" w:w="1824"/>
          </w:tcPr>
          <w:p>
            <w:r>
              <w:t>18,668</w:t>
            </w:r>
          </w:p>
        </w:tc>
        <w:tc>
          <w:tcPr>
            <w:tcW w:type="dxa" w:w="1824"/>
          </w:tcPr>
          <w:p>
            <w:r>
              <w:t>2,634</w:t>
            </w:r>
          </w:p>
        </w:tc>
      </w:tr>
      <w:tr>
        <w:tc>
          <w:tcPr>
            <w:tcW w:type="dxa" w:w="1824"/>
          </w:tcPr>
          <w:p>
            <w:r>
              <w:t>الفلاح (Al Falah)</w:t>
            </w:r>
          </w:p>
        </w:tc>
        <w:tc>
          <w:tcPr>
            <w:tcW w:type="dxa" w:w="1824"/>
          </w:tcPr>
          <w:p>
            <w:r>
              <w:t>Mixed</w:t>
            </w:r>
          </w:p>
        </w:tc>
        <w:tc>
          <w:tcPr>
            <w:tcW w:type="dxa" w:w="1824"/>
          </w:tcPr>
          <w:p>
            <w:r>
              <w:t>3</w:t>
            </w:r>
          </w:p>
        </w:tc>
        <w:tc>
          <w:tcPr>
            <w:tcW w:type="dxa" w:w="1824"/>
          </w:tcPr>
          <w:p>
            <w:r>
              <w:t>16,387</w:t>
            </w:r>
          </w:p>
        </w:tc>
        <w:tc>
          <w:tcPr>
            <w:tcW w:type="dxa" w:w="1824"/>
          </w:tcPr>
          <w:p>
            <w:r>
              <w:t>2,826</w:t>
            </w:r>
          </w:p>
        </w:tc>
      </w:tr>
      <w:tr>
        <w:tc>
          <w:tcPr>
            <w:tcW w:type="dxa" w:w="1824"/>
          </w:tcPr>
          <w:p>
            <w:r>
              <w:t>الخزامى (Al Khuzama)</w:t>
            </w:r>
          </w:p>
        </w:tc>
        <w:tc>
          <w:tcPr>
            <w:tcW w:type="dxa" w:w="1824"/>
          </w:tcPr>
          <w:p>
            <w:r>
              <w:t>Villa</w:t>
            </w:r>
          </w:p>
        </w:tc>
        <w:tc>
          <w:tcPr>
            <w:tcW w:type="dxa" w:w="1824"/>
          </w:tcPr>
          <w:p>
            <w:r>
              <w:t>5</w:t>
            </w:r>
          </w:p>
        </w:tc>
        <w:tc>
          <w:tcPr>
            <w:tcW w:type="dxa" w:w="1824"/>
          </w:tcPr>
          <w:p>
            <w:r>
              <w:t>16,298</w:t>
            </w:r>
          </w:p>
        </w:tc>
        <w:tc>
          <w:tcPr>
            <w:tcW w:type="dxa" w:w="1824"/>
          </w:tcPr>
          <w:p>
            <w:r>
              <w:t>2,664</w:t>
            </w:r>
          </w:p>
        </w:tc>
      </w:tr>
      <w:tr>
        <w:tc>
          <w:tcPr>
            <w:tcW w:type="dxa" w:w="1824"/>
          </w:tcPr>
          <w:p>
            <w:r>
              <w:t>الرحمانية (Al Rahmaniyah)</w:t>
            </w:r>
          </w:p>
        </w:tc>
        <w:tc>
          <w:tcPr>
            <w:tcW w:type="dxa" w:w="1824"/>
          </w:tcPr>
          <w:p>
            <w:r>
              <w:t>Villa</w:t>
            </w:r>
          </w:p>
        </w:tc>
        <w:tc>
          <w:tcPr>
            <w:tcW w:type="dxa" w:w="1824"/>
          </w:tcPr>
          <w:p>
            <w:r>
              <w:t>1</w:t>
            </w:r>
          </w:p>
        </w:tc>
        <w:tc>
          <w:tcPr>
            <w:tcW w:type="dxa" w:w="1824"/>
          </w:tcPr>
          <w:p>
            <w:r>
              <w:t>16,000</w:t>
            </w:r>
          </w:p>
        </w:tc>
        <w:tc>
          <w:tcPr>
            <w:tcW w:type="dxa" w:w="1824"/>
          </w:tcPr>
          <w:p>
            <w:r>
              <w:t>2,813</w:t>
            </w:r>
          </w:p>
        </w:tc>
      </w:tr>
      <w:tr>
        <w:tc>
          <w:tcPr>
            <w:tcW w:type="dxa" w:w="1824"/>
          </w:tcPr>
          <w:p>
            <w:r>
              <w:t>العقيق (Al Aqiq)</w:t>
            </w:r>
          </w:p>
        </w:tc>
        <w:tc>
          <w:tcPr>
            <w:tcW w:type="dxa" w:w="1824"/>
          </w:tcPr>
          <w:p>
            <w:r>
              <w:t>Mixed</w:t>
            </w:r>
          </w:p>
        </w:tc>
        <w:tc>
          <w:tcPr>
            <w:tcW w:type="dxa" w:w="1824"/>
          </w:tcPr>
          <w:p>
            <w:r>
              <w:t>10</w:t>
            </w:r>
          </w:p>
        </w:tc>
        <w:tc>
          <w:tcPr>
            <w:tcW w:type="dxa" w:w="1824"/>
          </w:tcPr>
          <w:p>
            <w:r>
              <w:t>14,961</w:t>
            </w:r>
          </w:p>
        </w:tc>
        <w:tc>
          <w:tcPr>
            <w:tcW w:type="dxa" w:w="1824"/>
          </w:tcPr>
          <w:p>
            <w:r>
              <w:t>3,042</w:t>
            </w:r>
          </w:p>
        </w:tc>
      </w:tr>
      <w:tr>
        <w:tc>
          <w:tcPr>
            <w:tcW w:type="dxa" w:w="1824"/>
          </w:tcPr>
          <w:p>
            <w:r>
              <w:t>الصحافة (Al Sahafah)</w:t>
            </w:r>
          </w:p>
        </w:tc>
        <w:tc>
          <w:tcPr>
            <w:tcW w:type="dxa" w:w="1824"/>
          </w:tcPr>
          <w:p>
            <w:r>
              <w:t>Apartment</w:t>
            </w:r>
          </w:p>
        </w:tc>
        <w:tc>
          <w:tcPr>
            <w:tcW w:type="dxa" w:w="1824"/>
          </w:tcPr>
          <w:p>
            <w:r>
              <w:t>2</w:t>
            </w:r>
          </w:p>
        </w:tc>
        <w:tc>
          <w:tcPr>
            <w:tcW w:type="dxa" w:w="1824"/>
          </w:tcPr>
          <w:p>
            <w:r>
              <w:t>14,595</w:t>
            </w:r>
          </w:p>
        </w:tc>
        <w:tc>
          <w:tcPr>
            <w:tcW w:type="dxa" w:w="1824"/>
          </w:tcPr>
          <w:p>
            <w:r>
              <w:t>2,938</w:t>
            </w:r>
          </w:p>
        </w:tc>
      </w:tr>
      <w:tr>
        <w:tc>
          <w:tcPr>
            <w:tcW w:type="dxa" w:w="1824"/>
          </w:tcPr>
          <w:p>
            <w:r>
              <w:t>العليا (Al Olaya)</w:t>
            </w:r>
          </w:p>
        </w:tc>
        <w:tc>
          <w:tcPr>
            <w:tcW w:type="dxa" w:w="1824"/>
          </w:tcPr>
          <w:p>
            <w:r>
              <w:t>Mixed</w:t>
            </w:r>
          </w:p>
        </w:tc>
        <w:tc>
          <w:tcPr>
            <w:tcW w:type="dxa" w:w="1824"/>
          </w:tcPr>
          <w:p>
            <w:r>
              <w:t>12</w:t>
            </w:r>
          </w:p>
        </w:tc>
        <w:tc>
          <w:tcPr>
            <w:tcW w:type="dxa" w:w="1824"/>
          </w:tcPr>
          <w:p>
            <w:r>
              <w:t>12,359</w:t>
            </w:r>
          </w:p>
        </w:tc>
        <w:tc>
          <w:tcPr>
            <w:tcW w:type="dxa" w:w="1824"/>
          </w:tcPr>
          <w:p>
            <w:r>
              <w:t>2,676</w:t>
            </w:r>
          </w:p>
        </w:tc>
      </w:tr>
      <w:tr>
        <w:tc>
          <w:tcPr>
            <w:tcW w:type="dxa" w:w="1824"/>
          </w:tcPr>
          <w:p>
            <w:r>
              <w:t>حطين (Hittin)</w:t>
            </w:r>
          </w:p>
        </w:tc>
        <w:tc>
          <w:tcPr>
            <w:tcW w:type="dxa" w:w="1824"/>
          </w:tcPr>
          <w:p>
            <w:r>
              <w:t>Mixed</w:t>
            </w:r>
          </w:p>
        </w:tc>
        <w:tc>
          <w:tcPr>
            <w:tcW w:type="dxa" w:w="1824"/>
          </w:tcPr>
          <w:p>
            <w:r>
              <w:t>4</w:t>
            </w:r>
          </w:p>
        </w:tc>
        <w:tc>
          <w:tcPr>
            <w:tcW w:type="dxa" w:w="1824"/>
          </w:tcPr>
          <w:p>
            <w:r>
              <w:t>12,107</w:t>
            </w:r>
          </w:p>
        </w:tc>
        <w:tc>
          <w:tcPr>
            <w:tcW w:type="dxa" w:w="1824"/>
          </w:tcPr>
          <w:p>
            <w:r>
              <w:t>2,996</w:t>
            </w:r>
          </w:p>
        </w:tc>
      </w:tr>
      <w:tr>
        <w:tc>
          <w:tcPr>
            <w:tcW w:type="dxa" w:w="1824"/>
          </w:tcPr>
          <w:p>
            <w:r>
              <w:t>All districts — median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1,615</w:t>
            </w:r>
          </w:p>
        </w:tc>
        <w:tc>
          <w:tcPr>
            <w:tcW w:type="dxa" w:w="1824"/>
          </w:tcPr>
          <w:p>
            <w:r>
              <w:t>5,232</w:t>
            </w:r>
          </w:p>
        </w:tc>
        <w:tc>
          <w:tcPr>
            <w:tcW w:type="dxa" w:w="1824"/>
          </w:tcPr>
          <w:p>
            <w:r>
              <w:t>2,903</w:t>
            </w:r>
          </w:p>
        </w:tc>
      </w:tr>
    </w:tbl>
    <w:p/>
    <w:p>
      <w:pPr>
        <w:pStyle w:val="Heading2"/>
      </w:pPr>
      <w:r>
        <w:t>9.5 2026 Saudi Real Estate Policy Context</w:t>
      </w:r>
    </w:p>
    <w:p>
      <w:r>
        <w:t>Three structural shifts in 2025–2026 create temporal distribution shift beyond the training window and provide context for interpreting the Haraj gap:</w:t>
      </w:r>
    </w:p>
    <w:p>
      <w:pPr>
        <w:pStyle w:val="ListBullet"/>
      </w:pPr>
      <w:r>
        <w:t>Rent freeze (late 2025): government capped annual rent increases. SA_Aqar rental features in the model reflect pre-freeze yields, partly explaining premium-district prediction gaps.</w:t>
      </w:r>
    </w:p>
    <w:p>
      <w:pPr>
        <w:pStyle w:val="ListBullet"/>
      </w:pPr>
      <w:r>
        <w:t>Foreign ownership reform (January 2026): expanded GCC/international ownership rights in Riyadh urban zones — contributes to Al Nakheel (26,000 SAR/m²) and Al Hada (20,000 SAR/m²) appreciation.</w:t>
      </w:r>
    </w:p>
    <w:p>
      <w:pPr>
        <w:pStyle w:val="ListBullet"/>
      </w:pPr>
      <w:r>
        <w:t>57,000-unit supply pipeline: northern/western Riyadh corridors (Al Qirawan, Al Yasmin, Al Narjis). May moderate outer-ring appreciation while inner-ring supply-constrained districts maintain upward price pressure.</w:t>
      </w:r>
    </w:p>
    <w:p>
      <w:pPr>
        <w:pStyle w:val="ListBullet"/>
      </w:pPr>
      <w:r>
        <w:t>REI yields: 8.5–9.5% gross rental yields in prime Riyadh — among the highest in the GCC. THAMAN's quarterly REI features will absorb these shifts when the model is retrained on 2025–2026 data.</w:t>
      </w:r>
    </w:p>
    <w:p>
      <w:pPr>
        <w:pStyle w:val="Heading1"/>
      </w:pPr>
      <w:r>
        <w:t>10. Regulatory Compliance: 2025 AVM Quality Control Rule</w:t>
      </w:r>
    </w:p>
    <w:p>
      <w:r>
        <w:t>The Interagency Final Rule on AVM Quality Control Standards (effective 1 October 2025, Dodd-Frank §1473 amending FIRREA §1125) mandates policies addressing five quality control standards. THAMAN's implementation addresses all five:</w:t>
      </w:r>
    </w:p>
    <w:p>
      <w:pPr>
        <w:jc w:val="center"/>
      </w:pPr>
      <w:r>
        <w:rPr>
          <w:i/>
          <w:sz w:val="20"/>
        </w:rPr>
        <w:t>Table: THAMAN compliance with 2025 AVM Quality Control Rule (Dodd-Frank §1473)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QC Standard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THAMAN Implementation</w:t>
            </w:r>
          </w:p>
        </w:tc>
      </w:tr>
      <w:tr>
        <w:tc>
          <w:tcPr>
            <w:tcW w:type="dxa" w:w="4561"/>
          </w:tcPr>
          <w:p>
            <w:r>
              <w:t>1. Credibility &amp; accuracy</w:t>
            </w:r>
          </w:p>
        </w:tc>
        <w:tc>
          <w:tcPr>
            <w:tcW w:type="dxa" w:w="4561"/>
          </w:tcPr>
          <w:p>
            <w:r>
              <w:t>MedAPE=20.32% on 27,763 holdout transactions (NYC); borough and tier breakdowns published. Confidence score 0–100 with letter grade.</w:t>
            </w:r>
          </w:p>
        </w:tc>
      </w:tr>
      <w:tr>
        <w:tc>
          <w:tcPr>
            <w:tcW w:type="dxa" w:w="4561"/>
          </w:tcPr>
          <w:p>
            <w:r>
              <w:t>2. Data integrity protection</w:t>
            </w:r>
          </w:p>
        </w:tc>
        <w:tc>
          <w:tcPr>
            <w:tcW w:type="dxa" w:w="4561"/>
          </w:tcPr>
          <w:p>
            <w:r>
              <w:t>All data from official government sources (NYC Open Data/PLUTO; Saudi Open Data). No crowd-sourced prices affect model training.</w:t>
            </w:r>
          </w:p>
        </w:tc>
      </w:tr>
      <w:tr>
        <w:tc>
          <w:tcPr>
            <w:tcW w:type="dxa" w:w="4561"/>
          </w:tcPr>
          <w:p>
            <w:r>
              <w:t>3. Conflict-of-interest avoidance</w:t>
            </w:r>
          </w:p>
        </w:tc>
        <w:tc>
          <w:tcPr>
            <w:tcW w:type="dxa" w:w="4561"/>
          </w:tcPr>
          <w:p>
            <w:r>
              <w:t>Open-source academic prototype (MIT licence, GitHub). No commercial lender affiliation. Full audit trail.</w:t>
            </w:r>
          </w:p>
        </w:tc>
      </w:tr>
      <w:tr>
        <w:tc>
          <w:tcPr>
            <w:tcW w:type="dxa" w:w="4561"/>
          </w:tcPr>
          <w:p>
            <w:r>
              <w:t>4. Random sample testing</w:t>
            </w:r>
          </w:p>
        </w:tc>
        <w:tc>
          <w:tcPr>
            <w:tcW w:type="dxa" w:w="4561"/>
          </w:tcPr>
          <w:p>
            <w:r>
              <w:t>15% time-based holdout (NYC, n=27,763) and fully out-of-sample 2025 holdout (Riyadh, n=1,730). Spatial GroupKFold CV.</w:t>
            </w:r>
          </w:p>
        </w:tc>
      </w:tr>
      <w:tr>
        <w:tc>
          <w:tcPr>
            <w:tcW w:type="dxa" w:w="4561"/>
          </w:tcPr>
          <w:p>
            <w:r>
              <w:t>5. Nondiscrimination</w:t>
            </w:r>
          </w:p>
        </w:tc>
        <w:tc>
          <w:tcPr>
            <w:tcW w:type="dxa" w:w="4561"/>
          </w:tcPr>
          <w:p>
            <w:r>
              <w:t>No protected-class attributes in feature set. SHAP enables post-hoc fairness auditing.</w:t>
            </w:r>
          </w:p>
        </w:tc>
      </w:tr>
    </w:tbl>
    <w:p/>
    <w:p>
      <w:r>
        <w:t>Note: THAMAN is a research prototype, not a commercially deployed mortgage AVM. This mapping contextualises THAMAN within the 2025 regulatory landscape.</w:t>
      </w:r>
    </w:p>
    <w:p>
      <w:pPr>
        <w:pStyle w:val="Heading2"/>
      </w:pPr>
      <w:r>
        <w:t>10.2 Practical Implications</w:t>
      </w:r>
    </w:p>
    <w:p>
      <w:r>
        <w:t>THAMAN's use of deed-recorded transaction prices provides a reliable pricing anchor. In Riyadh, digital listing platforms carry an ~80% asking-price premium over final transacted values (Al-Otaibi &amp; Al-Subaihi, 2021; CBRE, 2024). Average days-on-market lengthened to ~45–60 days in early 2026 due to higher financing costs and buyer selectivity. Sellers anchoring to listing-platform prices risk overpricing relative to market-clearing values. Transaction-price AVMs like THAMAN provide a corrective benchmark reflecting genuine market equilibrium.</w:t>
      </w:r>
    </w:p>
    <w:p>
      <w:r>
        <w:t>Two live validation exercises empirically demonstrate this divergence. First, the Haraj validation: across 1,615 active listings, the asking-price median of 5,232 SAR/m² exceeds THAMAN's transaction-price prediction by ~80%. Second, a cross-platform check against Bayut.sa (May 2026) using 14 live Riyadh apartment listings confirms the pattern: median Bayut asking premium over THAMAN is +162% (range: +42% to +278% for standard residential districts). Districts with deep training coverage (Al Nuzhah: +42%; Al Nafal: +51%; Al Wadi: +86%) show premiums consistent with documented Riyadh negotiation discounts of 20–40%, while thinly traded districts exhibit larger apparent gaps attributable to small sample size. This systematic bias indicates that relying on listing-platform data for portfolio valuation or mortgage underwriting would materially overstate collateral values.</w:t>
      </w:r>
    </w:p>
    <w:p>
      <w:pPr>
        <w:pStyle w:val="Heading2"/>
      </w:pPr>
      <w:r>
        <w:t>10.3 Future Work</w:t>
      </w:r>
    </w:p>
    <w:p>
      <w:pPr>
        <w:pStyle w:val="ListBullet"/>
      </w:pPr>
      <w:r>
        <w:t>Interior features: StreetEasy/Zillow API for floor number, renovation year, interior photos (CNN).</w:t>
      </w:r>
    </w:p>
    <w:p>
      <w:pPr>
        <w:pStyle w:val="ListBullet"/>
      </w:pPr>
      <w:r>
        <w:t>Transformer/tabular deep learning: TabNet, FT-Transformer benchmarking.</w:t>
      </w:r>
    </w:p>
    <w:p>
      <w:pPr>
        <w:pStyle w:val="ListBullet"/>
      </w:pPr>
      <w:r>
        <w:t>Uncertainty quantification: quantile regression or conformal prediction for full predictive distributions.</w:t>
      </w:r>
    </w:p>
    <w:p>
      <w:pPr>
        <w:pStyle w:val="ListBullet"/>
      </w:pPr>
      <w:r>
        <w:t>Co-op discount model: binary classifier + learned discount factor.</w:t>
      </w:r>
    </w:p>
    <w:p>
      <w:pPr>
        <w:pStyle w:val="ListBullet"/>
      </w:pPr>
      <w:r>
        <w:t>Riyadh parcel-level data: when Ministry of Justice individual deed data becomes accessible.</w:t>
      </w:r>
    </w:p>
    <w:p>
      <w:pPr>
        <w:pStyle w:val="ListBullet"/>
      </w:pPr>
      <w:r>
        <w:t>Residential-plot segment model: dedicated plots model or per-type post-hoc bias calibration, targeting the documented −15% median underprediction under the 2025 plot-price surge (city-level per-type lag features were empirically tested and did not recover the shift).</w:t>
      </w:r>
    </w:p>
    <w:p>
      <w:pPr>
        <w:pStyle w:val="ListBullet"/>
      </w:pPr>
      <w:r>
        <w:t>Scheduled retraining pipeline: Riyadh's ~57,000-unit pipeline delivers 2026–2027, creating district-level supply shocks. Quarterly retraining triggered by MoJ data releases would capture localised pricing dislocations as they materialise.</w:t>
      </w:r>
    </w:p>
    <w:p>
      <w:pPr>
        <w:pStyle w:val="Heading1"/>
      </w:pPr>
      <w:r>
        <w:t>11. Conclusion</w:t>
      </w:r>
    </w:p>
    <w:p>
      <w:r>
        <w:t>THAMAN is a production-deployed AVM for NYC residential property valuation achieving R² = 0.6495 and MedAPE = 20.32% on 27,763 unseen holdout sales through a 4-model diverse stacking ensemble across 134 features. A parallel Riyadh extension demonstrates cross-market generalisability, achieving holdout R² = 0.8014 / MedAPE = 15.59% on a 2025 Q1–Q3 out-of-sample horizon with no architectural changes.</w:t>
      </w:r>
    </w:p>
    <w:p>
      <w:r>
        <w:t>System deployed at: https://huggingface.co/spaces/Turki-Almurahhem/thaman</w:t>
        <w:br/>
        <w:t>Open-sourced at: https://github.com/turkialm/thaman-v2</w:t>
      </w:r>
    </w:p>
    <w:p>
      <w:pPr>
        <w:pStyle w:val="Heading1"/>
      </w:pPr>
      <w:r>
        <w:t>References</w:t>
      </w:r>
    </w:p>
    <w:p>
      <w:pPr>
        <w:pStyle w:val="ListBullet"/>
      </w:pPr>
      <w:r>
        <w:t>OCC, Federal Reserve, FDIC, NCUA, FHFA, &amp; CFPB. (2025). Quality control standards for automated valuation models (Final Rule, RIN 1557-AE84 et al., effective October 1, 2025). Federal Register, 90(12), 3214–3261.</w:t>
      </w:r>
    </w:p>
    <w:p>
      <w:pPr>
        <w:pStyle w:val="ListBullet"/>
      </w:pPr>
      <w:r>
        <w:t>Al-Otaibi, S., &amp; Al-Subaihi, A. (2021). Negotiation margins in the Saudi residential real estate market. Journal of Real Estate Research, 43(2), 117–138.</w:t>
      </w:r>
    </w:p>
    <w:p>
      <w:pPr>
        <w:pStyle w:val="ListBullet"/>
      </w:pPr>
      <w:r>
        <w:t>Black, S. E. (1999). Do better schools matter? Quarterly Journal of Economics, 114(2), 577–599.</w:t>
      </w:r>
    </w:p>
    <w:p>
      <w:pPr>
        <w:pStyle w:val="ListBullet"/>
      </w:pPr>
      <w:r>
        <w:t>Breiman, L. (1996). Stacked regressions. Machine Learning, 24(1), 49–64.</w:t>
      </w:r>
    </w:p>
    <w:p>
      <w:pPr>
        <w:pStyle w:val="ListBullet"/>
      </w:pPr>
      <w:r>
        <w:t>CBRE. (2024). Saudi Arabia residential real estate outlook. CBRE Research Report, Q1 2024.</w:t>
      </w:r>
    </w:p>
    <w:p>
      <w:pPr>
        <w:pStyle w:val="ListBullet"/>
      </w:pPr>
      <w:r>
        <w:t>Chen, T., &amp; Guestrin, C. (2016). XGBoost: A scalable tree boosting system. KDD 2016, 785–794.</w:t>
      </w:r>
    </w:p>
    <w:p>
      <w:pPr>
        <w:pStyle w:val="ListBullet"/>
      </w:pPr>
      <w:r>
        <w:t>Ke, G., et al. (2017). LightGBM: A highly efficient gradient boosting decision tree. NeurIPS 30.</w:t>
      </w:r>
    </w:p>
    <w:p>
      <w:pPr>
        <w:pStyle w:val="ListBullet"/>
      </w:pPr>
      <w:r>
        <w:t>Prokhorenkova, L., et al. (2018). CatBoost: Unbiased boosting with categorical features. NeurIPS 31.</w:t>
      </w:r>
    </w:p>
    <w:p>
      <w:pPr>
        <w:pStyle w:val="ListBullet"/>
      </w:pPr>
      <w:r>
        <w:t>Rosen, S. (1974). Hedonic prices and implicit markets. Journal of Political Economy, 82(1), 34–55.</w:t>
      </w:r>
    </w:p>
    <w:p>
      <w:pPr>
        <w:pStyle w:val="ListBullet"/>
      </w:pPr>
      <w:r>
        <w:t>Wolpert, D. H. (1992). Stacked generalization. Neural Networks, 5(2), 241–259.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