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left"/>
      </w:pPr>
      <w:r>
        <w:rPr>
          <w:rFonts w:ascii="Tahoma" w:cs="Tahoma" w:eastAsia="Tahoma" w:hAnsi="Tahoma"/>
          <w:b/>
          <w:bCs/>
          <w:color w:val="A9843C"/>
          <w:sz w:val="16"/>
          <w:szCs w:val="16"/>
          <w:rtl/>
        </w:rPr>
        <w:t xml:space="preserve">الرقم:</w:t>
      </w:r>
      <w:r>
        <w:rPr>
          <w:rFonts w:ascii="Tahoma" w:cs="Tahoma" w:eastAsia="Tahoma" w:hAnsi="Tahoma"/>
          <w:color w:val="9AA5B1"/>
          <w:sz w:val="16"/>
          <w:szCs w:val="16"/>
          <w:rtl/>
        </w:rPr>
        <w:t xml:space="preserve">  ..........................</w:t>
      </w:r>
    </w:p>
    <w:p>
      <w:pPr>
        <w:bidi/>
        <w:spacing w:after="60"/>
        <w:jc w:val="left"/>
      </w:pPr>
      <w:r>
        <w:rPr>
          <w:rFonts w:ascii="Tahoma" w:cs="Tahoma" w:eastAsia="Tahoma" w:hAnsi="Tahoma"/>
          <w:b/>
          <w:bCs/>
          <w:color w:val="A9843C"/>
          <w:sz w:val="16"/>
          <w:szCs w:val="16"/>
          <w:rtl/>
        </w:rPr>
        <w:t xml:space="preserve">التاريخ:</w:t>
      </w:r>
      <w:r>
        <w:rPr>
          <w:rFonts w:ascii="Tahoma" w:cs="Tahoma" w:eastAsia="Tahoma" w:hAnsi="Tahoma"/>
          <w:color w:val="9AA5B1"/>
          <w:sz w:val="16"/>
          <w:szCs w:val="16"/>
          <w:rtl/>
        </w:rPr>
        <w:t xml:space="preserve">  ..........................</w:t>
      </w:r>
    </w:p>
    <w:p>
      <w:pPr>
        <w:bidi/>
        <w:spacing w:after="60"/>
        <w:jc w:val="left"/>
      </w:pPr>
      <w:r>
        <w:rPr>
          <w:rFonts w:ascii="Tahoma" w:cs="Tahoma" w:eastAsia="Tahoma" w:hAnsi="Tahoma"/>
          <w:b/>
          <w:bCs/>
          <w:color w:val="A9843C"/>
          <w:sz w:val="16"/>
          <w:szCs w:val="16"/>
          <w:rtl/>
        </w:rPr>
        <w:t xml:space="preserve">المرفقات:</w:t>
      </w:r>
      <w:r>
        <w:rPr>
          <w:rFonts w:ascii="Tahoma" w:cs="Tahoma" w:eastAsia="Tahoma" w:hAnsi="Tahoma"/>
          <w:color w:val="9AA5B1"/>
          <w:sz w:val="16"/>
          <w:szCs w:val="16"/>
          <w:rtl/>
        </w:rPr>
        <w:t xml:space="preserve">  ..........................</w:t>
      </w:r>
    </w:p>
    <w:p>
      <w:pPr>
        <w:spacing w:after="300"/>
      </w:pPr>
    </w:p>
    <w:p>
      <w:pPr>
        <w:bidi/>
        <w:jc w:val="right"/>
      </w:pPr>
      <w:r>
        <w:rPr>
          <w:rFonts w:ascii="Tahoma" w:cs="Tahoma" w:eastAsia="Tahoma" w:hAnsi="Tahoma"/>
          <w:color w:val="0B1626"/>
          <w:sz w:val="22"/>
          <w:szCs w:val="22"/>
          <w:rtl/>
        </w:rPr>
        <w:t xml:space="preserve">السادة / ………………………………………</w:t>
      </w:r>
    </w:p>
    <w:p/>
    <w:p>
      <w:pPr>
        <w:bidi/>
        <w:jc w:val="right"/>
      </w:pPr>
      <w:r>
        <w:rPr>
          <w:rFonts w:ascii="Tahoma" w:cs="Tahoma" w:eastAsia="Tahoma" w:hAnsi="Tahoma"/>
          <w:color w:val="0B1626"/>
          <w:sz w:val="22"/>
          <w:szCs w:val="22"/>
          <w:rtl/>
        </w:rPr>
        <w:t xml:space="preserve">اكتب نص الخطاب هنا.</w:t>
      </w:r>
    </w:p>
    <w:sectPr>
      <w:headerReference w:type="default" r:id="rId7"/>
      <w:footerReference w:type="default" r:id="rId8"/>
      <w:pgSz w:w="11906" w:h="16838" w:orient="portrait"/>
      <w:pgMar w:top="2000" w:right="1134" w:bottom="17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638"/>
    </w:tblGrid>
    <w:tr>
      <w:tc>
        <w:tcPr>
          <w:tcW w:type="dxa" w:w="9638"/>
          <w:tcBorders>
            <w:top w:val="single" w:color="D0A751" w:sz="12"/>
            <w:left w:val="none" w:color="0B1626" w:sz="0"/>
            <w:bottom w:val="none" w:color="0B1626" w:sz="0"/>
            <w:right w:val="none" w:color="0B1626" w:sz="0"/>
          </w:tcBorders>
          <w:shd w:fill="0B1626" w:color="auto" w:val="clear"/>
          <w:tcMar>
            <w:top w:type="dxa" w:w="110"/>
            <w:left w:type="dxa" w:w="160"/>
            <w:bottom w:type="dxa" w:w="110"/>
            <w:right w:type="dxa" w:w="160"/>
          </w:tcMar>
          <w:vAlign w:val="center"/>
        </w:tcPr>
        <w:p>
          <w:pPr>
            <w:bidi/>
            <w:spacing w:after="40" w:before="40"/>
            <w:jc w:val="center"/>
          </w:pPr>
          <w:r>
            <w:rPr>
              <w:rFonts w:ascii="Tahoma" w:cs="Tahoma" w:eastAsia="Tahoma" w:hAnsi="Tahoma"/>
              <w:color w:val="FFFFFF"/>
              <w:sz w:val="15"/>
              <w:szCs w:val="15"/>
              <w:rtl/>
            </w:rPr>
            <w:t xml:space="preserve">حي الياسمين، الرياض 13326   |   +966 56 677 0888   |   turki@taap.sa   |   taap.sa</w:t>
          </w:r>
        </w:p>
        <w:p>
          <w:pPr>
            <w:bidi/>
            <w:spacing w:after="40" w:before="40"/>
            <w:jc w:val="center"/>
          </w:pPr>
          <w:r>
            <w:rPr>
              <w:rFonts w:ascii="Tahoma" w:cs="Tahoma" w:eastAsia="Tahoma" w:hAnsi="Tahoma"/>
              <w:color w:val="E6C988"/>
              <w:sz w:val="14"/>
              <w:szCs w:val="14"/>
              <w:rtl/>
            </w:rPr>
            <w:t xml:space="preserve">رخصة مزاولة المحاماة رقم 4477 · السجل الموحد 7030708403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A751" w:sz="8" w:space="8"/>
      </w:pBdr>
      <w:bidi/>
      <w:spacing w:after="120"/>
      <w:jc w:val="right"/>
    </w:pPr>
    <w:r>
      <w:drawing>
        <wp:inline distT="0" distB="0" distL="0" distR="0">
          <wp:extent cx="2238375" cy="657225"/>
          <wp:effectExtent t="0" r="0" b="0" l="0"/>
          <wp:docPr id="1" name="logo" descr="Firm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9af5deb09676161f62ba54ddcb3731681307c5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ورقة رسمية</dc:title>
  <dc:creator>Turki AlNaif &amp; Partners</dc:creator>
  <cp:lastModifiedBy>Un-named</cp:lastModifiedBy>
  <cp:revision>1</cp:revision>
  <dcterms:created xsi:type="dcterms:W3CDTF">2026-09-26T00:53:13.372Z</dcterms:created>
  <dcterms:modified xsi:type="dcterms:W3CDTF">2026-09-26T00:53:13.377Z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