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Grocery Store ABM Research Notes</w:t>
      </w:r>
    </w:p>
    <w:p>
      <w:pPr>
        <w:pStyle w:val="Subtitle"/>
      </w:pPr>
      <w:r>
        <w:t>Evidence summary and implementation assumptions for the store-layout simulation</w:t>
      </w:r>
    </w:p>
    <w:p>
      <w:pPr>
        <w:pStyle w:val="Heading1"/>
      </w:pPr>
      <w:r>
        <w:t>Key Findings</w:t>
      </w:r>
    </w:p>
    <w:p>
      <w:pPr>
        <w:pStyle w:val="ListBullet"/>
      </w:pPr>
      <w:r>
        <w:t>A full-size U.S. supermarket benchmark is about 2,225 in-store transactions per day, derived from FMI's 2024 average weekly sales and in-store transaction value.</w:t>
      </w:r>
    </w:p>
    <w:p>
      <w:pPr>
        <w:pStyle w:val="ListBullet"/>
      </w:pPr>
      <w:r>
        <w:t>The model should keep shopper population configurable: the live app now uses a daily shopper population text field rather than a capped slider.</w:t>
      </w:r>
    </w:p>
    <w:p>
      <w:pPr>
        <w:pStyle w:val="ListBullet"/>
      </w:pPr>
      <w:r>
        <w:t>Common grocery baskets should strongly feature dairy, produce, bread/bakery, snacks, and fresh meat, with pantry staples included as routine list items.</w:t>
      </w:r>
    </w:p>
    <w:p>
      <w:pPr>
        <w:pStyle w:val="ListBullet"/>
      </w:pPr>
      <w:r>
        <w:t>Product placement should keep produce and bakery near the front, dairy and meat toward the rear/perimeter, center aisles for pantry/snacks/household goods, and checkout for impulse items.</w:t>
      </w:r>
    </w:p>
    <w:p>
      <w:pPr>
        <w:pStyle w:val="ListBullet"/>
      </w:pPr>
      <w:r>
        <w:t>Abandonment should be tied to time, congestion, and checkout delays, and revenue should only be recognized when checkout completes.</w:t>
      </w:r>
    </w:p>
    <w:p>
      <w:pPr>
        <w:pStyle w:val="Heading1"/>
      </w:pPr>
      <w:r>
        <w:t>Benchmarks Used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vAlign w:val="center"/>
            <w:shd w:fill="F2F4F7"/>
          </w:tcPr>
          <w:p>
            <w:pPr>
              <w:spacing w:after="40"/>
            </w:pPr>
            <w:r>
              <w:rPr>
                <w:rFonts w:ascii="Calibri" w:hAnsi="Calibri"/>
                <w:b/>
                <w:sz w:val="19"/>
              </w:rPr>
              <w:t>Topic</w:t>
            </w:r>
          </w:p>
        </w:tc>
        <w:tc>
          <w:tcPr>
            <w:tcW w:type="dxa" w:w="4248"/>
            <w:vAlign w:val="center"/>
            <w:shd w:fill="F2F4F7"/>
          </w:tcPr>
          <w:p>
            <w:pPr>
              <w:spacing w:after="40"/>
            </w:pPr>
            <w:r>
              <w:rPr>
                <w:rFonts w:ascii="Calibri" w:hAnsi="Calibri"/>
                <w:b/>
                <w:sz w:val="19"/>
              </w:rPr>
              <w:t>Evidence</w:t>
            </w:r>
          </w:p>
        </w:tc>
        <w:tc>
          <w:tcPr>
            <w:tcW w:type="dxa" w:w="3168"/>
            <w:vAlign w:val="center"/>
            <w:shd w:fill="F2F4F7"/>
          </w:tcPr>
          <w:p>
            <w:pPr>
              <w:spacing w:after="40"/>
            </w:pPr>
            <w:r>
              <w:rPr>
                <w:rFonts w:ascii="Calibri" w:hAnsi="Calibri"/>
                <w:b/>
                <w:sz w:val="19"/>
              </w:rPr>
              <w:t>Simulation Use</w:t>
            </w:r>
          </w:p>
        </w:tc>
      </w:tr>
      <w:tr>
        <w:tc>
          <w:tcPr>
            <w:tcW w:type="dxa" w:w="1944"/>
            <w:vAlign w:val="center"/>
          </w:tcPr>
          <w:p>
            <w:pPr>
              <w:spacing w:after="40"/>
            </w:pPr>
            <w:r>
              <w:rPr>
                <w:rFonts w:ascii="Calibri" w:hAnsi="Calibri"/>
                <w:sz w:val="19"/>
              </w:rPr>
              <w:t>Daily shopper count</w:t>
            </w:r>
          </w:p>
        </w:tc>
        <w:tc>
          <w:tcPr>
            <w:tcW w:type="dxa" w:w="4248"/>
            <w:vAlign w:val="center"/>
          </w:tcPr>
          <w:p>
            <w:pPr>
              <w:spacing w:after="40"/>
            </w:pPr>
            <w:r>
              <w:rPr>
                <w:rFonts w:ascii="Calibri" w:hAnsi="Calibri"/>
                <w:sz w:val="19"/>
              </w:rPr>
              <w:t>FMI reports 2024 average weekly supermarket sales of $711,806 and in-store sales per transaction of $45.70. Dividing sales by transaction value and seven days gives about 2,225 transactions per day.</w:t>
            </w:r>
          </w:p>
        </w:tc>
        <w:tc>
          <w:tcPr>
            <w:tcW w:type="dxa" w:w="3168"/>
            <w:vAlign w:val="center"/>
          </w:tcPr>
          <w:p>
            <w:pPr>
              <w:spacing w:after="40"/>
            </w:pPr>
            <w:r>
              <w:rPr>
                <w:rFonts w:ascii="Calibri" w:hAnsi="Calibri"/>
                <w:sz w:val="19"/>
              </w:rPr>
              <w:t>The app keeps an unrestricted daily shopper input. The default is 400 for responsive classroom/demo runs; 2,225 can be entered for full supermarket scale.</w:t>
            </w:r>
          </w:p>
        </w:tc>
      </w:tr>
      <w:tr>
        <w:tc>
          <w:tcPr>
            <w:tcW w:type="dxa" w:w="1944"/>
            <w:vAlign w:val="center"/>
          </w:tcPr>
          <w:p>
            <w:pPr>
              <w:spacing w:after="40"/>
            </w:pPr>
            <w:r>
              <w:rPr>
                <w:rFonts w:ascii="Calibri" w:hAnsi="Calibri"/>
                <w:sz w:val="19"/>
              </w:rPr>
              <w:t>Shopping duration</w:t>
            </w:r>
          </w:p>
        </w:tc>
        <w:tc>
          <w:tcPr>
            <w:tcW w:type="dxa" w:w="4248"/>
            <w:vAlign w:val="center"/>
          </w:tcPr>
          <w:p>
            <w:pPr>
              <w:spacing w:after="40"/>
            </w:pPr>
            <w:r>
              <w:rPr>
                <w:rFonts w:ascii="Calibri" w:hAnsi="Calibri"/>
                <w:sz w:val="19"/>
              </w:rPr>
              <w:t>Capital One Shopping summarizes grocery behavior at about 46 minutes per trip for the average U.S. consumer.</w:t>
            </w:r>
          </w:p>
        </w:tc>
        <w:tc>
          <w:tcPr>
            <w:tcW w:type="dxa" w:w="3168"/>
            <w:vAlign w:val="center"/>
          </w:tcPr>
          <w:p>
            <w:pPr>
              <w:spacing w:after="40"/>
            </w:pPr>
            <w:r>
              <w:rPr>
                <w:rFonts w:ascii="Calibri" w:hAnsi="Calibri"/>
                <w:sz w:val="19"/>
              </w:rPr>
              <w:t>The model now uses 720 steps for a 12-hour day, making one step approximately one minute by default.</w:t>
            </w:r>
          </w:p>
        </w:tc>
      </w:tr>
      <w:tr>
        <w:tc>
          <w:tcPr>
            <w:tcW w:type="dxa" w:w="1944"/>
            <w:vAlign w:val="center"/>
          </w:tcPr>
          <w:p>
            <w:pPr>
              <w:spacing w:after="40"/>
            </w:pPr>
            <w:r>
              <w:rPr>
                <w:rFonts w:ascii="Calibri" w:hAnsi="Calibri"/>
                <w:sz w:val="19"/>
              </w:rPr>
              <w:t>Basket/list categories</w:t>
            </w:r>
          </w:p>
        </w:tc>
        <w:tc>
          <w:tcPr>
            <w:tcW w:type="dxa" w:w="4248"/>
            <w:vAlign w:val="center"/>
          </w:tcPr>
          <w:p>
            <w:pPr>
              <w:spacing w:after="40"/>
            </w:pPr>
            <w:r>
              <w:rPr>
                <w:rFonts w:ascii="Calibri" w:hAnsi="Calibri"/>
                <w:sz w:val="19"/>
              </w:rPr>
              <w:t>Progressive Grocer's Consumer Expenditures Study lists dairy, fresh produce, bread/bakery, salty snacks, and fresh meat/seafood among the top monthly grocery categories.</w:t>
            </w:r>
          </w:p>
        </w:tc>
        <w:tc>
          <w:tcPr>
            <w:tcW w:type="dxa" w:w="3168"/>
            <w:vAlign w:val="center"/>
          </w:tcPr>
          <w:p>
            <w:pPr>
              <w:spacing w:after="40"/>
            </w:pPr>
            <w:r>
              <w:rPr>
                <w:rFonts w:ascii="Calibri" w:hAnsi="Calibri"/>
                <w:sz w:val="19"/>
              </w:rPr>
              <w:t>The product set now includes eggs, potatoes, rice, pasta, cereal, canned tuna, coffee, and ground beef, with higher list probabilities for common staples.</w:t>
            </w:r>
          </w:p>
        </w:tc>
      </w:tr>
      <w:tr>
        <w:tc>
          <w:tcPr>
            <w:tcW w:type="dxa" w:w="1944"/>
            <w:vAlign w:val="center"/>
          </w:tcPr>
          <w:p>
            <w:pPr>
              <w:spacing w:after="40"/>
            </w:pPr>
            <w:r>
              <w:rPr>
                <w:rFonts w:ascii="Calibri" w:hAnsi="Calibri"/>
                <w:sz w:val="19"/>
              </w:rPr>
              <w:t>Basket size</w:t>
            </w:r>
          </w:p>
        </w:tc>
        <w:tc>
          <w:tcPr>
            <w:tcW w:type="dxa" w:w="4248"/>
            <w:vAlign w:val="center"/>
          </w:tcPr>
          <w:p>
            <w:pPr>
              <w:spacing w:after="40"/>
            </w:pPr>
            <w:r>
              <w:rPr>
                <w:rFonts w:ascii="Calibri" w:hAnsi="Calibri"/>
                <w:sz w:val="19"/>
              </w:rPr>
              <w:t>A Journal of Marketing Analytics grocery-basket study reports 3.852 purchased categories per visit, with milk the most frequent category.</w:t>
            </w:r>
          </w:p>
        </w:tc>
        <w:tc>
          <w:tcPr>
            <w:tcW w:type="dxa" w:w="3168"/>
            <w:vAlign w:val="center"/>
          </w:tcPr>
          <w:p>
            <w:pPr>
              <w:spacing w:after="40"/>
            </w:pPr>
            <w:r>
              <w:rPr>
                <w:rFonts w:ascii="Calibri" w:hAnsi="Calibri"/>
                <w:sz w:val="19"/>
              </w:rPr>
              <w:t>Shopper lists now usually span several categories rather than only one department.</w:t>
            </w:r>
          </w:p>
        </w:tc>
      </w:tr>
      <w:tr>
        <w:tc>
          <w:tcPr>
            <w:tcW w:type="dxa" w:w="1944"/>
            <w:vAlign w:val="center"/>
          </w:tcPr>
          <w:p>
            <w:pPr>
              <w:spacing w:after="40"/>
            </w:pPr>
            <w:r>
              <w:rPr>
                <w:rFonts w:ascii="Calibri" w:hAnsi="Calibri"/>
                <w:sz w:val="19"/>
              </w:rPr>
              <w:t>Checkout tolerance</w:t>
            </w:r>
          </w:p>
        </w:tc>
        <w:tc>
          <w:tcPr>
            <w:tcW w:type="dxa" w:w="4248"/>
            <w:vAlign w:val="center"/>
          </w:tcPr>
          <w:p>
            <w:pPr>
              <w:spacing w:after="40"/>
            </w:pPr>
            <w:r>
              <w:rPr>
                <w:rFonts w:ascii="Calibri" w:hAnsi="Calibri"/>
                <w:sz w:val="19"/>
              </w:rPr>
              <w:t>Bain's NPS Prism grocery research indicates shoppers' satisfaction drops when checkout waits exceed roughly five minutes.</w:t>
            </w:r>
          </w:p>
        </w:tc>
        <w:tc>
          <w:tcPr>
            <w:tcW w:type="dxa" w:w="3168"/>
            <w:vAlign w:val="center"/>
          </w:tcPr>
          <w:p>
            <w:pPr>
              <w:spacing w:after="40"/>
            </w:pPr>
            <w:r>
              <w:rPr>
                <w:rFonts w:ascii="Calibri" w:hAnsi="Calibri"/>
                <w:sz w:val="19"/>
              </w:rPr>
              <w:t>Checkout waits now consume checkout patience, and shoppers can abandon at checkout if the queue becomes too costly.</w:t>
            </w:r>
          </w:p>
        </w:tc>
      </w:tr>
    </w:tbl>
    <w:p>
      <w:pPr>
        <w:pStyle w:val="Heading1"/>
      </w:pPr>
      <w:r>
        <w:t>Store Layout Assumptions</w:t>
      </w:r>
    </w:p>
    <w:p>
      <w:r>
        <w:t>Multiple retail-layout sources agree on a common supermarket pattern: fresh foods anchor the perimeter, packaged goods sit in center aisles, and checkout lanes hold small impulse items. POS Nation specifically recommends produce at the front, staples such as milk, eggs, and bread toward the back, bakery scent near the entrance, and grab-and-go products near entrance or checkout. GoodRx similarly describes produce/flowers near entry, packaged goods in the center, dairy in the far back, and checkout impulse placement.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vAlign w:val="center"/>
            <w:shd w:fill="F2F4F7"/>
          </w:tcPr>
          <w:p>
            <w:pPr>
              <w:spacing w:after="40"/>
            </w:pPr>
            <w:r>
              <w:rPr>
                <w:rFonts w:ascii="Calibri" w:hAnsi="Calibri"/>
                <w:b/>
                <w:sz w:val="19"/>
              </w:rPr>
              <w:t>Department</w:t>
            </w:r>
          </w:p>
        </w:tc>
        <w:tc>
          <w:tcPr>
            <w:tcW w:type="dxa" w:w="3240"/>
            <w:vAlign w:val="center"/>
            <w:shd w:fill="F2F4F7"/>
          </w:tcPr>
          <w:p>
            <w:pPr>
              <w:spacing w:after="40"/>
            </w:pPr>
            <w:r>
              <w:rPr>
                <w:rFonts w:ascii="Calibri" w:hAnsi="Calibri"/>
                <w:b/>
                <w:sz w:val="19"/>
              </w:rPr>
              <w:t>Typical Location</w:t>
            </w:r>
          </w:p>
        </w:tc>
        <w:tc>
          <w:tcPr>
            <w:tcW w:type="dxa" w:w="4320"/>
            <w:vAlign w:val="center"/>
            <w:shd w:fill="F2F4F7"/>
          </w:tcPr>
          <w:p>
            <w:pPr>
              <w:spacing w:after="40"/>
            </w:pPr>
            <w:r>
              <w:rPr>
                <w:rFonts w:ascii="Calibri" w:hAnsi="Calibri"/>
                <w:b/>
                <w:sz w:val="19"/>
              </w:rPr>
              <w:t>Current ABM Adjustment</w:t>
            </w:r>
          </w:p>
        </w:tc>
      </w:tr>
      <w:tr>
        <w:tc>
          <w:tcPr>
            <w:tcW w:type="dxa" w:w="1800"/>
            <w:vAlign w:val="center"/>
          </w:tcPr>
          <w:p>
            <w:pPr>
              <w:spacing w:after="40"/>
            </w:pPr>
            <w:r>
              <w:rPr>
                <w:rFonts w:ascii="Calibri" w:hAnsi="Calibri"/>
                <w:sz w:val="19"/>
              </w:rPr>
              <w:t>Produce</w:t>
            </w:r>
          </w:p>
        </w:tc>
        <w:tc>
          <w:tcPr>
            <w:tcW w:type="dxa" w:w="3240"/>
            <w:vAlign w:val="center"/>
          </w:tcPr>
          <w:p>
            <w:pPr>
              <w:spacing w:after="40"/>
            </w:pPr>
            <w:r>
              <w:rPr>
                <w:rFonts w:ascii="Calibri" w:hAnsi="Calibri"/>
                <w:sz w:val="19"/>
              </w:rPr>
              <w:t>Front/perimeter near entrance</w:t>
            </w:r>
          </w:p>
        </w:tc>
        <w:tc>
          <w:tcPr>
            <w:tcW w:type="dxa" w:w="4320"/>
            <w:vAlign w:val="center"/>
          </w:tcPr>
          <w:p>
            <w:pPr>
              <w:spacing w:after="40"/>
            </w:pPr>
            <w:r>
              <w:rPr>
                <w:rFonts w:ascii="Calibri" w:hAnsi="Calibri"/>
                <w:sz w:val="19"/>
              </w:rPr>
              <w:t>Moved produce zone closer to the entrance side and added potatoes as a staple.</w:t>
            </w:r>
          </w:p>
        </w:tc>
      </w:tr>
      <w:tr>
        <w:tc>
          <w:tcPr>
            <w:tcW w:type="dxa" w:w="1800"/>
            <w:vAlign w:val="center"/>
          </w:tcPr>
          <w:p>
            <w:pPr>
              <w:spacing w:after="40"/>
            </w:pPr>
            <w:r>
              <w:rPr>
                <w:rFonts w:ascii="Calibri" w:hAnsi="Calibri"/>
                <w:sz w:val="19"/>
              </w:rPr>
              <w:t>Bakery</w:t>
            </w:r>
          </w:p>
        </w:tc>
        <w:tc>
          <w:tcPr>
            <w:tcW w:type="dxa" w:w="3240"/>
            <w:vAlign w:val="center"/>
          </w:tcPr>
          <w:p>
            <w:pPr>
              <w:spacing w:after="40"/>
            </w:pPr>
            <w:r>
              <w:rPr>
                <w:rFonts w:ascii="Calibri" w:hAnsi="Calibri"/>
                <w:sz w:val="19"/>
              </w:rPr>
              <w:t>Near entrance or early route</w:t>
            </w:r>
          </w:p>
        </w:tc>
        <w:tc>
          <w:tcPr>
            <w:tcW w:type="dxa" w:w="4320"/>
            <w:vAlign w:val="center"/>
          </w:tcPr>
          <w:p>
            <w:pPr>
              <w:spacing w:after="40"/>
            </w:pPr>
            <w:r>
              <w:rPr>
                <w:rFonts w:ascii="Calibri" w:hAnsi="Calibri"/>
                <w:sz w:val="19"/>
              </w:rPr>
              <w:t>Kept bakery near the front route for scent/impulse exposure.</w:t>
            </w:r>
          </w:p>
        </w:tc>
      </w:tr>
      <w:tr>
        <w:tc>
          <w:tcPr>
            <w:tcW w:type="dxa" w:w="1800"/>
            <w:vAlign w:val="center"/>
          </w:tcPr>
          <w:p>
            <w:pPr>
              <w:spacing w:after="40"/>
            </w:pPr>
            <w:r>
              <w:rPr>
                <w:rFonts w:ascii="Calibri" w:hAnsi="Calibri"/>
                <w:sz w:val="19"/>
              </w:rPr>
              <w:t>Dairy/Eggs</w:t>
            </w:r>
          </w:p>
        </w:tc>
        <w:tc>
          <w:tcPr>
            <w:tcW w:type="dxa" w:w="3240"/>
            <w:vAlign w:val="center"/>
          </w:tcPr>
          <w:p>
            <w:pPr>
              <w:spacing w:after="40"/>
            </w:pPr>
            <w:r>
              <w:rPr>
                <w:rFonts w:ascii="Calibri" w:hAnsi="Calibri"/>
                <w:sz w:val="19"/>
              </w:rPr>
              <w:t>Rear/perimeter</w:t>
            </w:r>
          </w:p>
        </w:tc>
        <w:tc>
          <w:tcPr>
            <w:tcW w:type="dxa" w:w="4320"/>
            <w:vAlign w:val="center"/>
          </w:tcPr>
          <w:p>
            <w:pPr>
              <w:spacing w:after="40"/>
            </w:pPr>
            <w:r>
              <w:rPr>
                <w:rFonts w:ascii="Calibri" w:hAnsi="Calibri"/>
                <w:sz w:val="19"/>
              </w:rPr>
              <w:t>Added eggs and retained dairy in the far section.</w:t>
            </w:r>
          </w:p>
        </w:tc>
      </w:tr>
      <w:tr>
        <w:tc>
          <w:tcPr>
            <w:tcW w:type="dxa" w:w="1800"/>
            <w:vAlign w:val="center"/>
          </w:tcPr>
          <w:p>
            <w:pPr>
              <w:spacing w:after="40"/>
            </w:pPr>
            <w:r>
              <w:rPr>
                <w:rFonts w:ascii="Calibri" w:hAnsi="Calibri"/>
                <w:sz w:val="19"/>
              </w:rPr>
              <w:t>Meat</w:t>
            </w:r>
          </w:p>
        </w:tc>
        <w:tc>
          <w:tcPr>
            <w:tcW w:type="dxa" w:w="3240"/>
            <w:vAlign w:val="center"/>
          </w:tcPr>
          <w:p>
            <w:pPr>
              <w:spacing w:after="40"/>
            </w:pPr>
            <w:r>
              <w:rPr>
                <w:rFonts w:ascii="Calibri" w:hAnsi="Calibri"/>
                <w:sz w:val="19"/>
              </w:rPr>
              <w:t>Rear/perimeter</w:t>
            </w:r>
          </w:p>
        </w:tc>
        <w:tc>
          <w:tcPr>
            <w:tcW w:type="dxa" w:w="4320"/>
            <w:vAlign w:val="center"/>
          </w:tcPr>
          <w:p>
            <w:pPr>
              <w:spacing w:after="40"/>
            </w:pPr>
            <w:r>
              <w:rPr>
                <w:rFonts w:ascii="Calibri" w:hAnsi="Calibri"/>
                <w:sz w:val="19"/>
              </w:rPr>
              <w:t>Retained meat on the rear side and added ground beef.</w:t>
            </w:r>
          </w:p>
        </w:tc>
      </w:tr>
      <w:tr>
        <w:tc>
          <w:tcPr>
            <w:tcW w:type="dxa" w:w="1800"/>
            <w:vAlign w:val="center"/>
          </w:tcPr>
          <w:p>
            <w:pPr>
              <w:spacing w:after="40"/>
            </w:pPr>
            <w:r>
              <w:rPr>
                <w:rFonts w:ascii="Calibri" w:hAnsi="Calibri"/>
                <w:sz w:val="19"/>
              </w:rPr>
              <w:t>Pantry</w:t>
            </w:r>
          </w:p>
        </w:tc>
        <w:tc>
          <w:tcPr>
            <w:tcW w:type="dxa" w:w="3240"/>
            <w:vAlign w:val="center"/>
          </w:tcPr>
          <w:p>
            <w:pPr>
              <w:spacing w:after="40"/>
            </w:pPr>
            <w:r>
              <w:rPr>
                <w:rFonts w:ascii="Calibri" w:hAnsi="Calibri"/>
                <w:sz w:val="19"/>
              </w:rPr>
              <w:t>Center aisles</w:t>
            </w:r>
          </w:p>
        </w:tc>
        <w:tc>
          <w:tcPr>
            <w:tcW w:type="dxa" w:w="4320"/>
            <w:vAlign w:val="center"/>
          </w:tcPr>
          <w:p>
            <w:pPr>
              <w:spacing w:after="40"/>
            </w:pPr>
            <w:r>
              <w:rPr>
                <w:rFonts w:ascii="Calibri" w:hAnsi="Calibri"/>
                <w:sz w:val="19"/>
              </w:rPr>
              <w:t>Added a pantry category for rice, pasta, cereal, canned tuna, and coffee.</w:t>
            </w:r>
          </w:p>
        </w:tc>
      </w:tr>
      <w:tr>
        <w:tc>
          <w:tcPr>
            <w:tcW w:type="dxa" w:w="1800"/>
            <w:vAlign w:val="center"/>
          </w:tcPr>
          <w:p>
            <w:pPr>
              <w:spacing w:after="40"/>
            </w:pPr>
            <w:r>
              <w:rPr>
                <w:rFonts w:ascii="Calibri" w:hAnsi="Calibri"/>
                <w:sz w:val="19"/>
              </w:rPr>
              <w:t>Snacks</w:t>
            </w:r>
          </w:p>
        </w:tc>
        <w:tc>
          <w:tcPr>
            <w:tcW w:type="dxa" w:w="3240"/>
            <w:vAlign w:val="center"/>
          </w:tcPr>
          <w:p>
            <w:pPr>
              <w:spacing w:after="40"/>
            </w:pPr>
            <w:r>
              <w:rPr>
                <w:rFonts w:ascii="Calibri" w:hAnsi="Calibri"/>
                <w:sz w:val="19"/>
              </w:rPr>
              <w:t>Center aisles/endcaps/high exposure</w:t>
            </w:r>
          </w:p>
        </w:tc>
        <w:tc>
          <w:tcPr>
            <w:tcW w:type="dxa" w:w="4320"/>
            <w:vAlign w:val="center"/>
          </w:tcPr>
          <w:p>
            <w:pPr>
              <w:spacing w:after="40"/>
            </w:pPr>
            <w:r>
              <w:rPr>
                <w:rFonts w:ascii="Calibri" w:hAnsi="Calibri"/>
                <w:sz w:val="19"/>
              </w:rPr>
              <w:t>Raised snack list probability and kept impulse behavior.</w:t>
            </w:r>
          </w:p>
        </w:tc>
      </w:tr>
      <w:tr>
        <w:tc>
          <w:tcPr>
            <w:tcW w:type="dxa" w:w="1800"/>
            <w:vAlign w:val="center"/>
          </w:tcPr>
          <w:p>
            <w:pPr>
              <w:spacing w:after="40"/>
            </w:pPr>
            <w:r>
              <w:rPr>
                <w:rFonts w:ascii="Calibri" w:hAnsi="Calibri"/>
                <w:sz w:val="19"/>
              </w:rPr>
              <w:t>Checkout</w:t>
            </w:r>
          </w:p>
        </w:tc>
        <w:tc>
          <w:tcPr>
            <w:tcW w:type="dxa" w:w="3240"/>
            <w:vAlign w:val="center"/>
          </w:tcPr>
          <w:p>
            <w:pPr>
              <w:spacing w:after="40"/>
            </w:pPr>
            <w:r>
              <w:rPr>
                <w:rFonts w:ascii="Calibri" w:hAnsi="Calibri"/>
                <w:sz w:val="19"/>
              </w:rPr>
              <w:t>Front-end queue</w:t>
            </w:r>
          </w:p>
        </w:tc>
        <w:tc>
          <w:tcPr>
            <w:tcW w:type="dxa" w:w="4320"/>
            <w:vAlign w:val="center"/>
          </w:tcPr>
          <w:p>
            <w:pPr>
              <w:spacing w:after="40"/>
            </w:pPr>
            <w:r>
              <w:rPr>
                <w:rFonts w:ascii="Calibri" w:hAnsi="Calibri"/>
                <w:sz w:val="19"/>
              </w:rPr>
              <w:t>Kept gum, mints, and batteries as checkout impulse items.</w:t>
            </w:r>
          </w:p>
        </w:tc>
      </w:tr>
    </w:tbl>
    <w:p>
      <w:pPr>
        <w:pStyle w:val="Heading1"/>
      </w:pPr>
      <w:r>
        <w:t>Abandonment And Patience Review</w:t>
      </w:r>
    </w:p>
    <w:p>
      <w:r>
        <w:t>The previous logic used a simple patience countdown while shopping, but it counted item revenue immediately when a shopper picked up an item. That made abandoned baskets look like completed sales. The revised logic keeps selected items in the shopper basket and records revenue/profit only after checkout finishes.</w:t>
      </w:r>
    </w:p>
    <w:p>
      <w:pPr>
        <w:pStyle w:val="ListBullet"/>
      </w:pPr>
      <w:r>
        <w:t>Shopping patience now represents approximate minutes rather than unlabeled steps.</w:t>
      </w:r>
    </w:p>
    <w:p>
      <w:pPr>
        <w:pStyle w:val="ListBullet"/>
      </w:pPr>
      <w:r>
        <w:t>Congestion and local traffic still reduce patience, but values were recalibrated so normal trips can complete.</w:t>
      </w:r>
    </w:p>
    <w:p>
      <w:pPr>
        <w:pStyle w:val="ListBullet"/>
      </w:pPr>
      <w:r>
        <w:t>Checkout wait now has its own patience pool and can trigger a checkout abandonment reason.</w:t>
      </w:r>
    </w:p>
    <w:p>
      <w:pPr>
        <w:pStyle w:val="ListBullet"/>
      </w:pPr>
      <w:r>
        <w:t>Lost revenue/profit now includes items already picked up plus remaining planned items when abandonment occurs.</w:t>
      </w:r>
    </w:p>
    <w:p>
      <w:pPr>
        <w:pStyle w:val="Heading1"/>
      </w:pPr>
      <w:r>
        <w:t>Source List</w:t>
      </w:r>
    </w:p>
    <w:p>
      <w:pPr>
        <w:spacing w:before="40" w:after="80"/>
      </w:pPr>
      <w:r>
        <w:rPr>
          <w:color w:val="555555"/>
          <w:sz w:val="18"/>
        </w:rPr>
        <w:t>FMI, Food Industry Facts: https://www.fmi.org/our-research/food-industry-facts</w:t>
      </w:r>
    </w:p>
    <w:p>
      <w:pPr>
        <w:spacing w:before="40" w:after="80"/>
      </w:pPr>
      <w:r>
        <w:rPr>
          <w:color w:val="555555"/>
          <w:sz w:val="18"/>
        </w:rPr>
        <w:t>Capital One Shopping Research, Grocery Shopping Statistics: https://capitaloneshopping.com/research/grocery-shopping-statistics/</w:t>
      </w:r>
    </w:p>
    <w:p>
      <w:pPr>
        <w:spacing w:before="40" w:after="80"/>
      </w:pPr>
      <w:r>
        <w:rPr>
          <w:color w:val="555555"/>
          <w:sz w:val="18"/>
        </w:rPr>
        <w:t>Progressive Grocer, 75th Consumer Expenditures Study: https://progressivegrocer.com/75th-consumer-expenditures-study-taking-pulse-shopper-attitudes</w:t>
      </w:r>
    </w:p>
    <w:p>
      <w:pPr>
        <w:spacing w:before="40" w:after="80"/>
      </w:pPr>
      <w:r>
        <w:rPr>
          <w:color w:val="555555"/>
          <w:sz w:val="18"/>
        </w:rPr>
        <w:t>Hruschka, Journal of Marketing Analytics, market basket study: https://link.springer.com/article/10.1057/s41270-024-00331-0</w:t>
      </w:r>
    </w:p>
    <w:p>
      <w:pPr>
        <w:spacing w:before="40" w:after="80"/>
      </w:pPr>
      <w:r>
        <w:rPr>
          <w:color w:val="555555"/>
          <w:sz w:val="18"/>
        </w:rPr>
        <w:t>GoodRx, Strategy Behind Grocery Store Layouts: https://www.goodrx.com/well-being/diet-nutrition/grocery-store-layout</w:t>
      </w:r>
    </w:p>
    <w:p>
      <w:pPr>
        <w:spacing w:before="40" w:after="80"/>
      </w:pPr>
      <w:r>
        <w:rPr>
          <w:color w:val="555555"/>
          <w:sz w:val="18"/>
        </w:rPr>
        <w:t>POS Nation, Grocery Store Layout Strategy: https://www.posnation.com/blog/grocery-store-layout-strategy</w:t>
      </w:r>
    </w:p>
    <w:p>
      <w:pPr>
        <w:spacing w:before="40" w:after="80"/>
      </w:pPr>
      <w:r>
        <w:rPr>
          <w:color w:val="555555"/>
          <w:sz w:val="18"/>
        </w:rPr>
        <w:t>PlanoHero, Grocery Store Layout Strategy: https://planohero.com/en/blog/grocery-store-layout-strategy/</w:t>
      </w:r>
    </w:p>
    <w:p>
      <w:pPr>
        <w:spacing w:before="40" w:after="80"/>
      </w:pPr>
      <w:r>
        <w:rPr>
          <w:color w:val="555555"/>
          <w:sz w:val="18"/>
        </w:rPr>
        <w:t>Bain &amp; Company, High Expectation for Short Wait Times in Grocery: https://www.bain.com/insights/high-expectation-short-wait-times-grocery-snap-chart/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