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Arial" w:hAnsi="Arial"/>
          <w:rtl w:val="1"/>
        </w:rPr>
        <w:t>البديل الأول حتى 2050: التنمية الزراعية والبيئية المستدامة</w:t>
      </w:r>
    </w:p>
    <w:p>
      <w:pPr>
        <w:pStyle w:val="Heading1"/>
        <w:jc w:val="right"/>
        <w:bidi w:val="1"/>
      </w:pPr>
      <w:r>
        <w:rPr>
          <w:rFonts w:ascii="Arial" w:hAnsi="Arial"/>
          <w:rtl w:val="1"/>
        </w:rPr>
        <w:t>القرار التخطيطي</w:t>
      </w:r>
    </w:p>
    <w:p>
      <w:pPr>
        <w:jc w:val="right"/>
        <w:bidi w:val="1"/>
      </w:pPr>
      <w:r>
        <w:rPr>
          <w:rFonts w:ascii="Arial" w:hAnsi="Arial"/>
          <w:rtl w:val="1"/>
        </w:rPr>
        <w:t>تحافظ محافظة الغاط على رقعتها الزراعية وأوديتها وسفوحها ومواقعها التراثية، ويُوجَّه الاستثمار إلى تحسين الإنتاج من المزارع القائمة، ثم خدمات زراعية صغيرة في مواقع مستخدمة أو معتمدة، ثم استكمال عمراني محدود داخل النسيج القائم. لا يُعامل الطريق أو الوادي أو الفراغ الصحراوي بوصفه قطعة صالحة للتطوير تلقائياً. مصدر هذا التوجه: البديل الأول في التقرير ص 76، وقضايا الأودية والزراعة والمياه ص 75 و79 و98، وقضايا العمران والخدمات ص 46 و94 و100.</w:t>
      </w:r>
    </w:p>
    <w:p>
      <w:pPr>
        <w:pStyle w:val="Heading1"/>
        <w:jc w:val="right"/>
        <w:bidi w:val="1"/>
      </w:pPr>
      <w:r>
        <w:rPr>
          <w:rFonts w:ascii="Arial" w:hAnsi="Arial"/>
          <w:rtl w:val="1"/>
        </w:rPr>
        <w:t>الزونات الثمانية</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pPr>
              <w:jc w:val="right"/>
              <w:bidi w:val="1"/>
            </w:pPr>
            <w:r>
              <w:rPr>
                <w:rFonts w:ascii="Arial" w:hAnsi="Arial"/>
                <w:rtl w:val="1"/>
              </w:rPr>
              <w:t>الزون</w:t>
            </w:r>
          </w:p>
        </w:tc>
        <w:tc>
          <w:tcPr>
            <w:tcW w:type="dxa" w:w="2409"/>
          </w:tcPr>
          <w:p>
            <w:pPr>
              <w:jc w:val="right"/>
              <w:bidi w:val="1"/>
            </w:pPr>
            <w:r>
              <w:rPr>
                <w:rFonts w:ascii="Arial" w:hAnsi="Arial"/>
                <w:rtl w:val="1"/>
              </w:rPr>
              <w:t>مكانه المقترح وفق المتاح</w:t>
            </w:r>
          </w:p>
        </w:tc>
        <w:tc>
          <w:tcPr>
            <w:tcW w:type="dxa" w:w="2409"/>
          </w:tcPr>
          <w:p>
            <w:pPr>
              <w:jc w:val="right"/>
              <w:bidi w:val="1"/>
            </w:pPr>
            <w:r>
              <w:rPr>
                <w:rFonts w:ascii="Arial" w:hAnsi="Arial"/>
                <w:rtl w:val="1"/>
              </w:rPr>
              <w:t>التدخل حتى 2050</w:t>
            </w:r>
          </w:p>
        </w:tc>
        <w:tc>
          <w:tcPr>
            <w:tcW w:type="dxa" w:w="2409"/>
          </w:tcPr>
          <w:p>
            <w:pPr>
              <w:jc w:val="right"/>
              <w:bidi w:val="1"/>
            </w:pPr>
            <w:r>
              <w:rPr>
                <w:rFonts w:ascii="Arial" w:hAnsi="Arial"/>
                <w:rtl w:val="1"/>
              </w:rPr>
              <w:t>حالة الرسم</w:t>
            </w:r>
          </w:p>
        </w:tc>
      </w:tr>
      <w:tr>
        <w:tc>
          <w:tcPr>
            <w:tcW w:type="dxa" w:w="2409"/>
          </w:tcPr>
          <w:p>
            <w:pPr>
              <w:jc w:val="right"/>
              <w:bidi w:val="1"/>
            </w:pPr>
            <w:r>
              <w:rPr>
                <w:rFonts w:ascii="Arial" w:hAnsi="Arial"/>
                <w:rtl w:val="1"/>
              </w:rPr>
              <w:t>أخضر غامق: حماية الأراضي الزراعية</w:t>
            </w:r>
          </w:p>
        </w:tc>
        <w:tc>
          <w:tcPr>
            <w:tcW w:type="dxa" w:w="2409"/>
          </w:tcPr>
          <w:p>
            <w:pPr>
              <w:jc w:val="right"/>
              <w:bidi w:val="1"/>
            </w:pPr>
            <w:r>
              <w:rPr>
                <w:rFonts w:ascii="Arial" w:hAnsi="Arial"/>
                <w:rtl w:val="1"/>
              </w:rPr>
              <w:t>الرقع الخضراء الظاهرة داخل الخريطة، وخصوصاً الشريط الزراعي الممتد جنوب وغرب العمران المرئي</w:t>
            </w:r>
          </w:p>
        </w:tc>
        <w:tc>
          <w:tcPr>
            <w:tcW w:type="dxa" w:w="2409"/>
          </w:tcPr>
          <w:p>
            <w:pPr>
              <w:jc w:val="right"/>
              <w:bidi w:val="1"/>
            </w:pPr>
            <w:r>
              <w:rPr>
                <w:rFonts w:ascii="Arial" w:hAnsi="Arial"/>
                <w:rtl w:val="1"/>
              </w:rPr>
              <w:t>منع تحويل الاستعمال بعد مطابقة القطع؛ رصد التعديات سنوياً</w:t>
            </w:r>
          </w:p>
        </w:tc>
        <w:tc>
          <w:tcPr>
            <w:tcW w:type="dxa" w:w="2409"/>
          </w:tcPr>
          <w:p>
            <w:pPr>
              <w:jc w:val="right"/>
              <w:bidi w:val="1"/>
            </w:pPr>
            <w:r>
              <w:rPr>
                <w:rFonts w:ascii="Arial" w:hAnsi="Arial"/>
                <w:rtl w:val="1"/>
              </w:rPr>
              <w:t>مرشح مرسوم على لون المصدر، ولا يمثل حدود ملكية</w:t>
            </w:r>
          </w:p>
        </w:tc>
      </w:tr>
      <w:tr>
        <w:tc>
          <w:tcPr>
            <w:tcW w:type="dxa" w:w="2409"/>
          </w:tcPr>
          <w:p>
            <w:pPr>
              <w:jc w:val="right"/>
              <w:bidi w:val="1"/>
            </w:pPr>
            <w:r>
              <w:rPr>
                <w:rFonts w:ascii="Arial" w:hAnsi="Arial"/>
                <w:rtl w:val="1"/>
              </w:rPr>
              <w:t>أخضر فاتح: تطوير زراعي مستدام</w:t>
            </w:r>
          </w:p>
        </w:tc>
        <w:tc>
          <w:tcPr>
            <w:tcW w:type="dxa" w:w="2409"/>
          </w:tcPr>
          <w:p>
            <w:pPr>
              <w:jc w:val="right"/>
              <w:bidi w:val="1"/>
            </w:pPr>
            <w:r>
              <w:rPr>
                <w:rFonts w:ascii="Arial" w:hAnsi="Arial"/>
                <w:rtl w:val="1"/>
              </w:rPr>
              <w:t>رقع زراعية قائمة شمال مدينة الغاط قرب محور الوصول القائم</w:t>
            </w:r>
          </w:p>
        </w:tc>
        <w:tc>
          <w:tcPr>
            <w:tcW w:type="dxa" w:w="2409"/>
          </w:tcPr>
          <w:p>
            <w:pPr>
              <w:jc w:val="right"/>
              <w:bidi w:val="1"/>
            </w:pPr>
            <w:r>
              <w:rPr>
                <w:rFonts w:ascii="Arial" w:hAnsi="Arial"/>
                <w:rtl w:val="1"/>
              </w:rPr>
              <w:t>ري أكثر كفاءة، قياس الماء، تحسين جودة الإنتاج</w:t>
            </w:r>
          </w:p>
        </w:tc>
        <w:tc>
          <w:tcPr>
            <w:tcW w:type="dxa" w:w="2409"/>
          </w:tcPr>
          <w:p>
            <w:pPr>
              <w:jc w:val="right"/>
              <w:bidi w:val="1"/>
            </w:pPr>
            <w:r>
              <w:rPr>
                <w:rFonts w:ascii="Arial" w:hAnsi="Arial"/>
                <w:rtl w:val="1"/>
              </w:rPr>
              <w:t>مرشح مرسوم؛ يحتاج تحقق المياه والقطع</w:t>
            </w:r>
          </w:p>
        </w:tc>
      </w:tr>
      <w:tr>
        <w:tc>
          <w:tcPr>
            <w:tcW w:type="dxa" w:w="2409"/>
          </w:tcPr>
          <w:p>
            <w:pPr>
              <w:jc w:val="right"/>
              <w:bidi w:val="1"/>
            </w:pPr>
            <w:r>
              <w:rPr>
                <w:rFonts w:ascii="Arial" w:hAnsi="Arial"/>
                <w:rtl w:val="1"/>
              </w:rPr>
              <w:t>زيتي: حماية بيئية وطبيعية</w:t>
            </w:r>
          </w:p>
        </w:tc>
        <w:tc>
          <w:tcPr>
            <w:tcW w:type="dxa" w:w="2409"/>
          </w:tcPr>
          <w:p>
            <w:pPr>
              <w:jc w:val="right"/>
              <w:bidi w:val="1"/>
            </w:pPr>
            <w:r>
              <w:rPr>
                <w:rFonts w:ascii="Arial" w:hAnsi="Arial"/>
                <w:rtl w:val="1"/>
              </w:rPr>
              <w:t>جبال طويق والغطاء الطبيعي والمواضع الحساسة التي يثبتها مسح التضاريس والبيئة</w:t>
            </w:r>
          </w:p>
        </w:tc>
        <w:tc>
          <w:tcPr>
            <w:tcW w:type="dxa" w:w="2409"/>
          </w:tcPr>
          <w:p>
            <w:pPr>
              <w:jc w:val="right"/>
              <w:bidi w:val="1"/>
            </w:pPr>
            <w:r>
              <w:rPr>
                <w:rFonts w:ascii="Arial" w:hAnsi="Arial"/>
                <w:rtl w:val="1"/>
              </w:rPr>
              <w:t>ضبط التعديات وتأهيل نباتي محلي حيث تثبت الملاءمة</w:t>
            </w:r>
          </w:p>
        </w:tc>
        <w:tc>
          <w:tcPr>
            <w:tcW w:type="dxa" w:w="2409"/>
          </w:tcPr>
          <w:p>
            <w:pPr>
              <w:jc w:val="right"/>
              <w:bidi w:val="1"/>
            </w:pPr>
            <w:r>
              <w:rPr>
                <w:rFonts w:ascii="Arial" w:hAnsi="Arial"/>
                <w:rtl w:val="1"/>
              </w:rPr>
              <w:t>موضع عام معروف من ص 75، وحده الدقيق غير مرسوم</w:t>
            </w:r>
          </w:p>
        </w:tc>
      </w:tr>
      <w:tr>
        <w:tc>
          <w:tcPr>
            <w:tcW w:type="dxa" w:w="2409"/>
          </w:tcPr>
          <w:p>
            <w:pPr>
              <w:jc w:val="right"/>
              <w:bidi w:val="1"/>
            </w:pPr>
            <w:r>
              <w:rPr>
                <w:rFonts w:ascii="Arial" w:hAnsi="Arial"/>
                <w:rtl w:val="1"/>
              </w:rPr>
              <w:t>أزرق: الأودية القائمة</w:t>
            </w:r>
          </w:p>
        </w:tc>
        <w:tc>
          <w:tcPr>
            <w:tcW w:type="dxa" w:w="2409"/>
          </w:tcPr>
          <w:p>
            <w:pPr>
              <w:jc w:val="right"/>
              <w:bidi w:val="1"/>
            </w:pPr>
            <w:r>
              <w:rPr>
                <w:rFonts w:ascii="Arial" w:hAnsi="Arial"/>
                <w:rtl w:val="1"/>
              </w:rPr>
              <w:t>البكسلات الزرقاء في الأصل، مع التحقق لاحقاً من خطوط المجاري الرسمية</w:t>
            </w:r>
          </w:p>
        </w:tc>
        <w:tc>
          <w:tcPr>
            <w:tcW w:type="dxa" w:w="2409"/>
          </w:tcPr>
          <w:p>
            <w:pPr>
              <w:jc w:val="right"/>
              <w:bidi w:val="1"/>
            </w:pPr>
            <w:r>
              <w:rPr>
                <w:rFonts w:ascii="Arial" w:hAnsi="Arial"/>
                <w:rtl w:val="1"/>
              </w:rPr>
              <w:t>إبقاء المجرى كما هو، ومنع ردمه والتلوث</w:t>
            </w:r>
          </w:p>
        </w:tc>
        <w:tc>
          <w:tcPr>
            <w:tcW w:type="dxa" w:w="2409"/>
          </w:tcPr>
          <w:p>
            <w:pPr>
              <w:jc w:val="right"/>
              <w:bidi w:val="1"/>
            </w:pPr>
            <w:r>
              <w:rPr>
                <w:rFonts w:ascii="Arial" w:hAnsi="Arial"/>
                <w:rtl w:val="1"/>
              </w:rPr>
              <w:t>المصدر محفوظ؛ لم يُرسم نطاق سيول</w:t>
            </w:r>
          </w:p>
        </w:tc>
      </w:tr>
      <w:tr>
        <w:tc>
          <w:tcPr>
            <w:tcW w:type="dxa" w:w="2409"/>
          </w:tcPr>
          <w:p>
            <w:pPr>
              <w:jc w:val="right"/>
              <w:bidi w:val="1"/>
            </w:pPr>
            <w:r>
              <w:rPr>
                <w:rFonts w:ascii="Arial" w:hAnsi="Arial"/>
                <w:rtl w:val="1"/>
              </w:rPr>
              <w:t>أصفر: تنمية عمرانية محدودة</w:t>
            </w:r>
          </w:p>
        </w:tc>
        <w:tc>
          <w:tcPr>
            <w:tcW w:type="dxa" w:w="2409"/>
          </w:tcPr>
          <w:p>
            <w:pPr>
              <w:jc w:val="right"/>
              <w:bidi w:val="1"/>
            </w:pPr>
            <w:r>
              <w:rPr>
                <w:rFonts w:ascii="Arial" w:hAnsi="Arial"/>
                <w:rtl w:val="1"/>
              </w:rPr>
              <w:t>القطع الخالية داخل عمران مدينة الغاط والمراكز بعد مطابقة المخططات المعتمدة وخطر السيول</w:t>
            </w:r>
          </w:p>
        </w:tc>
        <w:tc>
          <w:tcPr>
            <w:tcW w:type="dxa" w:w="2409"/>
          </w:tcPr>
          <w:p>
            <w:pPr>
              <w:jc w:val="right"/>
              <w:bidi w:val="1"/>
            </w:pPr>
            <w:r>
              <w:rPr>
                <w:rFonts w:ascii="Arial" w:hAnsi="Arial"/>
                <w:rtl w:val="1"/>
              </w:rPr>
              <w:t>استكمال النسيج والخدمات قبل أي امتداد</w:t>
            </w:r>
          </w:p>
        </w:tc>
        <w:tc>
          <w:tcPr>
            <w:tcW w:type="dxa" w:w="2409"/>
          </w:tcPr>
          <w:p>
            <w:pPr>
              <w:jc w:val="right"/>
              <w:bidi w:val="1"/>
            </w:pPr>
            <w:r>
              <w:rPr>
                <w:rFonts w:ascii="Arial" w:hAnsi="Arial"/>
                <w:rtl w:val="1"/>
              </w:rPr>
              <w:t>غير مرسوم لأن القطع غير محددة في خريطة المصدر</w:t>
            </w:r>
          </w:p>
        </w:tc>
      </w:tr>
      <w:tr>
        <w:tc>
          <w:tcPr>
            <w:tcW w:type="dxa" w:w="2409"/>
          </w:tcPr>
          <w:p>
            <w:pPr>
              <w:jc w:val="right"/>
              <w:bidi w:val="1"/>
            </w:pPr>
            <w:r>
              <w:rPr>
                <w:rFonts w:ascii="Arial" w:hAnsi="Arial"/>
                <w:rtl w:val="1"/>
              </w:rPr>
              <w:t>أحمر: العمران القائم</w:t>
            </w:r>
          </w:p>
        </w:tc>
        <w:tc>
          <w:tcPr>
            <w:tcW w:type="dxa" w:w="2409"/>
          </w:tcPr>
          <w:p>
            <w:pPr>
              <w:jc w:val="right"/>
              <w:bidi w:val="1"/>
            </w:pPr>
            <w:r>
              <w:rPr>
                <w:rFonts w:ascii="Arial" w:hAnsi="Arial"/>
                <w:rtl w:val="1"/>
              </w:rPr>
              <w:t>الكتل العمرانية الظاهرة، ومراكز مليح والعبدلية والمساعدية بعد ربط خرائطها التفصيلية</w:t>
            </w:r>
          </w:p>
        </w:tc>
        <w:tc>
          <w:tcPr>
            <w:tcW w:type="dxa" w:w="2409"/>
          </w:tcPr>
          <w:p>
            <w:pPr>
              <w:jc w:val="right"/>
              <w:bidi w:val="1"/>
            </w:pPr>
            <w:r>
              <w:rPr>
                <w:rFonts w:ascii="Arial" w:hAnsi="Arial"/>
                <w:rtl w:val="1"/>
              </w:rPr>
              <w:t>تأهيل الخدمات والشوارع القائمة</w:t>
            </w:r>
          </w:p>
        </w:tc>
        <w:tc>
          <w:tcPr>
            <w:tcW w:type="dxa" w:w="2409"/>
          </w:tcPr>
          <w:p>
            <w:pPr>
              <w:jc w:val="right"/>
              <w:bidi w:val="1"/>
            </w:pPr>
            <w:r>
              <w:rPr>
                <w:rFonts w:ascii="Arial" w:hAnsi="Arial"/>
                <w:rtl w:val="1"/>
              </w:rPr>
              <w:t>لون المصدر محفوظ؛ حدود كل مركز تحتاج طبقة مستقلة</w:t>
            </w:r>
          </w:p>
        </w:tc>
      </w:tr>
      <w:tr>
        <w:tc>
          <w:tcPr>
            <w:tcW w:type="dxa" w:w="2409"/>
          </w:tcPr>
          <w:p>
            <w:pPr>
              <w:jc w:val="right"/>
              <w:bidi w:val="1"/>
            </w:pPr>
            <w:r>
              <w:rPr>
                <w:rFonts w:ascii="Arial" w:hAnsi="Arial"/>
                <w:rtl w:val="1"/>
              </w:rPr>
              <w:t>بنفسجي: خدمات الاقتصاد الزراعي</w:t>
            </w:r>
          </w:p>
        </w:tc>
        <w:tc>
          <w:tcPr>
            <w:tcW w:type="dxa" w:w="2409"/>
          </w:tcPr>
          <w:p>
            <w:pPr>
              <w:jc w:val="right"/>
              <w:bidi w:val="1"/>
            </w:pPr>
            <w:r>
              <w:rPr>
                <w:rFonts w:ascii="Arial" w:hAnsi="Arial"/>
                <w:rtl w:val="1"/>
              </w:rPr>
              <w:t>قطعة مستخدمة أو معتمدة قرب المزارع وطريق المزارع القائم، خارج الأراضي الزراعية والمجاري والمواقع الحساسة</w:t>
            </w:r>
          </w:p>
        </w:tc>
        <w:tc>
          <w:tcPr>
            <w:tcW w:type="dxa" w:w="2409"/>
          </w:tcPr>
          <w:p>
            <w:pPr>
              <w:jc w:val="right"/>
              <w:bidi w:val="1"/>
            </w:pPr>
            <w:r>
              <w:rPr>
                <w:rFonts w:ascii="Arial" w:hAnsi="Arial"/>
                <w:rtl w:val="1"/>
              </w:rPr>
              <w:t>وحدات فرز وتعبئة وتبريد وتسويق صغيرة وفق الطلب الفعلي</w:t>
            </w:r>
          </w:p>
        </w:tc>
        <w:tc>
          <w:tcPr>
            <w:tcW w:type="dxa" w:w="2409"/>
          </w:tcPr>
          <w:p>
            <w:pPr>
              <w:jc w:val="right"/>
              <w:bidi w:val="1"/>
            </w:pPr>
            <w:r>
              <w:rPr>
                <w:rFonts w:ascii="Arial" w:hAnsi="Arial"/>
                <w:rtl w:val="1"/>
              </w:rPr>
              <w:t>اختيار القطعة مؤجل؛ وضع شكل بنفسجي الآن سيكون اختراعاً لموقع</w:t>
            </w:r>
          </w:p>
        </w:tc>
      </w:tr>
      <w:tr>
        <w:tc>
          <w:tcPr>
            <w:tcW w:type="dxa" w:w="2409"/>
          </w:tcPr>
          <w:p>
            <w:pPr>
              <w:jc w:val="right"/>
              <w:bidi w:val="1"/>
            </w:pPr>
            <w:r>
              <w:rPr>
                <w:rFonts w:ascii="Arial" w:hAnsi="Arial"/>
                <w:rtl w:val="1"/>
              </w:rPr>
              <w:t>بني مخطط: حماية جبلية وتراثية</w:t>
            </w:r>
          </w:p>
        </w:tc>
        <w:tc>
          <w:tcPr>
            <w:tcW w:type="dxa" w:w="2409"/>
          </w:tcPr>
          <w:p>
            <w:pPr>
              <w:jc w:val="right"/>
              <w:bidi w:val="1"/>
            </w:pPr>
            <w:r>
              <w:rPr>
                <w:rFonts w:ascii="Arial" w:hAnsi="Arial"/>
                <w:rtl w:val="1"/>
              </w:rPr>
              <w:t>مواقع جبل طويق والبلدة التراثية وبئر الحطيئة والنقوش المثبتة رسمياً</w:t>
            </w:r>
          </w:p>
        </w:tc>
        <w:tc>
          <w:tcPr>
            <w:tcW w:type="dxa" w:w="2409"/>
          </w:tcPr>
          <w:p>
            <w:pPr>
              <w:jc w:val="right"/>
              <w:bidi w:val="1"/>
            </w:pPr>
            <w:r>
              <w:rPr>
                <w:rFonts w:ascii="Arial" w:hAnsi="Arial"/>
                <w:rtl w:val="1"/>
              </w:rPr>
              <w:t>صون المشهد والمباني وإدارة الزيارة على مسارات قائمة</w:t>
            </w:r>
          </w:p>
        </w:tc>
        <w:tc>
          <w:tcPr>
            <w:tcW w:type="dxa" w:w="2409"/>
          </w:tcPr>
          <w:p>
            <w:pPr>
              <w:jc w:val="right"/>
              <w:bidi w:val="1"/>
            </w:pPr>
            <w:r>
              <w:rPr>
                <w:rFonts w:ascii="Arial" w:hAnsi="Arial"/>
                <w:rtl w:val="1"/>
              </w:rPr>
              <w:t>مواضع عامة موثقة ص 46 و75 و94؛ الحدود الدقيقة غير مرسومة</w:t>
            </w:r>
          </w:p>
        </w:tc>
      </w:tr>
    </w:tbl>
    <w:p>
      <w:pPr>
        <w:jc w:val="right"/>
        <w:bidi w:val="1"/>
      </w:pPr>
      <w:r>
        <w:rPr>
          <w:rFonts w:ascii="Arial" w:hAnsi="Arial"/>
          <w:rtl w:val="1"/>
        </w:rPr>
        <w:t>ألوان الخريطة تُستخدم للتعبير عن سياسة البديل ولا تمنح حق بناء أو ترخيصاً. اللون الأزرق في الصورة من المصدر نفسه. الزونات غير المرسومة ليست مناطق حرة للتطوير.</w:t>
      </w:r>
    </w:p>
    <w:p>
      <w:pPr>
        <w:pStyle w:val="Heading1"/>
        <w:jc w:val="right"/>
        <w:bidi w:val="1"/>
      </w:pPr>
      <w:r>
        <w:rPr>
          <w:rFonts w:ascii="Arial" w:hAnsi="Arial"/>
          <w:rtl w:val="1"/>
        </w:rPr>
        <w:t>قاعدة الاختيار المكاني عند توفر الطبقات</w:t>
      </w:r>
    </w:p>
    <w:p>
      <w:pPr>
        <w:pStyle w:val="ListNumber"/>
        <w:jc w:val="right"/>
        <w:bidi w:val="1"/>
      </w:pPr>
      <w:r>
        <w:rPr>
          <w:rFonts w:ascii="Arial" w:hAnsi="Arial"/>
          <w:rtl w:val="1"/>
        </w:rPr>
        <w:t>تثبيت حد التنمية الرسمي، وحد حماية التنمية، ونطاق الدراسة، ومطابقة كل منها مع حد الصورة الأسود. يُختار الحد النظامي المناسب لكل قرار وتُسجَّل الفروق.</w:t>
      </w:r>
    </w:p>
    <w:p>
      <w:pPr>
        <w:pStyle w:val="ListNumber"/>
        <w:jc w:val="right"/>
        <w:bidi w:val="1"/>
      </w:pPr>
      <w:r>
        <w:rPr>
          <w:rFonts w:ascii="Arial" w:hAnsi="Arial"/>
          <w:rtl w:val="1"/>
        </w:rPr>
        <w:t>استبعاد المجرى المثبت ومناطق الغمر الصادرة عن دراسة هيدرولوجية، وحدود المحميات والتراث، والأراضي الزراعية المعتمدة من زونات البناء والخدمات. لا يُنشأ حرم وادٍ بعرض اعتباطي.</w:t>
      </w:r>
    </w:p>
    <w:p>
      <w:pPr>
        <w:pStyle w:val="ListNumber"/>
        <w:jc w:val="right"/>
        <w:bidi w:val="1"/>
      </w:pPr>
      <w:r>
        <w:rPr>
          <w:rFonts w:ascii="Arial" w:hAnsi="Arial"/>
          <w:rtl w:val="1"/>
        </w:rPr>
        <w:t>تحليل الانحدار ببيانات ارتفاع موثوقة، ثم اختبار الوصول بالطرق القائمة فقط والبنية التحتية الحالية. لا تُرسم وصلات أو تقاطعات جديدة من صورة التقرير.</w:t>
      </w:r>
    </w:p>
    <w:p>
      <w:pPr>
        <w:pStyle w:val="ListNumber"/>
        <w:jc w:val="right"/>
        <w:bidi w:val="1"/>
      </w:pPr>
      <w:r>
        <w:rPr>
          <w:rFonts w:ascii="Arial" w:hAnsi="Arial"/>
          <w:rtl w:val="1"/>
        </w:rPr>
        <w:t>ترتيب الأراضي الزراعية القائمة بحسب قدرة تحسين الري وحالة الماء والتربة والوصول؛ تأجيل أي استصلاح جديد إلى حين إثبات التوازن المائي.</w:t>
      </w:r>
    </w:p>
    <w:p>
      <w:pPr>
        <w:pStyle w:val="ListNumber"/>
        <w:jc w:val="right"/>
        <w:bidi w:val="1"/>
      </w:pPr>
      <w:r>
        <w:rPr>
          <w:rFonts w:ascii="Arial" w:hAnsi="Arial"/>
          <w:rtl w:val="1"/>
        </w:rPr>
        <w:t>ترتيب قطع العمران الشاغرة المعتمدة بحسب قرب الخدمات وشبكاتها وعدم التعارض مع المزارع والأودية والتراث. يُراجع كل موقع ميدانياً وقانونياً قبل تحويله إلى زون أصفر أو بنفسجي.</w:t>
      </w:r>
    </w:p>
    <w:p>
      <w:pPr>
        <w:pStyle w:val="Heading1"/>
        <w:jc w:val="right"/>
        <w:bidi w:val="1"/>
      </w:pPr>
      <w:r>
        <w:rPr>
          <w:rFonts w:ascii="Arial" w:hAnsi="Arial"/>
          <w:rtl w:val="1"/>
        </w:rPr>
        <w:t>برنامج مرحلي ومؤشرات</w:t>
      </w:r>
    </w:p>
    <w:tbl>
      <w:tblPr>
        <w:tblStyle w:val="TableGrid"/>
        <w:tblW w:type="auto" w:w="0"/>
        <w:tblLook w:firstColumn="1" w:firstRow="1" w:lastColumn="0" w:lastRow="0" w:noHBand="0" w:noVBand="1" w:val="04A0"/>
      </w:tblPr>
      <w:tblGrid>
        <w:gridCol w:w="3213"/>
        <w:gridCol w:w="3213"/>
        <w:gridCol w:w="3213"/>
      </w:tblGrid>
      <w:tr>
        <w:tc>
          <w:tcPr>
            <w:tcW w:type="dxa" w:w="3213"/>
          </w:tcPr>
          <w:p>
            <w:pPr>
              <w:jc w:val="right"/>
              <w:bidi w:val="1"/>
            </w:pPr>
            <w:r>
              <w:rPr>
                <w:rFonts w:ascii="Arial" w:hAnsi="Arial"/>
                <w:rtl w:val="1"/>
              </w:rPr>
              <w:t>المرحلة</w:t>
            </w:r>
          </w:p>
        </w:tc>
        <w:tc>
          <w:tcPr>
            <w:tcW w:type="dxa" w:w="3213"/>
          </w:tcPr>
          <w:p>
            <w:pPr>
              <w:jc w:val="right"/>
              <w:bidi w:val="1"/>
            </w:pPr>
            <w:r>
              <w:rPr>
                <w:rFonts w:ascii="Arial" w:hAnsi="Arial"/>
                <w:rtl w:val="1"/>
              </w:rPr>
              <w:t>العمل</w:t>
            </w:r>
          </w:p>
        </w:tc>
        <w:tc>
          <w:tcPr>
            <w:tcW w:type="dxa" w:w="3213"/>
          </w:tcPr>
          <w:p>
            <w:pPr>
              <w:jc w:val="right"/>
              <w:bidi w:val="1"/>
            </w:pPr>
            <w:r>
              <w:rPr>
                <w:rFonts w:ascii="Arial" w:hAnsi="Arial"/>
                <w:rtl w:val="1"/>
              </w:rPr>
              <w:t>مؤشر التحقق دون هدف رقمي غير مسند</w:t>
            </w:r>
          </w:p>
        </w:tc>
      </w:tr>
      <w:tr>
        <w:tc>
          <w:tcPr>
            <w:tcW w:type="dxa" w:w="3213"/>
          </w:tcPr>
          <w:p>
            <w:pPr>
              <w:jc w:val="right"/>
              <w:bidi w:val="1"/>
            </w:pPr>
            <w:r>
              <w:rPr>
                <w:rFonts w:ascii="Arial" w:hAnsi="Arial"/>
                <w:rtl w:val="1"/>
              </w:rPr>
              <w:t>تأسيس البيانات</w:t>
            </w:r>
          </w:p>
        </w:tc>
        <w:tc>
          <w:tcPr>
            <w:tcW w:type="dxa" w:w="3213"/>
          </w:tcPr>
          <w:p>
            <w:pPr>
              <w:jc w:val="right"/>
              <w:bidi w:val="1"/>
            </w:pPr>
            <w:r>
              <w:rPr>
                <w:rFonts w:ascii="Arial" w:hAnsi="Arial"/>
                <w:rtl w:val="1"/>
              </w:rPr>
              <w:t>جمع طبقات البلدية والارتفاعات والهيدرولوجيا والملكيات، وحصر المزارع والمراكز</w:t>
            </w:r>
          </w:p>
        </w:tc>
        <w:tc>
          <w:tcPr>
            <w:tcW w:type="dxa" w:w="3213"/>
          </w:tcPr>
          <w:p>
            <w:pPr>
              <w:jc w:val="right"/>
              <w:bidi w:val="1"/>
            </w:pPr>
            <w:r>
              <w:rPr>
                <w:rFonts w:ascii="Arial" w:hAnsi="Arial"/>
                <w:rtl w:val="1"/>
              </w:rPr>
              <w:t>نسبة الطبقات التي لها مصدر وتاريخ وCRS موثوق؛ عدد القطع المتحقق منها</w:t>
            </w:r>
          </w:p>
        </w:tc>
      </w:tr>
      <w:tr>
        <w:tc>
          <w:tcPr>
            <w:tcW w:type="dxa" w:w="3213"/>
          </w:tcPr>
          <w:p>
            <w:pPr>
              <w:jc w:val="right"/>
              <w:bidi w:val="1"/>
            </w:pPr>
            <w:r>
              <w:rPr>
                <w:rFonts w:ascii="Arial" w:hAnsi="Arial"/>
                <w:rtl w:val="1"/>
              </w:rPr>
              <w:t>حماية وتحسين</w:t>
            </w:r>
          </w:p>
        </w:tc>
        <w:tc>
          <w:tcPr>
            <w:tcW w:type="dxa" w:w="3213"/>
          </w:tcPr>
          <w:p>
            <w:pPr>
              <w:jc w:val="right"/>
              <w:bidi w:val="1"/>
            </w:pPr>
            <w:r>
              <w:rPr>
                <w:rFonts w:ascii="Arial" w:hAnsi="Arial"/>
                <w:rtl w:val="1"/>
              </w:rPr>
              <w:t>تطبيق حماية المزارع، وتجربة الري المقاس على الرقع القائمة، وجرد تعديات الوادي</w:t>
            </w:r>
          </w:p>
        </w:tc>
        <w:tc>
          <w:tcPr>
            <w:tcW w:type="dxa" w:w="3213"/>
          </w:tcPr>
          <w:p>
            <w:pPr>
              <w:jc w:val="right"/>
              <w:bidi w:val="1"/>
            </w:pPr>
            <w:r>
              <w:rPr>
                <w:rFonts w:ascii="Arial" w:hAnsi="Arial"/>
                <w:rtl w:val="1"/>
              </w:rPr>
              <w:t>تغير الرقعة الزراعية المعتمدة؛ استهلاك الماء لكل وحدة إنتاج؛ المخالفات المصححة</w:t>
            </w:r>
          </w:p>
        </w:tc>
      </w:tr>
      <w:tr>
        <w:tc>
          <w:tcPr>
            <w:tcW w:type="dxa" w:w="3213"/>
          </w:tcPr>
          <w:p>
            <w:pPr>
              <w:jc w:val="right"/>
              <w:bidi w:val="1"/>
            </w:pPr>
            <w:r>
              <w:rPr>
                <w:rFonts w:ascii="Arial" w:hAnsi="Arial"/>
                <w:rtl w:val="1"/>
              </w:rPr>
              <w:t>قيمة مضافة</w:t>
            </w:r>
          </w:p>
        </w:tc>
        <w:tc>
          <w:tcPr>
            <w:tcW w:type="dxa" w:w="3213"/>
          </w:tcPr>
          <w:p>
            <w:pPr>
              <w:jc w:val="right"/>
              <w:bidi w:val="1"/>
            </w:pPr>
            <w:r>
              <w:rPr>
                <w:rFonts w:ascii="Arial" w:hAnsi="Arial"/>
                <w:rtl w:val="1"/>
              </w:rPr>
              <w:t>إنشاء مرافق صغيرة في قطع اجتازت التقييم، وتحسين التسويق والتبريد</w:t>
            </w:r>
          </w:p>
        </w:tc>
        <w:tc>
          <w:tcPr>
            <w:tcW w:type="dxa" w:w="3213"/>
          </w:tcPr>
          <w:p>
            <w:pPr>
              <w:jc w:val="right"/>
              <w:bidi w:val="1"/>
            </w:pPr>
            <w:r>
              <w:rPr>
                <w:rFonts w:ascii="Arial" w:hAnsi="Arial"/>
                <w:rtl w:val="1"/>
              </w:rPr>
              <w:t>عدد مرافق التشغيل الفعلي؛ نسبة الفاقد بعد الحصاد؛ قيمة المنتج المسوق</w:t>
            </w:r>
          </w:p>
        </w:tc>
      </w:tr>
      <w:tr>
        <w:tc>
          <w:tcPr>
            <w:tcW w:type="dxa" w:w="3213"/>
          </w:tcPr>
          <w:p>
            <w:pPr>
              <w:jc w:val="right"/>
              <w:bidi w:val="1"/>
            </w:pPr>
            <w:r>
              <w:rPr>
                <w:rFonts w:ascii="Arial" w:hAnsi="Arial"/>
                <w:rtl w:val="1"/>
              </w:rPr>
              <w:t>استكمال عمراني وخدمات</w:t>
            </w:r>
          </w:p>
        </w:tc>
        <w:tc>
          <w:tcPr>
            <w:tcW w:type="dxa" w:w="3213"/>
          </w:tcPr>
          <w:p>
            <w:pPr>
              <w:jc w:val="right"/>
              <w:bidi w:val="1"/>
            </w:pPr>
            <w:r>
              <w:rPr>
                <w:rFonts w:ascii="Arial" w:hAnsi="Arial"/>
                <w:rtl w:val="1"/>
              </w:rPr>
              <w:t>شغل الفجوات الملائمة وتحسين خدمة مليح والعبدلية والمساعدية</w:t>
            </w:r>
          </w:p>
        </w:tc>
        <w:tc>
          <w:tcPr>
            <w:tcW w:type="dxa" w:w="3213"/>
          </w:tcPr>
          <w:p>
            <w:pPr>
              <w:jc w:val="right"/>
              <w:bidi w:val="1"/>
            </w:pPr>
            <w:r>
              <w:rPr>
                <w:rFonts w:ascii="Arial" w:hAnsi="Arial"/>
                <w:rtl w:val="1"/>
              </w:rPr>
              <w:t>حصة النمو داخل النسيج القائم؛ زمن الوصول إلى الخدمة بعد القياس</w:t>
            </w:r>
          </w:p>
        </w:tc>
      </w:tr>
      <w:tr>
        <w:tc>
          <w:tcPr>
            <w:tcW w:type="dxa" w:w="3213"/>
          </w:tcPr>
          <w:p>
            <w:pPr>
              <w:jc w:val="right"/>
              <w:bidi w:val="1"/>
            </w:pPr>
            <w:r>
              <w:rPr>
                <w:rFonts w:ascii="Arial" w:hAnsi="Arial"/>
                <w:rtl w:val="1"/>
              </w:rPr>
              <w:t>مراجعة حتى 2050</w:t>
            </w:r>
          </w:p>
        </w:tc>
        <w:tc>
          <w:tcPr>
            <w:tcW w:type="dxa" w:w="3213"/>
          </w:tcPr>
          <w:p>
            <w:pPr>
              <w:jc w:val="right"/>
              <w:bidi w:val="1"/>
            </w:pPr>
            <w:r>
              <w:rPr>
                <w:rFonts w:ascii="Arial" w:hAnsi="Arial"/>
                <w:rtl w:val="1"/>
              </w:rPr>
              <w:t>تحديث الخطة دورياً مع تغير الماء والمناخ والسكان</w:t>
            </w:r>
          </w:p>
        </w:tc>
        <w:tc>
          <w:tcPr>
            <w:tcW w:type="dxa" w:w="3213"/>
          </w:tcPr>
          <w:p>
            <w:pPr>
              <w:jc w:val="right"/>
              <w:bidi w:val="1"/>
            </w:pPr>
            <w:r>
              <w:rPr>
                <w:rFonts w:ascii="Arial" w:hAnsi="Arial"/>
                <w:rtl w:val="1"/>
              </w:rPr>
              <w:t>تاريخ آخر تحديث؛ نسبة قرارات التطوير التي اجتازت فحص السيول والزراعة والتراث</w:t>
            </w:r>
          </w:p>
        </w:tc>
      </w:tr>
    </w:tbl>
    <w:p>
      <w:pPr>
        <w:jc w:val="right"/>
        <w:bidi w:val="1"/>
      </w:pPr>
      <w:r>
        <w:rPr>
          <w:rFonts w:ascii="Arial" w:hAnsi="Arial"/>
          <w:rtl w:val="1"/>
        </w:rPr>
        <w:t>لا تُقاس «نجاحات» المؤشرات إلا بعد إنشاء خط أساس موثق لكل نطاق. أرقام مدينة الغاط في التقرير لا تُعمَّم على المحافظة، ولا تُحسب مساحات GIS من بكسلات الصورة.</w:t>
      </w:r>
    </w:p>
    <w:p>
      <w:pPr>
        <w:pStyle w:val="Heading1"/>
        <w:jc w:val="right"/>
        <w:bidi w:val="1"/>
      </w:pPr>
      <w:r>
        <w:rPr>
          <w:rFonts w:ascii="Arial" w:hAnsi="Arial"/>
          <w:rtl w:val="1"/>
        </w:rPr>
        <w:t>قرار الاعتماد</w:t>
      </w:r>
    </w:p>
    <w:p>
      <w:pPr>
        <w:jc w:val="right"/>
        <w:bidi w:val="1"/>
      </w:pPr>
      <w:r>
        <w:rPr>
          <w:rFonts w:ascii="Arial" w:hAnsi="Arial"/>
          <w:rtl w:val="1"/>
        </w:rPr>
        <w:t>هذه صياغة كاملة لسياسات وتدخلات البديل الأول، ومعها خريطة جزئية للمواضع التي يثبتها المصدر النقطي. تحويل بقية الصفوف إلى زونات نهائية يتطلب الجزء (4) المفقود، وحدود التنمية المعتمدة، وطبقات القطع والاستعمالات والطرق والأودية والارتفاعات والسيول. يُراجع [تقرير التحقق](verification_report.md) قبل أي استعمال تنظيمي أو أكاديمي للخريطة.</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