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400"/>
        <w:jc w:val="center"/>
      </w:pPr>
      <w:r>
        <w:rPr>
          <w:rFonts w:ascii="Calibri" w:cs="Calibri" w:eastAsia="Calibri" w:hAnsi="Calibri"/>
          <w:b/>
          <w:bCs/>
          <w:color w:val="1F3A5F"/>
          <w:sz w:val="56"/>
          <w:szCs w:val="56"/>
        </w:rPr>
        <w:t xml:space="preserve">TRUXON TMS</w:t>
      </w:r>
    </w:p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2563EB"/>
          <w:sz w:val="40"/>
          <w:szCs w:val="40"/>
        </w:rPr>
        <w:t xml:space="preserve">Full Code Review</w:t>
      </w:r>
    </w:p>
    <w:p>
      <w:pPr>
        <w:spacing w:after="500"/>
        <w:jc w:val="center"/>
      </w:pPr>
      <w:r>
        <w:rPr>
          <w:rFonts w:ascii="Calibri" w:cs="Calibri" w:eastAsia="Calibri" w:hAnsi="Calibri"/>
          <w:i/>
          <w:iCs/>
          <w:color w:val="6B7280"/>
          <w:sz w:val="24"/>
          <w:szCs w:val="24"/>
        </w:rPr>
        <w:t xml:space="preserve">Security · Correctness · Money-Path — six-surface deep pass</w:t>
      </w:r>
    </w:p>
    <w:tbl>
      <w:tblPr>
        <w:tblW w:type="dxa" w:w="9360"/>
        <w:tblBorders>
          <w:top w:val="single" w:color="D1D5DB" w:sz="2"/>
          <w:left w:val="single" w:color="D1D5DB" w:sz="2"/>
          <w:bottom w:val="single" w:color="D1D5DB" w:sz="2"/>
          <w:right w:val="single" w:color="D1D5DB" w:sz="2"/>
          <w:insideH w:val="single" w:color="D1D5DB" w:sz="2"/>
          <w:insideV w:val="single" w:color="D1D5DB" w:sz="2"/>
        </w:tblBorders>
      </w:tblPr>
      <w:tblGrid>
        <w:gridCol w:w="3400"/>
        <w:gridCol w:w="5960"/>
      </w:tblGrid>
      <w:tr>
        <w:tc>
          <w:tcPr>
            <w:tcW w:type="dxa" w:w="3400"/>
            <w:shd w:fill="F1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20"/>
                <w:szCs w:val="20"/>
              </w:rPr>
              <w:t xml:space="preserve">Repository</w:t>
            </w:r>
          </w:p>
        </w:tc>
        <w:tc>
          <w:tcPr>
            <w:tcW w:type="dxa" w:w="59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turkyildiz/truxon</w:t>
            </w:r>
          </w:p>
        </w:tc>
      </w:tr>
      <w:tr>
        <w:tc>
          <w:tcPr>
            <w:tcW w:type="dxa" w:w="3400"/>
            <w:shd w:fill="F1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20"/>
                <w:szCs w:val="20"/>
              </w:rPr>
              <w:t xml:space="preserve">Commit reviewed</w:t>
            </w:r>
          </w:p>
        </w:tc>
        <w:tc>
          <w:tcPr>
            <w:tcW w:type="dxa" w:w="59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23f6ec2 (working tree, incl. uncommitted)</w:t>
            </w:r>
          </w:p>
        </w:tc>
      </w:tr>
      <w:tr>
        <w:tc>
          <w:tcPr>
            <w:tcW w:type="dxa" w:w="3400"/>
            <w:shd w:fill="F1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20"/>
                <w:szCs w:val="20"/>
              </w:rPr>
              <w:t xml:space="preserve">Date</w:t>
            </w:r>
          </w:p>
        </w:tc>
        <w:tc>
          <w:tcPr>
            <w:tcW w:type="dxa" w:w="59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2026-07-21</w:t>
            </w:r>
          </w:p>
        </w:tc>
      </w:tr>
      <w:tr>
        <w:tc>
          <w:tcPr>
            <w:tcW w:type="dxa" w:w="3400"/>
            <w:shd w:fill="F1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20"/>
                <w:szCs w:val="20"/>
              </w:rPr>
              <w:t xml:space="preserve">Scope</w:t>
            </w:r>
          </w:p>
        </w:tc>
        <w:tc>
          <w:tcPr>
            <w:tcW w:type="dxa" w:w="59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27 edge functions · 178 SQL migrations · 50 TS/TSX · 32 Dart · 46 deploy scripts</w:t>
            </w:r>
          </w:p>
        </w:tc>
      </w:tr>
      <w:tr>
        <w:tc>
          <w:tcPr>
            <w:tcW w:type="dxa" w:w="3400"/>
            <w:shd w:fill="F1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20"/>
                <w:szCs w:val="20"/>
              </w:rPr>
              <w:t xml:space="preserve">Method</w:t>
            </w:r>
          </w:p>
        </w:tc>
        <w:tc>
          <w:tcPr>
            <w:tcW w:type="dxa" w:w="59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Six independent deep passes; every line number verified. Static review, not a live pentest.</w:t>
            </w:r>
          </w:p>
        </w:tc>
      </w:tr>
      <w:tr>
        <w:tc>
          <w:tcPr>
            <w:tcW w:type="dxa" w:w="3400"/>
            <w:shd w:fill="F1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20"/>
                <w:szCs w:val="20"/>
              </w:rPr>
              <w:t xml:space="preserve">Result</w:t>
            </w:r>
          </w:p>
        </w:tc>
        <w:tc>
          <w:tcPr>
            <w:tcW w:type="dxa" w:w="59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0 open CRITICAL / HIGH security holes · 2 HIGH · 7 MEDIUM · 18 LOW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3A5F" w:sz="8" w:space="4"/>
        </w:pBdr>
        <w:spacing w:after="140" w:before="320"/>
      </w:pPr>
      <w:r>
        <w:rPr>
          <w:rFonts w:ascii="Calibri" w:cs="Calibri" w:eastAsia="Calibri" w:hAnsi="Calibri"/>
          <w:b/>
          <w:bCs/>
          <w:color w:val="1F3A5F"/>
          <w:sz w:val="30"/>
          <w:szCs w:val="30"/>
        </w:rPr>
        <w:t xml:space="preserve">1.  Headline for the team</w:t>
      </w:r>
    </w:p>
    <w:p>
      <w:pPr>
        <w:spacing w:after="120"/>
      </w:pPr>
      <w:r>
        <w:rPr>
          <w:rFonts w:ascii="Calibri" w:cs="Calibri" w:eastAsia="Calibri" w:hAnsi="Calibri"/>
        </w:rPr>
        <w:t xml:space="preserve">The prior Word security report (written against commit </w:t>
      </w:r>
      <w:r>
        <w:rPr>
          <w:rFonts w:ascii="Consolas" w:cs="Consolas" w:eastAsia="Consolas" w:hAnsi="Consolas"/>
          <w:color w:val="9333EA"/>
          <w:sz w:val="17"/>
          <w:szCs w:val="17"/>
        </w:rPr>
        <w:t xml:space="preserve">c9260f9</w:t>
      </w:r>
      <w:r>
        <w:rPr>
          <w:rFonts w:ascii="Calibri" w:cs="Calibri" w:eastAsia="Calibri" w:hAnsi="Calibri"/>
        </w:rPr>
        <w:t xml:space="preserve">) is </w:t>
      </w:r>
      <w:r>
        <w:rPr>
          <w:rFonts w:ascii="Calibri" w:cs="Calibri" w:eastAsia="Calibri" w:hAnsi="Calibri"/>
          <w:b/>
          <w:bCs/>
        </w:rPr>
        <w:t xml:space="preserve">substantially remediated</w:t>
      </w:r>
      <w:r>
        <w:rPr>
          <w:rFonts w:ascii="Calibri" w:cs="Calibri" w:eastAsia="Calibri" w:hAnsi="Calibri"/>
        </w:rPr>
        <w:t xml:space="preserve"> in current </w:t>
      </w:r>
      <w:r>
        <w:rPr>
          <w:rFonts w:ascii="Consolas" w:cs="Consolas" w:eastAsia="Consolas" w:hAnsi="Consolas"/>
          <w:color w:val="9333EA"/>
          <w:sz w:val="17"/>
          <w:szCs w:val="17"/>
        </w:rPr>
        <w:t xml:space="preserve">main</w:t>
      </w:r>
      <w:r>
        <w:rPr>
          <w:rFonts w:ascii="Calibri" w:cs="Calibri" w:eastAsia="Calibri" w:hAnsi="Calibri"/>
        </w:rPr>
        <w:t xml:space="preserve">. The entire CRITICAL "cron = public anon JWT" family and the invoice / void / accessorial money bugs (B-01/02/03) are </w:t>
      </w:r>
      <w:r>
        <w:rPr>
          <w:rFonts w:ascii="Calibri" w:cs="Calibri" w:eastAsia="Calibri" w:hAnsi="Calibri"/>
          <w:b/>
          <w:bCs/>
          <w:color w:val="15803D"/>
        </w:rPr>
        <w:t xml:space="preserve">fixed and verified</w:t>
      </w:r>
      <w:r>
        <w:rPr>
          <w:rFonts w:ascii="Calibri" w:cs="Calibri" w:eastAsia="Calibri" w:hAnsi="Calibri"/>
        </w:rPr>
        <w:t xml:space="preserve"> — see the Resolved table in §5. Do not re-fix those.</w:t>
      </w:r>
    </w:p>
    <w:p>
      <w:pPr>
        <w:spacing w:after="120"/>
      </w:pPr>
      <w:r>
        <w:rPr>
          <w:rFonts w:ascii="Calibri" w:cs="Calibri" w:eastAsia="Calibri" w:hAnsi="Calibri"/>
        </w:rPr>
        <w:t xml:space="preserve">There are </w:t>
      </w:r>
      <w:r>
        <w:rPr>
          <w:rFonts w:ascii="Calibri" w:cs="Calibri" w:eastAsia="Calibri" w:hAnsi="Calibri"/>
          <w:b/>
          <w:bCs/>
          <w:color w:val="15803D"/>
        </w:rPr>
        <w:t xml:space="preserve">zero open CRITICAL or HIGH security holes.</w:t>
      </w:r>
      <w:r>
        <w:rPr>
          <w:rFonts w:ascii="Calibri" w:cs="Calibri" w:eastAsia="Calibri" w:hAnsi="Calibri"/>
        </w:rPr>
        <w:t xml:space="preserve"> The one item actively costing money is a </w:t>
      </w:r>
      <w:r>
        <w:rPr>
          <w:rFonts w:ascii="Calibri" w:cs="Calibri" w:eastAsia="Calibri" w:hAnsi="Calibri"/>
          <w:i/>
          <w:iCs/>
        </w:rPr>
        <w:t xml:space="preserve">new</w:t>
      </w:r>
      <w:r>
        <w:rPr>
          <w:rFonts w:ascii="Calibri" w:cs="Calibri" w:eastAsia="Calibri" w:hAnsi="Calibri"/>
        </w:rPr>
        <w:t xml:space="preserve"> correctness bug the fixes left behind (H-1), and it is a small change. Everything else is medium-or-lower hardening.</w:t>
      </w:r>
    </w:p>
    <w:p>
      <w:pPr>
        <w:pStyle w:val="Heading1"/>
        <w:pBdr>
          <w:bottom w:val="single" w:color="1F3A5F" w:sz="8" w:space="4"/>
        </w:pBdr>
        <w:spacing w:after="140" w:before="320"/>
      </w:pPr>
      <w:r>
        <w:rPr>
          <w:rFonts w:ascii="Calibri" w:cs="Calibri" w:eastAsia="Calibri" w:hAnsi="Calibri"/>
          <w:b/>
          <w:bCs/>
          <w:color w:val="1F3A5F"/>
          <w:sz w:val="30"/>
          <w:szCs w:val="30"/>
        </w:rPr>
        <w:t xml:space="preserve">2.  Priority queue — fix in this order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100"/>
        <w:gridCol w:w="5860"/>
        <w:gridCol w:w="1500"/>
      </w:tblGrid>
      <w:tr>
        <w:trPr>
          <w:tblHeader/>
        </w:trPr>
        <w:tc>
          <w:tcPr>
            <w:tcW w:type="dxa" w:w="900"/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100"/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Sev</w:t>
            </w:r>
          </w:p>
        </w:tc>
        <w:tc>
          <w:tcPr>
            <w:tcW w:type="dxa" w:w="5860"/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Finding</w:t>
            </w:r>
          </w:p>
        </w:tc>
        <w:tc>
          <w:tcPr>
            <w:tcW w:type="dxa" w:w="1500"/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Surface</w:t>
            </w:r>
          </w:p>
        </w:tc>
      </w:tr>
      <w:tr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H-1</w:t>
            </w:r>
          </w:p>
        </w:tc>
        <w:tc>
          <w:tcPr>
            <w:tcW w:type="dxa" w:w="1100"/>
            <w:shd w:fill="B91C1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HIGH</w:t>
            </w:r>
          </w:p>
        </w:tc>
        <w:tc>
          <w:tcPr>
            <w:tcW w:type="dxa" w:w="58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Approved detention on an already-billed load is stranded — never collected (live revenue leak)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6B7280"/>
                <w:sz w:val="16"/>
                <w:szCs w:val="16"/>
              </w:rPr>
              <w:t xml:space="preserve">SQL money</w:t>
            </w:r>
          </w:p>
        </w:tc>
      </w:tr>
      <w:tr>
        <w:tc>
          <w:tcPr>
            <w:tcW w:type="dxa" w:w="900"/>
            <w:shd w:fill="F1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H-2</w:t>
            </w:r>
          </w:p>
        </w:tc>
        <w:tc>
          <w:tcPr>
            <w:tcW w:type="dxa" w:w="1100"/>
            <w:shd w:fill="B91C1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HIGH</w:t>
            </w:r>
          </w:p>
        </w:tc>
        <w:tc>
          <w:tcPr>
            <w:tcW w:type="dxa" w:w="5860"/>
            <w:shd w:fill="F1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Self-heal responder AUTOFIX: anon-reachable trigger + prompt-injection → autonomous git push to prod</w:t>
            </w:r>
            <w:r>
              <w:rPr>
                <w:rFonts w:ascii="Calibri" w:cs="Calibri" w:eastAsia="Calibri" w:hAnsi="Calibri"/>
                <w:i/>
                <w:iCs/>
                <w:color w:val="6B7280"/>
                <w:sz w:val="16"/>
                <w:szCs w:val="16"/>
              </w:rPr>
              <w:t xml:space="preserve">  (only when AUTOFIX=1)</w:t>
            </w:r>
          </w:p>
        </w:tc>
        <w:tc>
          <w:tcPr>
            <w:tcW w:type="dxa" w:w="1500"/>
            <w:shd w:fill="F1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6B7280"/>
                <w:sz w:val="16"/>
                <w:szCs w:val="16"/>
              </w:rPr>
              <w:t xml:space="preserve">deploy</w:t>
            </w:r>
          </w:p>
        </w:tc>
      </w:tr>
      <w:tr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M-1</w:t>
            </w:r>
          </w:p>
        </w:tc>
        <w:tc>
          <w:tcPr>
            <w:tcW w:type="dxa" w:w="1100"/>
            <w:shd w:fill="C2410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MED</w:t>
            </w:r>
          </w:p>
        </w:tc>
        <w:tc>
          <w:tcPr>
            <w:tcW w:type="dxa" w:w="58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"Generate Invoice" preview omits approved accessorials (server bills more than the UI shows)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6B7280"/>
                <w:sz w:val="16"/>
                <w:szCs w:val="16"/>
              </w:rPr>
              <w:t xml:space="preserve">frontend+SQL</w:t>
            </w:r>
          </w:p>
        </w:tc>
      </w:tr>
      <w:tr>
        <w:tc>
          <w:tcPr>
            <w:tcW w:type="dxa" w:w="900"/>
            <w:shd w:fill="F1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M-2</w:t>
            </w:r>
          </w:p>
        </w:tc>
        <w:tc>
          <w:tcPr>
            <w:tcW w:type="dxa" w:w="1100"/>
            <w:shd w:fill="C2410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MED</w:t>
            </w:r>
          </w:p>
        </w:tc>
        <w:tc>
          <w:tcPr>
            <w:tcW w:type="dxa" w:w="5860"/>
            <w:shd w:fill="F1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Sign-out queue wipe races onDestroy → prev driver’s GPS flushes under next driver’s JWT</w:t>
            </w:r>
          </w:p>
        </w:tc>
        <w:tc>
          <w:tcPr>
            <w:tcW w:type="dxa" w:w="1500"/>
            <w:shd w:fill="F1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6B7280"/>
                <w:sz w:val="16"/>
                <w:szCs w:val="16"/>
              </w:rPr>
              <w:t xml:space="preserve">mobile</w:t>
            </w:r>
          </w:p>
        </w:tc>
      </w:tr>
      <w:tr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M-3</w:t>
            </w:r>
          </w:p>
        </w:tc>
        <w:tc>
          <w:tcPr>
            <w:tcW w:type="dxa" w:w="1100"/>
            <w:shd w:fill="C2410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MED</w:t>
            </w:r>
          </w:p>
        </w:tc>
        <w:tc>
          <w:tcPr>
            <w:tcW w:type="dxa" w:w="58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Refresh token in plaintext prefs (access token hardened, refresh not)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6B7280"/>
                <w:sz w:val="16"/>
                <w:szCs w:val="16"/>
              </w:rPr>
              <w:t xml:space="preserve">mobile</w:t>
            </w:r>
          </w:p>
        </w:tc>
      </w:tr>
      <w:tr>
        <w:tc>
          <w:tcPr>
            <w:tcW w:type="dxa" w:w="900"/>
            <w:shd w:fill="F1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M-4</w:t>
            </w:r>
          </w:p>
        </w:tc>
        <w:tc>
          <w:tcPr>
            <w:tcW w:type="dxa" w:w="1100"/>
            <w:shd w:fill="C2410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MED</w:t>
            </w:r>
          </w:p>
        </w:tc>
        <w:tc>
          <w:tcPr>
            <w:tcW w:type="dxa" w:w="5860"/>
            <w:shd w:fill="F1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OTA manifest unsigned — a compromised release defeats host-allowlist + SHA-256</w:t>
            </w:r>
          </w:p>
        </w:tc>
        <w:tc>
          <w:tcPr>
            <w:tcW w:type="dxa" w:w="1500"/>
            <w:shd w:fill="F1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6B7280"/>
                <w:sz w:val="16"/>
                <w:szCs w:val="16"/>
              </w:rPr>
              <w:t xml:space="preserve">mobile</w:t>
            </w:r>
          </w:p>
        </w:tc>
      </w:tr>
      <w:tr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M-5</w:t>
            </w:r>
          </w:p>
        </w:tc>
        <w:tc>
          <w:tcPr>
            <w:tcW w:type="dxa" w:w="1100"/>
            <w:shd w:fill="C2410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MED</w:t>
            </w:r>
          </w:p>
        </w:tc>
        <w:tc>
          <w:tcPr>
            <w:tcW w:type="dxa" w:w="58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PrePass SFTP pull has no host-key verification (MITM → forged toll CSVs into financials)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6B7280"/>
                <w:sz w:val="16"/>
                <w:szCs w:val="16"/>
              </w:rPr>
              <w:t xml:space="preserve">deploy</w:t>
            </w:r>
          </w:p>
        </w:tc>
      </w:tr>
      <w:tr>
        <w:tc>
          <w:tcPr>
            <w:tcW w:type="dxa" w:w="900"/>
            <w:shd w:fill="F1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M-6</w:t>
            </w:r>
          </w:p>
        </w:tc>
        <w:tc>
          <w:tcPr>
            <w:tcW w:type="dxa" w:w="1100"/>
            <w:shd w:fill="C2410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MED</w:t>
            </w:r>
          </w:p>
        </w:tc>
        <w:tc>
          <w:tcPr>
            <w:tcW w:type="dxa" w:w="5860"/>
            <w:shd w:fill="F1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Admin/prod passwords passed on argv (visible in ps / shell history)</w:t>
            </w:r>
          </w:p>
        </w:tc>
        <w:tc>
          <w:tcPr>
            <w:tcW w:type="dxa" w:w="1500"/>
            <w:shd w:fill="F1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6B7280"/>
                <w:sz w:val="16"/>
                <w:szCs w:val="16"/>
              </w:rPr>
              <w:t xml:space="preserve">deploy</w:t>
            </w:r>
          </w:p>
        </w:tc>
      </w:tr>
      <w:tr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M-7</w:t>
            </w:r>
          </w:p>
        </w:tc>
        <w:tc>
          <w:tcPr>
            <w:tcW w:type="dxa" w:w="1100"/>
            <w:shd w:fill="C2410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MED</w:t>
            </w:r>
          </w:p>
        </w:tc>
        <w:tc>
          <w:tcPr>
            <w:tcW w:type="dxa" w:w="58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Runtime pip/apt installs unpinned, run every job (supply-chain + availability)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6B7280"/>
                <w:sz w:val="16"/>
                <w:szCs w:val="16"/>
              </w:rPr>
              <w:t xml:space="preserve">deploy</w:t>
            </w:r>
          </w:p>
        </w:tc>
      </w:tr>
    </w:tbl>
    <w:p>
      <w:pPr>
        <w:spacing w:before="80"/>
      </w:pPr>
      <w:r>
        <w:rPr>
          <w:rFonts w:ascii="Calibri" w:cs="Calibri" w:eastAsia="Calibri" w:hAnsi="Calibri"/>
          <w:color w:val="6B7280"/>
          <w:sz w:val="18"/>
          <w:szCs w:val="18"/>
        </w:rPr>
        <w:t xml:space="preserve">* H-2 is HIGH only when </w:t>
      </w:r>
      <w:r>
        <w:rPr>
          <w:rFonts w:ascii="Consolas" w:cs="Consolas" w:eastAsia="Consolas" w:hAnsi="Consolas"/>
          <w:color w:val="9333EA"/>
          <w:sz w:val="17"/>
          <w:szCs w:val="17"/>
        </w:rPr>
        <w:t xml:space="preserve">RESPONDER_AUTOFIX=1</w:t>
      </w:r>
      <w:r>
        <w:rPr>
          <w:rFonts w:ascii="Calibri" w:cs="Calibri" w:eastAsia="Calibri" w:hAnsi="Calibri"/>
          <w:color w:val="6B7280"/>
          <w:sz w:val="18"/>
          <w:szCs w:val="18"/>
        </w:rPr>
        <w:t xml:space="preserve">. The default posture is read-only and safe; treat "keep AUTOFIX off in prod" as a hard gate.</w:t>
      </w:r>
    </w:p>
    <w:p>
      <w:pPr>
        <w:pStyle w:val="Heading1"/>
        <w:pBdr>
          <w:bottom w:val="single" w:color="1F3A5F" w:sz="8" w:space="4"/>
        </w:pBdr>
        <w:spacing w:after="140" w:before="320"/>
      </w:pPr>
      <w:r>
        <w:rPr>
          <w:rFonts w:ascii="Calibri" w:cs="Calibri" w:eastAsia="Calibri" w:hAnsi="Calibri"/>
          <w:b/>
          <w:bCs/>
          <w:color w:val="1F3A5F"/>
          <w:sz w:val="30"/>
          <w:szCs w:val="30"/>
        </w:rPr>
        <w:t xml:space="preserve">3.  High-priority findings</w:t>
      </w:r>
    </w:p>
    <w:p>
      <w:pPr>
        <w:pStyle w:val="Heading2"/>
        <w:spacing w:after="90" w:before="220"/>
      </w:pPr>
      <w:r>
        <w:rPr>
          <w:rFonts w:ascii="Calibri" w:cs="Calibri" w:eastAsia="Calibri" w:hAnsi="Calibri"/>
          <w:b/>
          <w:bCs/>
          <w:color w:val="B91C1C"/>
          <w:sz w:val="24"/>
          <w:szCs w:val="24"/>
        </w:rPr>
        <w:t xml:space="preserve">H-1 — Approved detention on an already-billed load is stranded and never collected</w:t>
      </w: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Status: </w:t>
      </w:r>
      <w:r>
        <w:rPr>
          <w:rFonts w:ascii="Calibri" w:cs="Calibri" w:eastAsia="Calibri" w:hAnsi="Calibri"/>
          <w:b/>
          <w:bCs/>
          <w:color w:val="15803D"/>
        </w:rPr>
        <w:t xml:space="preserve">CONFIRMED</w:t>
      </w:r>
      <w:r>
        <w:rPr>
          <w:rFonts w:ascii="Calibri" w:cs="Calibri" w:eastAsia="Calibri" w:hAnsi="Calibri"/>
          <w:b/>
          <w:bCs/>
        </w:rPr>
        <w:t xml:space="preserve">  ·  Severity: </w:t>
      </w:r>
      <w:r>
        <w:rPr>
          <w:rFonts w:ascii="Calibri" w:cs="Calibri" w:eastAsia="Calibri" w:hAnsi="Calibri"/>
          <w:b/>
          <w:bCs/>
          <w:color w:val="B91C1C"/>
        </w:rPr>
        <w:t xml:space="preserve">HIGH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F3A5F"/>
        </w:rPr>
        <w:t xml:space="preserve">Where: </w:t>
      </w:r>
      <w:r>
        <w:rPr>
          <w:rFonts w:ascii="Consolas" w:cs="Consolas" w:eastAsia="Consolas" w:hAnsi="Consolas"/>
          <w:color w:val="9333EA"/>
          <w:sz w:val="17"/>
          <w:szCs w:val="17"/>
        </w:rPr>
        <w:t xml:space="preserve">detention_events()</w:t>
      </w:r>
      <w:r>
        <w:rPr>
          <w:rFonts w:ascii="Calibri" w:cs="Calibri" w:eastAsia="Calibri" w:hAnsi="Calibri"/>
        </w:rPr>
        <w:t xml:space="preserve"> 20260720370001_sentinel_detention.sql:22-56, </w:t>
      </w:r>
      <w:r>
        <w:rPr>
          <w:rFonts w:ascii="Consolas" w:cs="Consolas" w:eastAsia="Consolas" w:hAnsi="Consolas"/>
          <w:color w:val="9333EA"/>
          <w:sz w:val="17"/>
          <w:szCs w:val="17"/>
        </w:rPr>
        <w:t xml:space="preserve">propose_detention_accessorials()</w:t>
      </w:r>
      <w:r>
        <w:rPr>
          <w:rFonts w:ascii="Calibri" w:cs="Calibri" w:eastAsia="Calibri" w:hAnsi="Calibri"/>
        </w:rPr>
        <w:t xml:space="preserve"> 20260720790001_detention_evidence.sql:12, </w:t>
      </w:r>
      <w:r>
        <w:rPr>
          <w:rFonts w:ascii="Consolas" w:cs="Consolas" w:eastAsia="Consolas" w:hAnsi="Consolas"/>
          <w:color w:val="9333EA"/>
          <w:sz w:val="17"/>
          <w:szCs w:val="17"/>
        </w:rPr>
        <w:t xml:space="preserve">decide_accessorial()</w:t>
      </w:r>
      <w:r>
        <w:rPr>
          <w:rFonts w:ascii="Calibri" w:cs="Calibri" w:eastAsia="Calibri" w:hAnsi="Calibri"/>
        </w:rPr>
        <w:t xml:space="preserve"> 20260720530001_detention_billing.sql:58, </w:t>
      </w:r>
      <w:r>
        <w:rPr>
          <w:rFonts w:ascii="Consolas" w:cs="Consolas" w:eastAsia="Consolas" w:hAnsi="Consolas"/>
          <w:color w:val="9333EA"/>
          <w:sz w:val="17"/>
          <w:szCs w:val="17"/>
        </w:rPr>
        <w:t xml:space="preserve">create_invoice()</w:t>
      </w:r>
      <w:r>
        <w:rPr>
          <w:rFonts w:ascii="Calibri" w:cs="Calibri" w:eastAsia="Calibri" w:hAnsi="Calibri"/>
        </w:rPr>
        <w:t xml:space="preserve"> 20260720640001_security_p0.sql:120,159-172.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F3A5F"/>
        </w:rPr>
        <w:t xml:space="preserve">The bug: </w:t>
      </w:r>
      <w:r>
        <w:rPr>
          <w:rFonts w:ascii="Calibri" w:cs="Calibri" w:eastAsia="Calibri" w:hAnsi="Calibri"/>
        </w:rPr>
        <w:t xml:space="preserve">Detention is detected from ELD/geocode data that usually lands after a load is quick-billed (loads bill within a day or two; the propose cron runs a 45-day window daily at 06:51). A proposal is inserted on a load that is already billed — nothing stops it; the office approves it; but </w:t>
      </w:r>
      <w:r>
        <w:rPr>
          <w:rFonts w:ascii="Consolas" w:cs="Consolas" w:eastAsia="Consolas" w:hAnsi="Consolas"/>
          <w:color w:val="9333EA"/>
          <w:sz w:val="17"/>
          <w:szCs w:val="17"/>
        </w:rPr>
        <w:t xml:space="preserve">create_invoice</w:t>
      </w:r>
      <w:r>
        <w:rPr>
          <w:rFonts w:ascii="Calibri" w:cs="Calibri" w:eastAsia="Calibri" w:hAnsi="Calibri"/>
        </w:rPr>
        <w:t xml:space="preserve"> — the only path that turns an approved accessorial into money — refuses any load that is not </w:t>
      </w:r>
      <w:r>
        <w:rPr>
          <w:rFonts w:ascii="Consolas" w:cs="Consolas" w:eastAsia="Consolas" w:hAnsi="Consolas"/>
          <w:color w:val="9333EA"/>
          <w:sz w:val="17"/>
          <w:szCs w:val="17"/>
        </w:rPr>
        <w:t xml:space="preserve">completed</w:t>
      </w:r>
      <w:r>
        <w:rPr>
          <w:rFonts w:ascii="Calibri" w:cs="Calibri" w:eastAsia="Calibri" w:hAnsi="Calibri"/>
        </w:rPr>
        <w:t xml:space="preserve">/un-invoiced. The approved charge is now unreachable.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F3A5F"/>
        </w:rPr>
        <w:t xml:space="preserve">Concrete: </w:t>
      </w:r>
      <w:r>
        <w:rPr>
          <w:rFonts w:ascii="Calibri" w:cs="Calibri" w:eastAsia="Calibri" w:hAnsi="Calibri"/>
        </w:rPr>
        <w:t xml:space="preserve">Load delivered Mon, invoiced Tue. Wed the rollup lands; the cron proposes a $375 detention charge on the now-billed load. Owner approves Thu. Result: $375 approved, uncollectable unless someone manually voids and re-bills.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F3A5F"/>
        </w:rPr>
        <w:t xml:space="preserve">Impact: </w:t>
      </w:r>
      <w:r>
        <w:rPr>
          <w:rFonts w:ascii="Calibri" w:cs="Calibri" w:eastAsia="Calibri" w:hAnsi="Calibri"/>
        </w:rPr>
        <w:t xml:space="preserve">Silent, recurring detention leak — the exact revenue the feature exists to capture ($150–$600/stop). This is not B-01 (void→reopen, fixed); it is the more common "proof arrives after billing" path.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F3A5F"/>
        </w:rPr>
        <w:t xml:space="preserve">Fix: </w:t>
      </w:r>
      <w:r>
        <w:rPr>
          <w:rFonts w:ascii="Calibri" w:cs="Calibri" w:eastAsia="Calibri" w:hAnsi="Calibri"/>
        </w:rPr>
        <w:t xml:space="preserve">(a) filter the proposal to loads still </w:t>
      </w:r>
      <w:r>
        <w:rPr>
          <w:rFonts w:ascii="Consolas" w:cs="Consolas" w:eastAsia="Consolas" w:hAnsi="Consolas"/>
          <w:color w:val="9333EA"/>
          <w:sz w:val="17"/>
          <w:szCs w:val="17"/>
        </w:rPr>
        <w:t xml:space="preserve">completed</w:t>
      </w:r>
      <w:r>
        <w:rPr>
          <w:rFonts w:ascii="Calibri" w:cs="Calibri" w:eastAsia="Calibri" w:hAnsi="Calibri"/>
        </w:rPr>
        <w:t xml:space="preserve"> &amp; </w:t>
      </w:r>
      <w:r>
        <w:rPr>
          <w:rFonts w:ascii="Consolas" w:cs="Consolas" w:eastAsia="Consolas" w:hAnsi="Consolas"/>
          <w:color w:val="9333EA"/>
          <w:sz w:val="17"/>
          <w:szCs w:val="17"/>
        </w:rPr>
        <w:t xml:space="preserve">invoice_id is null</w:t>
      </w:r>
      <w:r>
        <w:rPr>
          <w:rFonts w:ascii="Calibri" w:cs="Calibri" w:eastAsia="Calibri" w:hAnsi="Calibri"/>
        </w:rPr>
        <w:t xml:space="preserve">; (b) have </w:t>
      </w:r>
      <w:r>
        <w:rPr>
          <w:rFonts w:ascii="Consolas" w:cs="Consolas" w:eastAsia="Consolas" w:hAnsi="Consolas"/>
          <w:color w:val="9333EA"/>
          <w:sz w:val="17"/>
          <w:szCs w:val="17"/>
        </w:rPr>
        <w:t xml:space="preserve">decide_accessorial</w:t>
      </w:r>
      <w:r>
        <w:rPr>
          <w:rFonts w:ascii="Calibri" w:cs="Calibri" w:eastAsia="Calibri" w:hAnsi="Calibri"/>
        </w:rPr>
        <w:t xml:space="preserve"> park approval on a billed load and surface a "void &amp; re-bill" / supplemental-invoice action. Add a pgTAP case: propose → bill → approve must stay collectable.</w:t>
      </w:r>
    </w:p>
    <w:p>
      <w:pPr>
        <w:pStyle w:val="Heading2"/>
        <w:spacing w:after="90" w:before="220"/>
      </w:pPr>
      <w:r>
        <w:rPr>
          <w:rFonts w:ascii="Calibri" w:cs="Calibri" w:eastAsia="Calibri" w:hAnsi="Calibri"/>
          <w:b/>
          <w:bCs/>
          <w:color w:val="B91C1C"/>
          <w:sz w:val="24"/>
          <w:szCs w:val="24"/>
        </w:rPr>
        <w:t xml:space="preserve">H-2 — Self-heal responder AUTOFIX: attacker-influenceable trigger + prompt injection → autonomous push to prod</w:t>
      </w: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Status: </w:t>
      </w:r>
      <w:r>
        <w:rPr>
          <w:rFonts w:ascii="Calibri" w:cs="Calibri" w:eastAsia="Calibri" w:hAnsi="Calibri"/>
          <w:b/>
          <w:bCs/>
          <w:color w:val="15803D"/>
        </w:rPr>
        <w:t xml:space="preserve">CONFIRMED</w:t>
      </w:r>
      <w:r>
        <w:rPr>
          <w:rFonts w:ascii="Calibri" w:cs="Calibri" w:eastAsia="Calibri" w:hAnsi="Calibri"/>
          <w:b/>
          <w:bCs/>
        </w:rPr>
        <w:t xml:space="preserve">  ·  Severity: </w:t>
      </w:r>
      <w:r>
        <w:rPr>
          <w:rFonts w:ascii="Calibri" w:cs="Calibri" w:eastAsia="Calibri" w:hAnsi="Calibri"/>
          <w:b/>
          <w:bCs/>
          <w:color w:val="B91C1C"/>
        </w:rPr>
        <w:t xml:space="preserve">HIGH when AUTOFIX=1 (default off)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F3A5F"/>
        </w:rPr>
        <w:t xml:space="preserve">Where: </w:t>
      </w:r>
      <w:r>
        <w:rPr>
          <w:rFonts w:ascii="Consolas" w:cs="Consolas" w:eastAsia="Consolas" w:hAnsi="Consolas"/>
          <w:color w:val="9333EA"/>
          <w:sz w:val="17"/>
          <w:szCs w:val="17"/>
        </w:rPr>
        <w:t xml:space="preserve">deploy/watchdog/responder.mjs:87, 94-105, 128-136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F3A5F"/>
        </w:rPr>
        <w:t xml:space="preserve">The bug: </w:t>
      </w:r>
      <w:r>
        <w:rPr>
          <w:rFonts w:ascii="Calibri" w:cs="Calibri" w:eastAsia="Calibri" w:hAnsi="Calibri"/>
        </w:rPr>
        <w:t xml:space="preserve">Default posture is well-built (read-only allowlist, cooldown + fail-age gates, no privileged creds). The risk is entirely the opt-in </w:t>
      </w:r>
      <w:r>
        <w:rPr>
          <w:rFonts w:ascii="Consolas" w:cs="Consolas" w:eastAsia="Consolas" w:hAnsi="Consolas"/>
          <w:color w:val="9333EA"/>
          <w:sz w:val="17"/>
          <w:szCs w:val="17"/>
        </w:rPr>
        <w:t xml:space="preserve">RESPONDER_AUTOFIX=1</w:t>
      </w:r>
      <w:r>
        <w:rPr>
          <w:rFonts w:ascii="Calibri" w:cs="Calibri" w:eastAsia="Calibri" w:hAnsi="Calibri"/>
        </w:rPr>
        <w:t xml:space="preserve"> path, which adds </w:t>
      </w:r>
      <w:r>
        <w:rPr>
          <w:rFonts w:ascii="Consolas" w:cs="Consolas" w:eastAsia="Consolas" w:hAnsi="Consolas"/>
          <w:color w:val="9333EA"/>
          <w:sz w:val="17"/>
          <w:szCs w:val="17"/>
        </w:rPr>
        <w:t xml:space="preserve">--dangerously-skip-permissions</w:t>
      </w:r>
      <w:r>
        <w:rPr>
          <w:rFonts w:ascii="Calibri" w:cs="Calibri" w:eastAsia="Calibri" w:hAnsi="Calibri"/>
        </w:rPr>
        <w:t xml:space="preserve"> and grants code fixes, edge redeploys, and git commit+push. Two sharp properties: the trigger (checks red &gt;15 min) is reachable with the public anon key, so an induced failure can summon the agent; and the prompt is built from </w:t>
      </w:r>
      <w:r>
        <w:rPr>
          <w:rFonts w:ascii="Consolas" w:cs="Consolas" w:eastAsia="Consolas" w:hAnsi="Consolas"/>
          <w:color w:val="9333EA"/>
          <w:sz w:val="17"/>
          <w:szCs w:val="17"/>
        </w:rPr>
        <w:t xml:space="preserve">wd.recent_failures</w:t>
      </w:r>
      <w:r>
        <w:rPr>
          <w:rFonts w:ascii="Calibri" w:cs="Calibri" w:eastAsia="Calibri" w:hAnsi="Calibri"/>
        </w:rPr>
        <w:t xml:space="preserve"> — inbox/email failure text that inbound mail can influence — injected verbatim into a session that, when armed, can push to main (which deploys prod).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F3A5F"/>
        </w:rPr>
        <w:t xml:space="preserve">Fix: </w:t>
      </w:r>
      <w:r>
        <w:rPr>
          <w:rFonts w:ascii="Calibri" w:cs="Calibri" w:eastAsia="Calibri" w:hAnsi="Calibri"/>
        </w:rPr>
        <w:t xml:space="preserve">Keep AUTOFIX off in prod (hard gate). If it must exist: fence </w:t>
      </w:r>
      <w:r>
        <w:rPr>
          <w:rFonts w:ascii="Consolas" w:cs="Consolas" w:eastAsia="Consolas" w:hAnsi="Consolas"/>
          <w:color w:val="9333EA"/>
          <w:sz w:val="17"/>
          <w:szCs w:val="17"/>
        </w:rPr>
        <w:t xml:space="preserve">recent_failures</w:t>
      </w:r>
      <w:r>
        <w:rPr>
          <w:rFonts w:ascii="Calibri" w:cs="Calibri" w:eastAsia="Calibri" w:hAnsi="Calibri"/>
        </w:rPr>
        <w:t xml:space="preserve"> as untrusted, require a second non-anon signal to arm, drop the skip-permissions flag for an allowlist that excludes git push / functions deploy, and require human approval before any push.</w:t>
      </w:r>
    </w:p>
    <w:p>
      <w:pPr>
        <w:pStyle w:val="Heading1"/>
        <w:pBdr>
          <w:bottom w:val="single" w:color="1F3A5F" w:sz="8" w:space="4"/>
        </w:pBdr>
        <w:spacing w:after="140" w:before="320"/>
      </w:pPr>
      <w:r>
        <w:rPr>
          <w:rFonts w:ascii="Calibri" w:cs="Calibri" w:eastAsia="Calibri" w:hAnsi="Calibri"/>
          <w:b/>
          <w:bCs/>
          <w:color w:val="1F3A5F"/>
          <w:sz w:val="30"/>
          <w:szCs w:val="30"/>
        </w:rPr>
        <w:t xml:space="preserve">4.  Medium-priority findings</w:t>
      </w:r>
    </w:p>
    <w:p>
      <w:pPr>
        <w:pStyle w:val="Heading2"/>
        <w:spacing w:after="90" w:before="220"/>
      </w:pPr>
      <w:r>
        <w:rPr>
          <w:rFonts w:ascii="Calibri" w:cs="Calibri" w:eastAsia="Calibri" w:hAnsi="Calibri"/>
          <w:b/>
          <w:bCs/>
          <w:color w:val="C2410C"/>
          <w:sz w:val="24"/>
          <w:szCs w:val="24"/>
        </w:rPr>
        <w:t xml:space="preserve">M-1 — Invoice-creation preview omits approved accessorials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F3A5F"/>
        </w:rPr>
        <w:t xml:space="preserve">Where: </w:t>
      </w:r>
      <w:r>
        <w:rPr>
          <w:rFonts w:ascii="Consolas" w:cs="Consolas" w:eastAsia="Consolas" w:hAnsi="Consolas"/>
          <w:color w:val="9333EA"/>
          <w:sz w:val="17"/>
          <w:szCs w:val="17"/>
        </w:rPr>
        <w:t xml:space="preserve">frontend/src/pages/Invoices.tsx:245 (shown :433) vs create_invoice 20260720640001_security_p0.sql:159-164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F3A5F"/>
        </w:rPr>
        <w:t xml:space="preserve">The issue: </w:t>
      </w:r>
      <w:r>
        <w:rPr>
          <w:rFonts w:ascii="Calibri" w:cs="Calibri" w:eastAsia="Calibri" w:hAnsi="Calibri"/>
        </w:rPr>
        <w:t xml:space="preserve">The preview sums only l.rate; the server adds every approved accessorial. Two loads $1,900 + $1,600 with a $375 approved detention → preview shows $3,500, the invoice created and emailed is $3,875. No money lost (server is right), but the office confirms a number lower than what the broker receives — a WYSIWYG break that invites disputes.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F3A5F"/>
        </w:rPr>
        <w:t xml:space="preserve">Fix: </w:t>
      </w:r>
      <w:r>
        <w:rPr>
          <w:rFonts w:ascii="Calibri" w:cs="Calibri" w:eastAsia="Calibri" w:hAnsi="Calibri"/>
        </w:rPr>
        <w:t xml:space="preserve">Pull approved accessorials for the selected loads (listAccessorials exists) into the preview subtotal with a line-item breakdown, or fetch the server-computed total pre-commit.</w:t>
      </w:r>
    </w:p>
    <w:p>
      <w:pPr>
        <w:pStyle w:val="Heading2"/>
        <w:spacing w:after="90" w:before="220"/>
      </w:pPr>
      <w:r>
        <w:rPr>
          <w:rFonts w:ascii="Calibri" w:cs="Calibri" w:eastAsia="Calibri" w:hAnsi="Calibri"/>
          <w:b/>
          <w:bCs/>
          <w:color w:val="C2410C"/>
          <w:sz w:val="24"/>
          <w:szCs w:val="24"/>
        </w:rPr>
        <w:t xml:space="preserve">M-2 — Sign-out queue wipe races the tracking isolate’s onDestroy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F3A5F"/>
        </w:rPr>
        <w:t xml:space="preserve">Where: </w:t>
      </w:r>
      <w:r>
        <w:rPr>
          <w:rFonts w:ascii="Consolas" w:cs="Consolas" w:eastAsia="Consolas" w:hAnsi="Consolas"/>
          <w:color w:val="9333EA"/>
          <w:sz w:val="17"/>
          <w:szCs w:val="17"/>
        </w:rPr>
        <w:t xml:space="preserve">mobile/lib/services/api.dart:323-334 vs tracking_service.dart:129-132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F3A5F"/>
        </w:rPr>
        <w:t xml:space="preserve">The issue: </w:t>
      </w:r>
      <w:r>
        <w:rPr>
          <w:rFonts w:ascii="Calibri" w:cs="Calibri" w:eastAsia="Calibri" w:hAnsi="Calibri"/>
        </w:rPr>
        <w:t xml:space="preserve">signOut() stops the service then removes the GPS queue. But stopping triggers onDestroy in the service isolate, which async-calls _persistQueue(). If that write lands after the remove, the previous driver’s queued GPS fixes survive and flush on the next login under the NEW JWT. Timing-dependent → intermittent, silent GPS mis-attribution on the shared cab tablet.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F3A5F"/>
        </w:rPr>
        <w:t xml:space="preserve">Fix: </w:t>
      </w:r>
      <w:r>
        <w:rPr>
          <w:rFonts w:ascii="Calibri" w:cs="Calibri" w:eastAsia="Calibri" w:hAnsi="Calibri"/>
        </w:rPr>
        <w:t xml:space="preserve">Clear queues only after the service is confirmed stopped (poll isRunningService), or set a sign-out flag that makes onDestroy skip persisting, or re-clear after a settle.</w:t>
      </w:r>
    </w:p>
    <w:p>
      <w:pPr>
        <w:pStyle w:val="Heading2"/>
        <w:spacing w:after="90" w:before="220"/>
      </w:pPr>
      <w:r>
        <w:rPr>
          <w:rFonts w:ascii="Calibri" w:cs="Calibri" w:eastAsia="Calibri" w:hAnsi="Calibri"/>
          <w:b/>
          <w:bCs/>
          <w:color w:val="C2410C"/>
          <w:sz w:val="24"/>
          <w:szCs w:val="24"/>
        </w:rPr>
        <w:t xml:space="preserve">M-3 — Refresh token in plaintext SharedPreferences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F3A5F"/>
        </w:rPr>
        <w:t xml:space="preserve">Where: </w:t>
      </w:r>
      <w:r>
        <w:rPr>
          <w:rFonts w:ascii="Consolas" w:cs="Consolas" w:eastAsia="Consolas" w:hAnsi="Consolas"/>
          <w:color w:val="9333EA"/>
          <w:sz w:val="17"/>
          <w:szCs w:val="17"/>
        </w:rPr>
        <w:t xml:space="preserve">mobile/lib/services/auth_refresher.dart:149-153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F3A5F"/>
        </w:rPr>
        <w:t xml:space="preserve">The issue: </w:t>
      </w:r>
      <w:r>
        <w:rPr>
          <w:rFonts w:ascii="Calibri" w:cs="Calibri" w:eastAsia="Calibri" w:hAnsi="Calibri"/>
        </w:rPr>
        <w:t xml:space="preserve">The app deliberately keeps the access token in Keystore ("a bearer token shouldn’t sit in plaintext XML") but mergeSession carries the longer-lived refresh token into a plaintext prefs blob. On a shared tablet, root/ADB/physical extraction yields off-device session impersonation — and the posture is inconsistent.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F3A5F"/>
        </w:rPr>
        <w:t xml:space="preserve">Fix: </w:t>
      </w:r>
      <w:r>
        <w:rPr>
          <w:rFonts w:ascii="Calibri" w:cs="Calibri" w:eastAsia="Calibri" w:hAnsi="Calibri"/>
        </w:rPr>
        <w:t xml:space="preserve">Give Supabase.initialize a flutter_secure_storage-backed LocalStorage so the whole session blob lives in Keystore.</w:t>
      </w:r>
    </w:p>
    <w:p>
      <w:pPr>
        <w:pStyle w:val="Heading2"/>
        <w:spacing w:after="90" w:before="220"/>
      </w:pPr>
      <w:r>
        <w:rPr>
          <w:rFonts w:ascii="Calibri" w:cs="Calibri" w:eastAsia="Calibri" w:hAnsi="Calibri"/>
          <w:b/>
          <w:bCs/>
          <w:color w:val="C2410C"/>
          <w:sz w:val="24"/>
          <w:szCs w:val="24"/>
        </w:rPr>
        <w:t xml:space="preserve">M-4 — OTA manifest unsigned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F3A5F"/>
        </w:rPr>
        <w:t xml:space="preserve">Where: </w:t>
      </w:r>
      <w:r>
        <w:rPr>
          <w:rFonts w:ascii="Consolas" w:cs="Consolas" w:eastAsia="Consolas" w:hAnsi="Consolas"/>
          <w:color w:val="9333EA"/>
          <w:sz w:val="17"/>
          <w:szCs w:val="17"/>
        </w:rPr>
        <w:t xml:space="preserve">mobile/lib/services/update_service.dart:38-76, 191-200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F3A5F"/>
        </w:rPr>
        <w:t xml:space="preserve">The issue: </w:t>
      </w:r>
      <w:r>
        <w:rPr>
          <w:rFonts w:ascii="Calibri" w:cs="Calibri" w:eastAsia="Calibri" w:hAnsi="Calibri"/>
        </w:rPr>
        <w:t xml:space="preserve">Host allowlist and SHA-256 are correctly enforced, but sha256 and apkUrl come from the SAME latest.json with no out-of-band signature. Anyone with GitHub-release write access can point the fleet at a malicious APK and supply a matching hash — full RCE into every tablet, gated only on the release repo.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F3A5F"/>
        </w:rPr>
        <w:t xml:space="preserve">Fix: </w:t>
      </w:r>
      <w:r>
        <w:rPr>
          <w:rFonts w:ascii="Calibri" w:cs="Calibri" w:eastAsia="Calibri" w:hAnsi="Calibri"/>
        </w:rPr>
        <w:t xml:space="preserve">Sign latest.json / the digest with an offline key; verify with a public key baked into the app before honoring the manifest.</w:t>
      </w:r>
    </w:p>
    <w:p>
      <w:pPr>
        <w:pStyle w:val="Heading2"/>
        <w:spacing w:after="90" w:before="220"/>
      </w:pPr>
      <w:r>
        <w:rPr>
          <w:rFonts w:ascii="Calibri" w:cs="Calibri" w:eastAsia="Calibri" w:hAnsi="Calibri"/>
          <w:b/>
          <w:bCs/>
          <w:color w:val="C2410C"/>
          <w:sz w:val="24"/>
          <w:szCs w:val="24"/>
        </w:rPr>
        <w:t xml:space="preserve">M-5 — SFTP pull with no host-key verification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F3A5F"/>
        </w:rPr>
        <w:t xml:space="preserve">Where: </w:t>
      </w:r>
      <w:r>
        <w:rPr>
          <w:rFonts w:ascii="Consolas" w:cs="Consolas" w:eastAsia="Consolas" w:hAnsi="Consolas"/>
          <w:color w:val="9333EA"/>
          <w:sz w:val="17"/>
          <w:szCs w:val="17"/>
        </w:rPr>
        <w:t xml:space="preserve">deploy/tolls/fetch-tolls.py:98-99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F3A5F"/>
        </w:rPr>
        <w:t xml:space="preserve">The issue: </w:t>
      </w:r>
      <w:r>
        <w:rPr>
          <w:rFonts w:ascii="Calibri" w:cs="Calibri" w:eastAsia="Calibri" w:hAnsi="Calibri"/>
        </w:rPr>
        <w:t xml:space="preserve">Raw paramiko.Transport never checks the server host key — encrypted but unauthenticated. A MITM between the NAS and PrePass can harvest the SFTP password and feed forged CSVs straight into toll-sync → toll_transactions / financials.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F3A5F"/>
        </w:rPr>
        <w:t xml:space="preserve">Fix: </w:t>
      </w:r>
      <w:r>
        <w:rPr>
          <w:rFonts w:ascii="Calibri" w:cs="Calibri" w:eastAsia="Calibri" w:hAnsi="Calibri"/>
        </w:rPr>
        <w:t xml:space="preserve">Pin the host key (known-hosts / SSHClient + RejectPolicy); fail closed on mismatch.</w:t>
      </w:r>
    </w:p>
    <w:p>
      <w:pPr>
        <w:pStyle w:val="Heading2"/>
        <w:spacing w:after="90" w:before="220"/>
      </w:pPr>
      <w:r>
        <w:rPr>
          <w:rFonts w:ascii="Calibri" w:cs="Calibri" w:eastAsia="Calibri" w:hAnsi="Calibri"/>
          <w:b/>
          <w:bCs/>
          <w:color w:val="C2410C"/>
          <w:sz w:val="24"/>
          <w:szCs w:val="24"/>
        </w:rPr>
        <w:t xml:space="preserve">M-6 — Admin/prod passwords on argv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F3A5F"/>
        </w:rPr>
        <w:t xml:space="preserve">Where: </w:t>
      </w:r>
      <w:r>
        <w:rPr>
          <w:rFonts w:ascii="Consolas" w:cs="Consolas" w:eastAsia="Consolas" w:hAnsi="Consolas"/>
          <w:color w:val="9333EA"/>
          <w:sz w:val="17"/>
          <w:szCs w:val="17"/>
        </w:rPr>
        <w:t xml:space="preserve">deploy/migration-its/upload_docs.mjs:2,14; deploy/stress/stress.mjs:7,15 (LIVE); backfill_stops.mjs; backfill_extras.mjs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F3A5F"/>
        </w:rPr>
        <w:t xml:space="preserve">The issue: </w:t>
      </w:r>
      <w:r>
        <w:rPr>
          <w:rFonts w:ascii="Calibri" w:cs="Calibri" w:eastAsia="Calibri" w:hAnsi="Calibri"/>
        </w:rPr>
        <w:t xml:space="preserve">Passwords land in ~/.zsh_history and ps -ef. Pure house-pattern gap — siblings import.mjs and post-deploy-smoke.mjs already read creds from env and comment on exactly why.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F3A5F"/>
        </w:rPr>
        <w:t xml:space="preserve">Fix: </w:t>
      </w:r>
      <w:r>
        <w:rPr>
          <w:rFonts w:ascii="Calibri" w:cs="Calibri" w:eastAsia="Calibri" w:hAnsi="Calibri"/>
        </w:rPr>
        <w:t xml:space="preserve">Switch the four scripts to ADMIN_EMAIL / ADMIN_PASSWORD env vars.</w:t>
      </w:r>
    </w:p>
    <w:p>
      <w:pPr>
        <w:pStyle w:val="Heading2"/>
        <w:spacing w:after="90" w:before="220"/>
      </w:pPr>
      <w:r>
        <w:rPr>
          <w:rFonts w:ascii="Calibri" w:cs="Calibri" w:eastAsia="Calibri" w:hAnsi="Calibri"/>
          <w:b/>
          <w:bCs/>
          <w:color w:val="C2410C"/>
          <w:sz w:val="24"/>
          <w:szCs w:val="24"/>
        </w:rPr>
        <w:t xml:space="preserve">M-7 — Unpinned runtime installs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F3A5F"/>
        </w:rPr>
        <w:t xml:space="preserve">Where: </w:t>
      </w:r>
      <w:r>
        <w:rPr>
          <w:rFonts w:ascii="Consolas" w:cs="Consolas" w:eastAsia="Consolas" w:hAnsi="Consolas"/>
          <w:color w:val="9333EA"/>
          <w:sz w:val="17"/>
          <w:szCs w:val="17"/>
        </w:rPr>
        <w:t xml:space="preserve">deploy/tolls/run-tolls.sh:8; deploy/vision-enrich/run-vision.sh:11 + vision-loop.sh:8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F3A5F"/>
        </w:rPr>
        <w:t xml:space="preserve">The issue: </w:t>
      </w:r>
      <w:r>
        <w:rPr>
          <w:rFonts w:ascii="Calibri" w:cs="Calibri" w:eastAsia="Calibri" w:hAnsi="Calibri"/>
        </w:rPr>
        <w:t xml:space="preserve">pip install paramiko / apt-get install poppler-utils run on every job with no pin or hash, inside containers that process prod data. Supply-chain + silent availability risk (and paramiko handles the M-5 SFTP secret).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F3A5F"/>
        </w:rPr>
        <w:t xml:space="preserve">Fix: </w:t>
      </w:r>
      <w:r>
        <w:rPr>
          <w:rFonts w:ascii="Calibri" w:cs="Calibri" w:eastAsia="Calibri" w:hAnsi="Calibri"/>
        </w:rPr>
        <w:t xml:space="preserve">Bake deps into a pinned image (truxon-rag-node shows the pattern) or pin exact versions with hashes.</w:t>
      </w:r>
    </w:p>
    <w:p>
      <w:pPr>
        <w:pStyle w:val="Heading1"/>
        <w:pBdr>
          <w:bottom w:val="single" w:color="1F3A5F" w:sz="8" w:space="4"/>
        </w:pBdr>
        <w:spacing w:after="140" w:before="320"/>
      </w:pPr>
      <w:r>
        <w:rPr>
          <w:rFonts w:ascii="Calibri" w:cs="Calibri" w:eastAsia="Calibri" w:hAnsi="Calibri"/>
          <w:b/>
          <w:bCs/>
          <w:color w:val="1F3A5F"/>
          <w:sz w:val="30"/>
          <w:szCs w:val="30"/>
        </w:rPr>
        <w:t xml:space="preserve">5.  Low / informational (18) — grouped by surface</w:t>
      </w:r>
    </w:p>
    <w:p>
      <w:pPr>
        <w:pStyle w:val="Heading2"/>
        <w:spacing w:after="90" w:before="220"/>
      </w:pPr>
      <w:r>
        <w:rPr>
          <w:rFonts w:ascii="Calibri" w:cs="Calibri" w:eastAsia="Calibri" w:hAnsi="Calibri"/>
          <w:b/>
          <w:bCs/>
          <w:color w:val="B45309"/>
          <w:sz w:val="24"/>
          <w:szCs w:val="24"/>
        </w:rPr>
        <w:t xml:space="preserve">SQL migrations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19"/>
          <w:szCs w:val="19"/>
        </w:rPr>
        <w:t xml:space="preserve">handle_new_user() default role is dispatcher, not least-privilege driver (20260719120002:17-20). Latent only because signup is off.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19"/>
          <w:szCs w:val="19"/>
        </w:rPr>
        <w:t xml:space="preserve">trux_query() ad-hoc read-only SQL granted to all authenticated incl. drivers (20260718233002). Bounded by INVOKER + read-only + RLS; gate to office roles.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19"/>
          <w:szCs w:val="19"/>
        </w:rPr>
        <w:t xml:space="preserve">protect_last_admin trigger covers UPDATE only, not DELETE (20260720640001:72-74). Add a before-delete branch.</w:t>
      </w:r>
    </w:p>
    <w:p>
      <w:pPr>
        <w:pStyle w:val="Heading2"/>
        <w:spacing w:after="90" w:before="220"/>
      </w:pPr>
      <w:r>
        <w:rPr>
          <w:rFonts w:ascii="Calibri" w:cs="Calibri" w:eastAsia="Calibri" w:hAnsi="Calibri"/>
          <w:b/>
          <w:bCs/>
          <w:color w:val="B45309"/>
          <w:sz w:val="24"/>
          <w:szCs w:val="24"/>
        </w:rPr>
        <w:t xml:space="preserve">Edge functions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19"/>
          <w:szCs w:val="19"/>
        </w:rPr>
        <w:t xml:space="preserve">Sender/admin resolution scans only the first listUsers page (trux-inbox:246, trux-sentinel:24, admin-users:32). Fails SAFE but silently breaks past the cap; paginate or look up by id/email.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19"/>
          <w:szCs w:val="19"/>
        </w:rPr>
        <w:t xml:space="preserve">Shared-secret compares not constant-time (fuel-import:108, toll-sync:93, notify:34,41-42, watchdog:404,418). Route through one constant-time helper.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19"/>
          <w:szCs w:val="19"/>
        </w:rPr>
        <w:t xml:space="preserve">Emailed-attachment filing runs under the service role, RLS-bypassing, doc text choosing entity/values (trux-inbox:442-457, dispatch-watch:70-208). Bounded (verified staff sender, blanks-only, audited). Run filing under the acting user’s session.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19"/>
          <w:szCs w:val="19"/>
        </w:rPr>
        <w:t xml:space="preserve">quote-request per-IP rate limit is in-memory/per-isolate &amp; IP-spoofable (:9,23-25). Move the cooldown to a DB RPC.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19"/>
          <w:szCs w:val="19"/>
        </w:rPr>
        <w:t xml:space="preserve">INFO: stale config.toml comments say "anon bearer" where code enforces CRON_SECRET; dead auth vars in qbo-sync. Correct comments + delete dead code.</w:t>
      </w:r>
    </w:p>
    <w:p>
      <w:pPr>
        <w:pStyle w:val="Heading2"/>
        <w:spacing w:after="90" w:before="220"/>
      </w:pPr>
      <w:r>
        <w:rPr>
          <w:rFonts w:ascii="Calibri" w:cs="Calibri" w:eastAsia="Calibri" w:hAnsi="Calibri"/>
          <w:b/>
          <w:bCs/>
          <w:color w:val="B45309"/>
          <w:sz w:val="24"/>
          <w:szCs w:val="24"/>
        </w:rPr>
        <w:t xml:space="preserve">Frontend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19"/>
          <w:szCs w:val="19"/>
        </w:rPr>
        <w:t xml:space="preserve">Equipment search bypasses sanitizeSearchTerm (data.ts:250) — not injectable (bound .ilike) but % / _ stay live wildcards. Route through the sanitizer.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19"/>
          <w:szCs w:val="19"/>
        </w:rPr>
        <w:t xml:space="preserve">INFO: session tokens in localStorage (supabase-js default). Acceptable given the strong CSP; revisit only under a BFF/httpOnly model.</w:t>
      </w:r>
    </w:p>
    <w:p>
      <w:pPr>
        <w:pStyle w:val="Heading2"/>
        <w:spacing w:after="90" w:before="220"/>
      </w:pPr>
      <w:r>
        <w:rPr>
          <w:rFonts w:ascii="Calibri" w:cs="Calibri" w:eastAsia="Calibri" w:hAnsi="Calibri"/>
          <w:b/>
          <w:bCs/>
          <w:color w:val="B45309"/>
          <w:sz w:val="24"/>
          <w:szCs w:val="24"/>
        </w:rPr>
        <w:t xml:space="preserve">Mobile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19"/>
          <w:szCs w:val="19"/>
        </w:rPr>
        <w:t xml:space="preserve">unregisterPushToken exists but is never called on sign-out (api.dart:282-287) — departing driver keeps getting DND-bypass alarms until next login.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19"/>
          <w:szCs w:val="19"/>
        </w:rPr>
        <w:t xml:space="preserve">diag_log and radio username (driver full name) survive sign-out (diag.dart, home_shell.dart:124). Add to the wipe.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19"/>
          <w:szCs w:val="19"/>
        </w:rPr>
        <w:t xml:space="preserve">Release keystore password in plaintext key.properties — but verified gitignored &amp; uncommitted (standard Flutter pattern). Move to env/keychain; back the .jks up offline.</w:t>
      </w:r>
    </w:p>
    <w:p>
      <w:pPr>
        <w:pStyle w:val="Heading2"/>
        <w:spacing w:after="90" w:before="220"/>
      </w:pPr>
      <w:r>
        <w:rPr>
          <w:rFonts w:ascii="Calibri" w:cs="Calibri" w:eastAsia="Calibri" w:hAnsi="Calibri"/>
          <w:b/>
          <w:bCs/>
          <w:color w:val="B45309"/>
          <w:sz w:val="24"/>
          <w:szCs w:val="24"/>
        </w:rPr>
        <w:t xml:space="preserve">Deploy / ops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19"/>
          <w:szCs w:val="19"/>
        </w:rPr>
        <w:t xml:space="preserve">go-live.sh:20-23 sources a user-supplied env file (evaluates $()/backticks); the hardened literal parser in go-live-from-work-machine.sh:30-44 should be reused.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19"/>
          <w:szCs w:val="19"/>
        </w:rPr>
        <w:t xml:space="preserve">llm-proxy/proxy.mjs:16 non-constant-time bearer compare on a Funnel-exposed proxy. Use crypto.timingSafeEqual.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19"/>
          <w:szCs w:val="19"/>
        </w:rPr>
        <w:t xml:space="preserve">Predictable /tmp/*.lock paths on the multi-tenant NAS (run-vision*.sh, run-tolls.sh, doc-rag/run-index.sh) — local DoS/symlink. Move locks under a root-owned mode-700 dir.</w:t>
      </w:r>
    </w:p>
    <w:p>
      <w:pPr>
        <w:pStyle w:val="Heading1"/>
        <w:pBdr>
          <w:bottom w:val="single" w:color="1F3A5F" w:sz="8" w:space="4"/>
        </w:pBdr>
        <w:spacing w:after="140" w:before="320"/>
      </w:pPr>
      <w:r>
        <w:rPr>
          <w:rFonts w:ascii="Calibri" w:cs="Calibri" w:eastAsia="Calibri" w:hAnsi="Calibri"/>
          <w:b/>
          <w:bCs/>
          <w:color w:val="1F3A5F"/>
          <w:sz w:val="30"/>
          <w:szCs w:val="30"/>
        </w:rPr>
        <w:t xml:space="preserve">6.  Verified RESOLVED — do not re-fix</w:t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6B7280"/>
        </w:rPr>
        <w:t xml:space="preserve">Prior security-report items confirmed fixed in newer migrations. Each maps to its fixing change.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760"/>
        <w:gridCol w:w="2400"/>
      </w:tblGrid>
      <w:tr>
        <w:trPr>
          <w:tblHeader/>
        </w:trPr>
        <w:tc>
          <w:tcPr>
            <w:tcW w:type="dxa" w:w="1200"/>
            <w:shd w:fill="15803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Prior ID</w:t>
            </w:r>
          </w:p>
        </w:tc>
        <w:tc>
          <w:tcPr>
            <w:tcW w:type="dxa" w:w="5760"/>
            <w:shd w:fill="15803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Concern (now fixed)</w:t>
            </w:r>
          </w:p>
        </w:tc>
        <w:tc>
          <w:tcPr>
            <w:tcW w:type="dxa" w:w="2400"/>
            <w:shd w:fill="15803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Fixing migration / file</w:t>
            </w:r>
          </w:p>
        </w:tc>
      </w:tr>
      <w:tr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S-01</w:t>
            </w:r>
          </w:p>
        </w:tc>
        <w:tc>
          <w:tcPr>
            <w:tcW w:type="dxa" w:w="57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Cron authenticated by public anon JWT (CRITICAL family)</w:t>
            </w:r>
          </w:p>
        </w:tc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3A5F"/>
                <w:sz w:val="15"/>
                <w:szCs w:val="15"/>
              </w:rPr>
              <w:t xml:space="preserve">20260720660001_cron_secret.sql + requireCron</w:t>
            </w:r>
          </w:p>
        </w:tc>
      </w:tr>
      <w:tr>
        <w:tc>
          <w:tcPr>
            <w:tcW w:type="dxa" w:w="1200"/>
            <w:shd w:fill="F1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—</w:t>
            </w:r>
          </w:p>
        </w:tc>
        <w:tc>
          <w:tcPr>
            <w:tcW w:type="dxa" w:w="5760"/>
            <w:shd w:fill="F1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Anon fail-open on money mutators (NULL not in(...))</w:t>
            </w:r>
          </w:p>
        </w:tc>
        <w:tc>
          <w:tcPr>
            <w:tcW w:type="dxa" w:w="2400"/>
            <w:shd w:fill="F1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3A5F"/>
                <w:sz w:val="15"/>
                <w:szCs w:val="15"/>
              </w:rPr>
              <w:t xml:space="preserve">20260716250001_rpc_anon_lockdown.sql</w:t>
            </w:r>
          </w:p>
        </w:tc>
      </w:tr>
      <w:tr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S-05/06</w:t>
            </w:r>
          </w:p>
        </w:tc>
        <w:tc>
          <w:tcPr>
            <w:tcW w:type="dxa" w:w="57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my_role() ignored is_active; disabled users kept privilege</w:t>
            </w:r>
          </w:p>
        </w:tc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3A5F"/>
                <w:sz w:val="15"/>
                <w:szCs w:val="15"/>
              </w:rPr>
              <w:t xml:space="preserve">20260720640001_security_p0.sql:14-29</w:t>
            </w:r>
          </w:p>
        </w:tc>
      </w:tr>
      <w:tr>
        <w:tc>
          <w:tcPr>
            <w:tcW w:type="dxa" w:w="1200"/>
            <w:shd w:fill="F1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S-07</w:t>
            </w:r>
          </w:p>
        </w:tc>
        <w:tc>
          <w:tcPr>
            <w:tcW w:type="dxa" w:w="5760"/>
            <w:shd w:fill="F1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customer_pay_profile() / roster open to any staff</w:t>
            </w:r>
          </w:p>
        </w:tc>
        <w:tc>
          <w:tcPr>
            <w:tcW w:type="dxa" w:w="2400"/>
            <w:shd w:fill="F1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3A5F"/>
                <w:sz w:val="15"/>
                <w:szCs w:val="15"/>
              </w:rPr>
              <w:t xml:space="preserve">20260720640001; 20260720720001_profiles_select_narrow</w:t>
            </w:r>
          </w:p>
        </w:tc>
      </w:tr>
      <w:tr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S-12</w:t>
            </w:r>
          </w:p>
        </w:tc>
        <w:tc>
          <w:tcPr>
            <w:tcW w:type="dxa" w:w="57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Last-admin protection only in edge fn</w:t>
            </w:r>
          </w:p>
        </w:tc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3A5F"/>
                <w:sz w:val="15"/>
                <w:szCs w:val="15"/>
              </w:rPr>
              <w:t xml:space="preserve">20260720640001:56-74 (DB trigger)</w:t>
            </w:r>
          </w:p>
        </w:tc>
      </w:tr>
      <w:tr>
        <w:tc>
          <w:tcPr>
            <w:tcW w:type="dxa" w:w="1200"/>
            <w:shd w:fill="F1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B-01</w:t>
            </w:r>
          </w:p>
        </w:tc>
        <w:tc>
          <w:tcPr>
            <w:tcW w:type="dxa" w:w="5760"/>
            <w:shd w:fill="F1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Void didn’t reopen invoiced accessorials</w:t>
            </w:r>
          </w:p>
        </w:tc>
        <w:tc>
          <w:tcPr>
            <w:tcW w:type="dxa" w:w="2400"/>
            <w:shd w:fill="F1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3A5F"/>
                <w:sz w:val="15"/>
                <w:szCs w:val="15"/>
              </w:rPr>
              <w:t xml:space="preserve">20260720640001:107-110</w:t>
            </w:r>
          </w:p>
        </w:tc>
      </w:tr>
      <w:tr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B-02</w:t>
            </w:r>
          </w:p>
        </w:tc>
        <w:tc>
          <w:tcPr>
            <w:tcW w:type="dxa" w:w="57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create_invoice accessorial race</w:t>
            </w:r>
          </w:p>
        </w:tc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3A5F"/>
                <w:sz w:val="15"/>
                <w:szCs w:val="15"/>
              </w:rPr>
              <w:t xml:space="preserve">20260720640001:140,159-172 (FOR UPDATE)</w:t>
            </w:r>
          </w:p>
        </w:tc>
      </w:tr>
      <w:tr>
        <w:tc>
          <w:tcPr>
            <w:tcW w:type="dxa" w:w="1200"/>
            <w:shd w:fill="F1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B-03</w:t>
            </w:r>
          </w:p>
        </w:tc>
        <w:tc>
          <w:tcPr>
            <w:tcW w:type="dxa" w:w="5760"/>
            <w:shd w:fill="F1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Proposals froze stale amounts (on conflict do nothing)</w:t>
            </w:r>
          </w:p>
        </w:tc>
        <w:tc>
          <w:tcPr>
            <w:tcW w:type="dxa" w:w="2400"/>
            <w:shd w:fill="F1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3A5F"/>
                <w:sz w:val="15"/>
                <w:szCs w:val="15"/>
              </w:rPr>
              <w:t xml:space="preserve">20260720640001:203 / 20260720790001:39</w:t>
            </w:r>
          </w:p>
        </w:tc>
      </w:tr>
      <w:tr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S-09</w:t>
            </w:r>
          </w:p>
        </w:tc>
        <w:tc>
          <w:tcPr>
            <w:tcW w:type="dxa" w:w="57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CORS * / missing security headers</w:t>
            </w:r>
          </w:p>
        </w:tc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3A5F"/>
                <w:sz w:val="15"/>
                <w:szCs w:val="15"/>
              </w:rPr>
              <w:t xml:space="preserve">_shared/auth.ts allowlist; vercel.json CSP+HSTS</w:t>
            </w:r>
          </w:p>
        </w:tc>
      </w:tr>
      <w:tr>
        <w:tc>
          <w:tcPr>
            <w:tcW w:type="dxa" w:w="1200"/>
            <w:shd w:fill="F1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—</w:t>
            </w:r>
          </w:p>
        </w:tc>
        <w:tc>
          <w:tcPr>
            <w:tcW w:type="dxa" w:w="5760"/>
            <w:shd w:fill="F1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Number-sequence RPCs burnable by clients</w:t>
            </w:r>
          </w:p>
        </w:tc>
        <w:tc>
          <w:tcPr>
            <w:tcW w:type="dxa" w:w="2400"/>
            <w:shd w:fill="F1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3A5F"/>
                <w:sz w:val="15"/>
                <w:szCs w:val="15"/>
              </w:rPr>
              <w:t xml:space="preserve">20260720710001_sequence_grants.sql</w:t>
            </w:r>
          </w:p>
        </w:tc>
      </w:tr>
      <w:tr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—</w:t>
            </w:r>
          </w:p>
        </w:tc>
        <w:tc>
          <w:tcPr>
            <w:tcW w:type="dxa" w:w="57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AR overstated; factoring reserves counted as A/R</w:t>
            </w:r>
          </w:p>
        </w:tc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3A5F"/>
                <w:sz w:val="15"/>
                <w:szCs w:val="15"/>
              </w:rPr>
              <w:t xml:space="preserve">invoice_balance(); factored_at is null guards</w:t>
            </w:r>
          </w:p>
        </w:tc>
      </w:tr>
      <w:tr>
        <w:tc>
          <w:tcPr>
            <w:tcW w:type="dxa" w:w="1200"/>
            <w:shd w:fill="F1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B-07</w:t>
            </w:r>
          </w:p>
        </w:tc>
        <w:tc>
          <w:tcPr>
            <w:tcW w:type="dxa" w:w="5760"/>
            <w:shd w:fill="F1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Mobile sign-out left GPS + queues</w:t>
            </w:r>
          </w:p>
        </w:tc>
        <w:tc>
          <w:tcPr>
            <w:tcW w:type="dxa" w:w="2400"/>
            <w:shd w:fill="F1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3A5F"/>
                <w:sz w:val="15"/>
                <w:szCs w:val="15"/>
              </w:rPr>
              <w:t xml:space="preserve">api.dart:323-334 (residual race = M-2)</w:t>
            </w:r>
          </w:p>
        </w:tc>
      </w:tr>
    </w:tbl>
    <w:p>
      <w:pPr>
        <w:spacing w:before="12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Still-open money-metric LOWs (display distortions, not ledger errors): </w:t>
      </w:r>
      <w:r>
        <w:rPr>
          <w:rFonts w:ascii="Calibri" w:cs="Calibri" w:eastAsia="Calibri" w:hAnsi="Calibri"/>
          <w:sz w:val="18"/>
          <w:szCs w:val="18"/>
        </w:rPr>
        <w:t xml:space="preserve">bad_debt_pct counts re-bill voids; cashflow_forecast double-counts recent unbilled; mtd_collected understates factored cash vs weekly_flash; scorecard fleet_mpg uses loaded miles only; IFTA re-bank transient double-count. All self-healing or display-only.</w:t>
      </w:r>
    </w:p>
    <w:p>
      <w:pPr>
        <w:pStyle w:val="Heading1"/>
        <w:pBdr>
          <w:bottom w:val="single" w:color="1F3A5F" w:sz="8" w:space="4"/>
        </w:pBdr>
        <w:spacing w:after="140" w:before="320"/>
      </w:pPr>
      <w:r>
        <w:rPr>
          <w:rFonts w:ascii="Calibri" w:cs="Calibri" w:eastAsia="Calibri" w:hAnsi="Calibri"/>
          <w:b/>
          <w:bCs/>
          <w:color w:val="1F3A5F"/>
          <w:sz w:val="30"/>
          <w:szCs w:val="30"/>
        </w:rPr>
        <w:t xml:space="preserve">7.  Strengths worth preserving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19"/>
          <w:szCs w:val="19"/>
        </w:rPr>
        <w:t xml:space="preserve">Constant-time, fail-closed requireCron; origin-allowlisted CORS on every function.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19"/>
          <w:szCs w:val="19"/>
        </w:rPr>
        <w:t xml:space="preserve">Read-only, RLS-scoped agent SQL (trux_query INVOKER + transaction_read_only).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19"/>
          <w:szCs w:val="19"/>
        </w:rPr>
        <w:t xml:space="preserve">Propose/confirm agent writes with per-user token ownership; DMARC/SPF/DKIM-gated email intake — blanks-only, reversible, audited.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19"/>
          <w:szCs w:val="19"/>
        </w:rPr>
        <w:t xml:space="preserve">3-2-1-1-0 backups: gpg passphrase over fd 3, Object-Lock offsite, asserting weekly restore test.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19"/>
          <w:szCs w:val="19"/>
        </w:rPr>
        <w:t xml:space="preserve">Strong frontend CSP + DOMPurify; allowBackup=false and no cleartext traffic on mobile; the cross-isolate AuthRefresher design.</w:t>
      </w:r>
    </w:p>
    <w:p>
      <w:pPr>
        <w:pBdr>
          <w:top w:val="single" w:color="D1D5DB" w:sz="6" w:space="6"/>
        </w:pBdr>
        <w:spacing w:before="360"/>
      </w:pPr>
      <w:r>
        <w:rPr>
          <w:rFonts w:ascii="Calibri" w:cs="Calibri" w:eastAsia="Calibri" w:hAnsi="Calibri"/>
          <w:b/>
          <w:bCs/>
          <w:color w:val="6B7280"/>
          <w:sz w:val="17"/>
          <w:szCs w:val="17"/>
        </w:rPr>
        <w:t xml:space="preserve">Honest caveat: </w:t>
      </w:r>
      <w:r>
        <w:rPr>
          <w:rFonts w:ascii="Calibri" w:cs="Calibri" w:eastAsia="Calibri" w:hAnsi="Calibri"/>
          <w:i/>
          <w:iCs/>
          <w:color w:val="6B7280"/>
          <w:sz w:val="17"/>
          <w:szCs w:val="17"/>
        </w:rPr>
        <w:t xml:space="preserve">this is static review. H-1 is traced end-to-end and high-confidence, but before a code change, confirm it against one real billed load carrying an approved detention accessorial in prod data.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Truxon TMS — Full Code Review 2026-07-21</dc:title>
  <dc:creator>Truxon code review</dc:creator>
  <cp:lastModifiedBy>Un-named</cp:lastModifiedBy>
  <cp:revision>1</cp:revision>
  <dcterms:created xsi:type="dcterms:W3CDTF">2026-07-22T01:52:03.947Z</dcterms:created>
  <dcterms:modified xsi:type="dcterms:W3CDTF">2026-07-22T01:52:03.948Z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