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9.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1.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word/styles.xml" ContentType="application/vnd.openxmlformats-officedocument.wordprocessingml.style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3.xml" ContentType="application/vnd.openxmlformats-officedocument.wordprocessingml.footer+xml"/>
  <Override PartName="/word/footer10.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5" w:after="0"/>
        <w:ind w:hanging="0" w:start="0" w:end="0"/>
        <w:jc w:val="start"/>
        <w:rPr>
          <w:rFonts w:ascii="Roboto" w:hAnsi="Roboto" w:eastAsia="Roboto" w:cs="Roboto"/>
          <w:b w:val="false"/>
          <w:bCs w:val="false"/>
          <w:i w:val="false"/>
          <w:iCs w:val="false"/>
          <w:caps w:val="false"/>
          <w:smallCaps w:val="false"/>
          <w:strike w:val="false"/>
          <w:dstrike w:val="false"/>
          <w:color w:val="000000"/>
          <w:position w:val="0"/>
          <w:sz w:val="13"/>
          <w:szCs w:val="13"/>
          <w:u w:val="none"/>
          <w:shd w:fill="auto" w:val="clear"/>
          <w:vertAlign w:val="baseline"/>
        </w:rPr>
      </w:pPr>
      <w:r>
        <w:rPr>
          <w:rFonts w:eastAsia="Roboto" w:cs="Roboto" w:ascii="Roboto" w:hAnsi="Roboto"/>
          <w:b w:val="false"/>
          <w:bCs w:val="false"/>
          <w:i w:val="false"/>
          <w:iCs w:val="false"/>
          <w:caps w:val="false"/>
          <w:smallCaps w:val="false"/>
          <w:strike w:val="false"/>
          <w:dstrike w:val="false"/>
          <w:color w:val="000000"/>
          <w:position w:val="0"/>
          <w:sz w:val="13"/>
          <w:szCs w:val="13"/>
          <w:u w:val="none"/>
          <w:shd w:fill="auto" w:val="clear"/>
          <w:vertAlign w:val="baseline"/>
        </w:rPr>
        <mc:AlternateContent>
          <mc:Choice Requires="wps">
            <w:drawing>
              <wp:anchor distT="0" distB="0" distL="0" distR="0" simplePos="0" relativeHeight="4" behindDoc="0" locked="0" layoutInCell="0" allowOverlap="1">
                <wp:simplePos x="0" y="0"/>
                <wp:positionH relativeFrom="page">
                  <wp:posOffset>281940</wp:posOffset>
                </wp:positionH>
                <wp:positionV relativeFrom="page">
                  <wp:posOffset>6494780</wp:posOffset>
                </wp:positionV>
                <wp:extent cx="239395" cy="267970"/>
                <wp:effectExtent l="0" t="0" r="0" b="0"/>
                <wp:wrapNone/>
                <wp:docPr id="1" name="Shape 7"/>
                <a:graphic xmlns:a="http://schemas.openxmlformats.org/drawingml/2006/main">
                  <a:graphicData uri="http://schemas.microsoft.com/office/word/2010/wordprocessingShape">
                    <wps:wsp>
                      <wps:cNvSpPr/>
                      <wps:spPr>
                        <a:xfrm rot="5400000">
                          <a:off x="0" y="0"/>
                          <a:ext cx="239400" cy="267840"/>
                        </a:xfrm>
                        <a:prstGeom prst="rect">
                          <a:avLst/>
                        </a:prstGeom>
                        <a:noFill/>
                        <a:ln w="0">
                          <a:noFill/>
                        </a:ln>
                      </wps:spPr>
                      <wps:style>
                        <a:lnRef idx="0"/>
                        <a:fillRef idx="0"/>
                        <a:effectRef idx="0"/>
                        <a:fontRef idx="minor"/>
                      </wps:style>
                      <wps:txbx>
                        <w:txbxContent>
                          <w:p>
                            <w:pPr>
                              <w:pStyle w:val="FrameContentsuser"/>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117</w:t>
                            </w:r>
                          </w:p>
                        </w:txbxContent>
                      </wps:txbx>
                      <wps:bodyPr lIns="0" tIns="0" rIns="0" bIns="0" anchor="t">
                        <a:noAutofit/>
                      </wps:bodyPr>
                    </wps:wsp>
                  </a:graphicData>
                </a:graphic>
              </wp:anchor>
            </w:drawing>
          </mc:Choice>
          <mc:Fallback>
            <w:pict>
              <v:rect id="shape_0" stroked="f" o:allowincell="f" style="position:absolute;margin-left:22.15pt;margin-top:511.4pt;width:18.8pt;height:21.05pt;mso-wrap-style:square;v-text-anchor:top;rotation:90;mso-position-horizontal-relative:page;mso-position-vertical-relative:page">
                <v:fill o:detectmouseclick="t" on="false"/>
                <v:stroke color="#3465a4" joinstyle="round" endcap="flat"/>
                <v:textbox>
                  <w:txbxContent>
                    <w:p>
                      <w:pPr>
                        <w:pStyle w:val="FrameContentsuser"/>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117</w:t>
                      </w:r>
                    </w:p>
                  </w:txbxContent>
                </v:textbox>
                <w10:wrap type="none"/>
              </v:rect>
            </w:pict>
          </mc:Fallback>
        </mc:AlternateContent>
      </w:r>
    </w:p>
    <w:p>
      <w:pPr>
        <w:pStyle w:val="normal1"/>
        <w:keepNext w:val="false"/>
        <w:keepLines w:val="false"/>
        <w:pageBreakBefore w:val="false"/>
        <w:widowControl w:val="false"/>
        <w:shd w:val="clear" w:fill="auto"/>
        <w:spacing w:lineRule="auto" w:line="240" w:before="5" w:after="0"/>
        <w:ind w:hanging="0" w:start="0" w:end="0"/>
        <w:jc w:val="start"/>
        <w:rPr>
          <w:rFonts w:ascii="Arial" w:hAnsi="Arial" w:eastAsia="Arial" w:cs="Arial"/>
          <w:b/>
          <w:bCs/>
          <w:i w:val="false"/>
          <w:iCs w:val="false"/>
          <w:caps w:val="false"/>
          <w:smallCaps w:val="false"/>
          <w:strike w:val="false"/>
          <w:dstrike w:val="false"/>
          <w:color w:val="000000"/>
          <w:position w:val="0"/>
          <w:sz w:val="23"/>
          <w:szCs w:val="23"/>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3"/>
          <w:szCs w:val="23"/>
          <w:u w:val="none"/>
          <w:shd w:fill="auto" w:val="clear"/>
          <w:vertAlign w:val="baseline"/>
        </w:rPr>
      </w:r>
    </w:p>
    <w:tbl>
      <w:tblPr>
        <w:tblStyle w:val="Table1"/>
        <w:tblW w:w="14292" w:type="dxa"/>
        <w:jc w:val="start"/>
        <w:tblInd w:w="128" w:type="dxa"/>
        <w:tblLayout w:type="fixed"/>
        <w:tblCellMar>
          <w:top w:w="0" w:type="dxa"/>
          <w:start w:w="108" w:type="dxa"/>
          <w:bottom w:w="0" w:type="dxa"/>
          <w:end w:w="108" w:type="dxa"/>
        </w:tblCellMar>
        <w:tblLook w:val="0000"/>
      </w:tblPr>
      <w:tblGrid>
        <w:gridCol w:w="1796"/>
        <w:gridCol w:w="1032"/>
        <w:gridCol w:w="3473"/>
        <w:gridCol w:w="3673"/>
        <w:gridCol w:w="3057"/>
        <w:gridCol w:w="1261"/>
      </w:tblGrid>
      <w:tr>
        <w:trPr>
          <w:trHeight w:val="1027" w:hRule="atLeast"/>
        </w:trPr>
        <w:tc>
          <w:tcPr>
            <w:tcW w:w="1796" w:type="dxa"/>
            <w:tcBorders>
              <w:top w:val="single" w:sz="4" w:space="0" w:color="231F20"/>
              <w:start w:val="single" w:sz="4" w:space="0" w:color="231F20"/>
              <w:bottom w:val="single" w:sz="4" w:space="0" w:color="231F20"/>
              <w:end w:val="single" w:sz="4" w:space="0" w:color="231F20"/>
            </w:tcBorders>
            <w:shd w:fill="auto" w:val="clear"/>
          </w:tcPr>
          <w:p>
            <w:pPr>
              <w:pStyle w:val="normal1"/>
              <w:keepNext w:val="false"/>
              <w:keepLines w:val="false"/>
              <w:widowControl w:val="false"/>
              <w:shd w:val="clear" w:fill="auto"/>
              <w:spacing w:lineRule="auto" w:line="240" w:before="0" w:after="0"/>
              <w:ind w:hanging="0" w:start="0" w:end="0"/>
              <w:jc w:val="start"/>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6" behindDoc="0" locked="0" layoutInCell="1" allowOverlap="1">
                  <wp:simplePos x="0" y="0"/>
                  <wp:positionH relativeFrom="column">
                    <wp:posOffset>255270</wp:posOffset>
                  </wp:positionH>
                  <wp:positionV relativeFrom="paragraph">
                    <wp:posOffset>27940</wp:posOffset>
                  </wp:positionV>
                  <wp:extent cx="615950" cy="602615"/>
                  <wp:effectExtent l="0" t="0" r="0" b="0"/>
                  <wp:wrapNone/>
                  <wp:docPr id="2" name="image1.jpg" descr="UNIROW LOGO WAR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UNIROW LOGO WARNA"/>
                          <pic:cNvPicPr>
                            <a:picLocks noChangeAspect="1" noChangeArrowheads="1"/>
                          </pic:cNvPicPr>
                        </pic:nvPicPr>
                        <pic:blipFill>
                          <a:blip r:embed="rId2"/>
                          <a:stretch>
                            <a:fillRect/>
                          </a:stretch>
                        </pic:blipFill>
                        <pic:spPr bwMode="auto">
                          <a:xfrm>
                            <a:off x="0" y="0"/>
                            <a:ext cx="615950" cy="602615"/>
                          </a:xfrm>
                          <a:prstGeom prst="rect">
                            <a:avLst/>
                          </a:prstGeom>
                          <a:noFill/>
                        </pic:spPr>
                      </pic:pic>
                    </a:graphicData>
                  </a:graphic>
                </wp:anchor>
              </w:drawing>
            </w:r>
          </w:p>
          <w:p>
            <w:pPr>
              <w:pStyle w:val="normal1"/>
              <w:keepNext w:val="false"/>
              <w:keepLines w:val="false"/>
              <w:widowControl w:val="false"/>
              <w:shd w:val="clear" w:fill="auto"/>
              <w:spacing w:lineRule="auto" w:line="240" w:before="0" w:after="0"/>
              <w:ind w:hanging="0" w:start="353"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11235" w:type="dxa"/>
            <w:gridSpan w:val="4"/>
            <w:tcBorders>
              <w:top w:val="single" w:sz="4" w:space="0" w:color="231F20"/>
              <w:start w:val="single" w:sz="4" w:space="0" w:color="231F20"/>
              <w:bottom w:val="single" w:sz="6" w:space="0" w:color="231F20"/>
              <w:end w:val="single" w:sz="4" w:space="0" w:color="231F20"/>
            </w:tcBorders>
            <w:shd w:fill="auto" w:val="clear"/>
          </w:tcPr>
          <w:p>
            <w:pPr>
              <w:pStyle w:val="normal1"/>
              <w:spacing w:lineRule="auto" w:line="252" w:before="40" w:after="40"/>
              <w:jc w:val="center"/>
              <w:rPr/>
            </w:pPr>
            <w:r>
              <w:rPr>
                <w:rFonts w:ascii="Calibri" w:hAnsi="Calibri"/>
                <w:b/>
                <w:color w:val="000000"/>
                <w:sz w:val="20"/>
              </w:rPr>
              <w:t>UNIVERSITAS PGRI RONGGOLAWE</w:t>
              <w:br/>
              <w:t>FAKULTAS SAINS DAN TEKNOLOGI</w:t>
              <w:br/>
              <w:t>PROGRAM STUDI S1 INFORMATIKA</w:t>
            </w:r>
          </w:p>
        </w:tc>
        <w:tc>
          <w:tcPr>
            <w:tcW w:w="1261" w:type="dxa"/>
            <w:tcBorders>
              <w:top w:val="single" w:sz="4" w:space="0" w:color="231F20"/>
              <w:start w:val="single" w:sz="4" w:space="0" w:color="231F20"/>
              <w:bottom w:val="single" w:sz="4" w:space="0" w:color="231F20"/>
              <w:end w:val="single" w:sz="4" w:space="0" w:color="231F20"/>
            </w:tcBorders>
            <w:shd w:fill="auto" w:val="clear"/>
          </w:tcPr>
          <w:p>
            <w:pPr>
              <w:pStyle w:val="normal1"/>
              <w:spacing w:lineRule="auto" w:line="252" w:before="40" w:after="40"/>
              <w:jc w:val="center"/>
              <w:rPr/>
            </w:pPr>
            <w:r>
              <w:rPr>
                <w:rFonts w:ascii="Calibri" w:hAnsi="Calibri"/>
                <w:b/>
                <w:color w:val="000000"/>
                <w:sz w:val="18"/>
              </w:rPr>
              <w:t>Kode Dokumen:</w:t>
              <w:br/>
              <w:t>RPS-INF-IF6802</w:t>
            </w:r>
          </w:p>
        </w:tc>
      </w:tr>
      <w:tr>
        <w:trPr>
          <w:trHeight w:val="276" w:hRule="atLeast"/>
        </w:trPr>
        <w:tc>
          <w:tcPr>
            <w:tcW w:w="14292" w:type="dxa"/>
            <w:gridSpan w:val="6"/>
            <w:tcBorders>
              <w:top w:val="single" w:sz="6" w:space="0" w:color="231F20"/>
              <w:start w:val="single" w:sz="4" w:space="0" w:color="231F20"/>
              <w:bottom w:val="single" w:sz="6" w:space="0" w:color="231F20"/>
              <w:end w:val="single" w:sz="4" w:space="0" w:color="231F20"/>
            </w:tcBorders>
            <w:shd w:fill="auto" w:val="clear"/>
          </w:tcPr>
          <w:p>
            <w:pPr>
              <w:pStyle w:val="normal1"/>
              <w:keepNext w:val="false"/>
              <w:keepLines w:val="false"/>
              <w:widowControl w:val="false"/>
              <w:shd w:val="clear" w:fill="auto"/>
              <w:spacing w:lineRule="auto" w:line="240" w:before="34" w:after="0"/>
              <w:ind w:hanging="0" w:start="5715" w:end="5701"/>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RENCANA PEMBELAJARAN SEMESTER</w:t>
            </w:r>
          </w:p>
        </w:tc>
      </w:tr>
      <w:tr>
        <w:trPr>
          <w:trHeight w:val="492" w:hRule="atLeast"/>
        </w:trPr>
        <w:tc>
          <w:tcPr>
            <w:tcW w:w="1796"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142"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MATA KULIAH (MK)</w:t>
            </w:r>
          </w:p>
        </w:tc>
        <w:tc>
          <w:tcPr>
            <w:tcW w:w="1032"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142" w:after="0"/>
              <w:ind w:hanging="0" w:start="302"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KODE</w:t>
            </w:r>
          </w:p>
        </w:tc>
        <w:tc>
          <w:tcPr>
            <w:tcW w:w="3473" w:type="dxa"/>
            <w:tcBorders>
              <w:top w:val="single" w:sz="6" w:space="0" w:color="231F20"/>
              <w:start w:val="single" w:sz="4" w:space="0" w:color="231F20"/>
              <w:bottom w:val="single" w:sz="6" w:space="0" w:color="231F20"/>
              <w:end w:val="single" w:sz="4" w:space="0" w:color="231F20"/>
            </w:tcBorders>
            <w:shd w:fill="DBE5F1" w:val="clear"/>
          </w:tcPr>
          <w:p>
            <w:pPr>
              <w:pStyle w:val="normal1"/>
              <w:keepNext w:val="false"/>
              <w:keepLines w:val="false"/>
              <w:widowControl w:val="false"/>
              <w:shd w:val="clear" w:fill="auto"/>
              <w:spacing w:lineRule="auto" w:line="240" w:before="142" w:after="0"/>
              <w:ind w:hanging="0" w:start="1132" w:end="1120"/>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Rumpun MK</w:t>
            </w:r>
          </w:p>
        </w:tc>
        <w:tc>
          <w:tcPr>
            <w:tcW w:w="3673"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142" w:after="0"/>
              <w:ind w:hanging="0" w:start="204" w:end="191"/>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BOBOT (sks)</w:t>
            </w:r>
          </w:p>
        </w:tc>
        <w:tc>
          <w:tcPr>
            <w:tcW w:w="3057"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142" w:after="0"/>
              <w:ind w:hanging="0" w:start="1064" w:end="1050"/>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SEMESTER</w:t>
            </w:r>
          </w:p>
        </w:tc>
        <w:tc>
          <w:tcPr>
            <w:tcW w:w="1261"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50" w:before="34" w:after="0"/>
              <w:ind w:firstLine="321" w:start="202" w:end="171"/>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Tgl Penyusunan</w:t>
            </w:r>
          </w:p>
        </w:tc>
      </w:tr>
      <w:tr>
        <w:trPr>
          <w:trHeight w:val="276" w:hRule="atLeast"/>
        </w:trPr>
        <w:tc>
          <w:tcPr>
            <w:tcW w:w="1796" w:type="dxa"/>
            <w:tcBorders>
              <w:top w:val="single" w:sz="4" w:space="0" w:color="231F20"/>
              <w:start w:val="single" w:sz="4" w:space="0" w:color="231F20"/>
              <w:bottom w:val="single" w:sz="4" w:space="0" w:color="231F20"/>
              <w:end w:val="single" w:sz="4" w:space="0" w:color="231F20"/>
            </w:tcBorders>
          </w:tcPr>
          <w:p>
            <w:pPr>
              <w:pStyle w:val="normal1"/>
              <w:spacing w:lineRule="auto" w:line="252" w:before="40" w:after="40"/>
              <w:jc w:val="center"/>
              <w:rPr/>
            </w:pPr>
            <w:r>
              <w:rPr>
                <w:rFonts w:ascii="Calibri" w:hAnsi="Calibri"/>
                <w:b w:val="false"/>
                <w:color w:val="000000"/>
                <w:sz w:val="18"/>
              </w:rPr>
              <w:t>Analisa Data Multivariat</w:t>
            </w:r>
          </w:p>
        </w:tc>
        <w:tc>
          <w:tcPr>
            <w:tcW w:w="1032" w:type="dxa"/>
            <w:tcBorders>
              <w:top w:val="single" w:sz="4" w:space="0" w:color="231F20"/>
              <w:start w:val="single" w:sz="4" w:space="0" w:color="231F20"/>
              <w:bottom w:val="single" w:sz="4" w:space="0" w:color="231F20"/>
              <w:end w:val="single" w:sz="4" w:space="0" w:color="231F20"/>
            </w:tcBorders>
          </w:tcPr>
          <w:p>
            <w:pPr>
              <w:pStyle w:val="normal1"/>
              <w:spacing w:lineRule="auto" w:line="252" w:before="40" w:after="40"/>
              <w:jc w:val="center"/>
              <w:rPr/>
            </w:pPr>
            <w:r>
              <w:rPr>
                <w:rFonts w:ascii="Calibri" w:hAnsi="Calibri"/>
                <w:b w:val="false"/>
                <w:color w:val="000000"/>
                <w:sz w:val="18"/>
              </w:rPr>
              <w:t>IF6802</w:t>
            </w:r>
          </w:p>
        </w:tc>
        <w:tc>
          <w:tcPr>
            <w:tcW w:w="3473" w:type="dxa"/>
            <w:tcBorders>
              <w:top w:val="single" w:sz="6" w:space="0" w:color="231F20"/>
              <w:start w:val="single" w:sz="4" w:space="0" w:color="231F20"/>
              <w:bottom w:val="single" w:sz="4" w:space="0" w:color="231F20"/>
              <w:end w:val="single" w:sz="4" w:space="0" w:color="231F20"/>
            </w:tcBorders>
          </w:tcPr>
          <w:p>
            <w:pPr>
              <w:pStyle w:val="normal1"/>
              <w:spacing w:lineRule="auto" w:line="252" w:before="40" w:after="40"/>
              <w:jc w:val="center"/>
              <w:rPr/>
            </w:pPr>
            <w:r>
              <w:rPr>
                <w:rFonts w:ascii="Calibri" w:hAnsi="Calibri"/>
                <w:b w:val="false"/>
                <w:color w:val="000000"/>
                <w:sz w:val="18"/>
              </w:rPr>
              <w:t>Kecerdasan Komputasional &amp; Sains Data</w:t>
            </w:r>
          </w:p>
        </w:tc>
        <w:tc>
          <w:tcPr>
            <w:tcW w:w="3673" w:type="dxa"/>
            <w:tcBorders>
              <w:top w:val="single" w:sz="4" w:space="0" w:color="231F20"/>
              <w:start w:val="single" w:sz="4" w:space="0" w:color="231F20"/>
              <w:bottom w:val="single" w:sz="4" w:space="0" w:color="231F20"/>
              <w:end w:val="single" w:sz="4" w:space="0" w:color="231F20"/>
            </w:tcBorders>
          </w:tcPr>
          <w:p>
            <w:pPr>
              <w:pStyle w:val="normal1"/>
              <w:spacing w:lineRule="auto" w:line="252" w:before="40" w:after="40"/>
              <w:jc w:val="center"/>
              <w:rPr/>
            </w:pPr>
            <w:r>
              <w:rPr>
                <w:rFonts w:ascii="Calibri" w:hAnsi="Calibri"/>
                <w:b w:val="false"/>
                <w:color w:val="000000"/>
                <w:sz w:val="18"/>
              </w:rPr>
              <w:t>3</w:t>
            </w:r>
          </w:p>
        </w:tc>
        <w:tc>
          <w:tcPr>
            <w:tcW w:w="3057" w:type="dxa"/>
            <w:tcBorders>
              <w:top w:val="single" w:sz="4" w:space="0" w:color="231F20"/>
              <w:start w:val="single" w:sz="4" w:space="0" w:color="231F20"/>
              <w:bottom w:val="single" w:sz="4" w:space="0" w:color="231F20"/>
              <w:end w:val="single" w:sz="4" w:space="0" w:color="231F20"/>
            </w:tcBorders>
          </w:tcPr>
          <w:p>
            <w:pPr>
              <w:pStyle w:val="normal1"/>
              <w:spacing w:lineRule="auto" w:line="252" w:before="40" w:after="40"/>
              <w:jc w:val="center"/>
              <w:rPr/>
            </w:pPr>
            <w:r>
              <w:rPr>
                <w:rFonts w:ascii="Calibri" w:hAnsi="Calibri"/>
                <w:b w:val="false"/>
                <w:color w:val="000000"/>
                <w:sz w:val="18"/>
              </w:rPr>
              <w:t>6</w:t>
            </w:r>
          </w:p>
        </w:tc>
        <w:tc>
          <w:tcPr>
            <w:tcW w:w="1261" w:type="dxa"/>
            <w:tcBorders>
              <w:top w:val="single" w:sz="4" w:space="0" w:color="231F20"/>
              <w:start w:val="single" w:sz="4" w:space="0" w:color="231F20"/>
              <w:bottom w:val="single" w:sz="4" w:space="0" w:color="231F20"/>
              <w:end w:val="single" w:sz="4" w:space="0" w:color="231F20"/>
            </w:tcBorders>
          </w:tcPr>
          <w:p>
            <w:pPr>
              <w:pStyle w:val="normal1"/>
              <w:spacing w:lineRule="auto" w:line="252" w:before="40" w:after="40"/>
              <w:jc w:val="center"/>
              <w:rPr/>
            </w:pPr>
            <w:r>
              <w:rPr>
                <w:rFonts w:ascii="Calibri" w:hAnsi="Calibri"/>
                <w:b w:val="false"/>
                <w:color w:val="000000"/>
                <w:sz w:val="18"/>
              </w:rPr>
              <w:t>25 Agustus 2025</w:t>
            </w:r>
          </w:p>
        </w:tc>
      </w:tr>
      <w:tr>
        <w:trPr>
          <w:trHeight w:val="278" w:hRule="atLeast"/>
        </w:trPr>
        <w:tc>
          <w:tcPr>
            <w:tcW w:w="1796" w:type="dxa"/>
            <w:vMerge w:val="restart"/>
            <w:tcBorders>
              <w:top w:val="single" w:sz="4" w:space="0" w:color="231F20"/>
              <w:start w:val="single" w:sz="6" w:space="0" w:color="231F20"/>
              <w:bottom w:val="single" w:sz="4" w:space="0" w:color="231F20"/>
              <w:end w:val="single" w:sz="6" w:space="0" w:color="231F20"/>
            </w:tcBorders>
          </w:tcPr>
          <w:p>
            <w:pPr>
              <w:pStyle w:val="normal1"/>
              <w:keepNext w:val="false"/>
              <w:keepLines w:val="false"/>
              <w:widowControl w:val="false"/>
              <w:shd w:val="clear" w:fill="auto"/>
              <w:spacing w:lineRule="auto" w:line="250" w:before="34" w:after="0"/>
              <w:ind w:hanging="0" w:start="77"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OTORISASI / PENGESAHAN</w:t>
            </w:r>
          </w:p>
        </w:tc>
        <w:tc>
          <w:tcPr>
            <w:tcW w:w="4505" w:type="dxa"/>
            <w:gridSpan w:val="2"/>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4" w:after="0"/>
              <w:ind w:hanging="0" w:start="137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Dosen Pengembang RPS</w:t>
            </w:r>
          </w:p>
        </w:tc>
        <w:tc>
          <w:tcPr>
            <w:tcW w:w="3673"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4" w:after="0"/>
              <w:ind w:hanging="0" w:start="1228"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Koordinator RMK</w:t>
            </w:r>
          </w:p>
        </w:tc>
        <w:tc>
          <w:tcPr>
            <w:tcW w:w="4318" w:type="dxa"/>
            <w:gridSpan w:val="2"/>
            <w:tcBorders>
              <w:top w:val="single" w:sz="6"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4" w:after="0"/>
              <w:ind w:hanging="0" w:start="1796" w:end="1781"/>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Ka PRODI</w:t>
            </w:r>
          </w:p>
        </w:tc>
      </w:tr>
      <w:tr>
        <w:trPr>
          <w:trHeight w:val="1390" w:hRule="atLeast"/>
        </w:trPr>
        <w:tc>
          <w:tcPr>
            <w:tcW w:w="1796" w:type="dxa"/>
            <w:vMerge w:val="continue"/>
            <w:tcBorders>
              <w:top w:val="single" w:sz="4" w:space="0" w:color="231F20"/>
              <w:start w:val="single" w:sz="6" w:space="0" w:color="231F20"/>
              <w:bottom w:val="single" w:sz="4" w:space="0" w:color="231F20"/>
              <w:end w:val="single" w:sz="6" w:space="0" w:color="231F20"/>
            </w:tcBorders>
          </w:tcPr>
          <w:p>
            <w:pPr>
              <w:pStyle w:val="normal1"/>
              <w:keepNext w:val="false"/>
              <w:keepLines w:val="false"/>
              <w:widowControl w:val="false"/>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4505" w:type="dxa"/>
            <w:gridSpan w:val="2"/>
            <w:tcBorders>
              <w:top w:val="single" w:sz="4" w:space="0" w:color="231F20"/>
              <w:start w:val="single" w:sz="4" w:space="0" w:color="231F20"/>
              <w:bottom w:val="single" w:sz="4" w:space="0" w:color="231F20"/>
              <w:end w:val="single" w:sz="4" w:space="0" w:color="231F20"/>
            </w:tcBorders>
          </w:tcPr>
          <w:p>
            <w:pPr>
              <w:pStyle w:val="normal1"/>
              <w:spacing w:lineRule="auto" w:line="252" w:before="40" w:after="40"/>
              <w:jc w:val="center"/>
              <w:rPr/>
            </w:pPr>
            <w:r>
              <w:rPr>
                <w:rFonts w:ascii="Calibri" w:hAnsi="Calibri"/>
                <w:b w:val="false"/>
                <w:color w:val="000000"/>
                <w:sz w:val="18"/>
              </w:rPr>
              <w:br/>
              <w:br/>
              <w:t>TTD</w:t>
              <w:br/>
              <w:br/>
              <w:t>Andy Haryoko, S.T., M.T.</w:t>
            </w:r>
          </w:p>
        </w:tc>
        <w:tc>
          <w:tcPr>
            <w:tcW w:w="3673" w:type="dxa"/>
            <w:tcBorders>
              <w:top w:val="single" w:sz="4" w:space="0" w:color="231F20"/>
              <w:start w:val="single" w:sz="4" w:space="0" w:color="231F20"/>
              <w:bottom w:val="single" w:sz="4" w:space="0" w:color="231F20"/>
              <w:end w:val="single" w:sz="4" w:space="0" w:color="231F20"/>
            </w:tcBorders>
          </w:tcPr>
          <w:p>
            <w:pPr>
              <w:pStyle w:val="normal1"/>
              <w:spacing w:lineRule="auto" w:line="252" w:before="40" w:after="40"/>
              <w:jc w:val="center"/>
              <w:rPr/>
            </w:pPr>
            <w:r>
              <w:rPr>
                <w:rFonts w:ascii="Calibri" w:hAnsi="Calibri"/>
                <w:b w:val="false"/>
                <w:color w:val="000000"/>
                <w:sz w:val="18"/>
              </w:rPr>
              <w:br/>
              <w:br/>
              <w:t>TTD</w:t>
              <w:br/>
              <w:br/>
              <w:t>Andy Haryoko, S.T., M.T.</w:t>
            </w:r>
          </w:p>
        </w:tc>
        <w:tc>
          <w:tcPr>
            <w:tcW w:w="4318" w:type="dxa"/>
            <w:gridSpan w:val="2"/>
            <w:tcBorders>
              <w:top w:val="single" w:sz="4" w:space="0" w:color="231F20"/>
              <w:start w:val="single" w:sz="4" w:space="0" w:color="231F20"/>
              <w:bottom w:val="single" w:sz="4" w:space="0" w:color="231F20"/>
              <w:end w:val="single" w:sz="4" w:space="0" w:color="231F20"/>
            </w:tcBorders>
          </w:tcPr>
          <w:p>
            <w:pPr>
              <w:pStyle w:val="normal1"/>
              <w:spacing w:lineRule="auto" w:line="252" w:before="40" w:after="40"/>
              <w:jc w:val="center"/>
              <w:rPr/>
            </w:pPr>
            <w:r>
              <w:rPr>
                <w:rFonts w:ascii="Calibri" w:hAnsi="Calibri"/>
                <w:b w:val="false"/>
                <w:color w:val="000000"/>
                <w:sz w:val="18"/>
              </w:rPr>
              <w:br/>
              <w:br/>
              <w:t>TTD</w:t>
              <w:br/>
              <w:br/>
              <w:t>AMALUDIN ARIFIA, M.Kom.</w:t>
              <w:br/>
              <w:t>NIDN: 07xxxxxxxx</w:t>
            </w:r>
          </w:p>
        </w:tc>
      </w:tr>
      <w:tr>
        <w:trPr>
          <w:trHeight w:val="276" w:hRule="atLeast"/>
        </w:trPr>
        <w:tc>
          <w:tcPr>
            <w:tcW w:w="1796" w:type="dxa"/>
            <w:vMerge w:val="restart"/>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shd w:val="clear" w:fill="auto"/>
              <w:spacing w:lineRule="auto" w:line="240" w:before="34" w:after="0"/>
              <w:ind w:hanging="0" w:start="77"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Capaian Pembelajaran</w:t>
            </w:r>
          </w:p>
        </w:tc>
        <w:tc>
          <w:tcPr>
            <w:tcW w:w="4505" w:type="dxa"/>
            <w:gridSpan w:val="2"/>
            <w:tcBorders>
              <w:top w:val="single" w:sz="4" w:space="0" w:color="231F20"/>
              <w:start w:val="dashed" w:sz="4" w:space="0" w:color="231F20"/>
              <w:bottom w:val="single" w:sz="4" w:space="0" w:color="231F20"/>
              <w:end w:val="single" w:sz="4" w:space="0" w:color="231F20"/>
            </w:tcBorders>
            <w:shd w:fill="E0E1E2" w:val="clear"/>
          </w:tcPr>
          <w:p>
            <w:pPr>
              <w:pStyle w:val="normal1"/>
              <w:keepNext w:val="false"/>
              <w:keepLines w:val="false"/>
              <w:widowControl w:val="false"/>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CPL-PRODI yang dibebankan pada MK</w:t>
            </w:r>
          </w:p>
        </w:tc>
        <w:tc>
          <w:tcPr>
            <w:tcW w:w="7991" w:type="dxa"/>
            <w:gridSpan w:val="3"/>
            <w:tcBorders>
              <w:top w:val="single" w:sz="6" w:space="0" w:color="231F20"/>
              <w:start w:val="single" w:sz="4" w:space="0" w:color="231F20"/>
              <w:bottom w:val="single" w:sz="6" w:space="0" w:color="231F20"/>
              <w:end w:val="single" w:sz="4" w:space="0" w:color="231F20"/>
            </w:tcBorders>
          </w:tcPr>
          <w:p>
            <w:pPr>
              <w:pStyle w:val="normal1"/>
              <w:keepNext w:val="false"/>
              <w:keepLines w:val="false"/>
              <w:widowControl w:val="false"/>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r>
      <w:tr>
        <w:trPr>
          <w:trHeight w:val="276" w:hRule="atLeast"/>
        </w:trPr>
        <w:tc>
          <w:tcPr>
            <w:tcW w:w="1796" w:type="dxa"/>
            <w:vMerge w:val="continue"/>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1032" w:type="dxa"/>
            <w:tcBorders>
              <w:top w:val="single" w:sz="4" w:space="0" w:color="231F20"/>
              <w:start w:val="dashed" w:sz="4" w:space="0" w:color="231F20"/>
              <w:bottom w:val="single" w:sz="4" w:space="0" w:color="231F20"/>
              <w:end w:val="single" w:sz="4" w:space="0" w:color="231F20"/>
            </w:tcBorders>
          </w:tcPr>
          <w:p>
            <w:pPr>
              <w:pStyle w:val="normal1"/>
              <w:spacing w:lineRule="auto" w:line="252" w:before="40" w:after="40"/>
              <w:jc w:val="start"/>
              <w:rPr/>
            </w:pPr>
            <w:r>
              <w:rPr>
                <w:rFonts w:ascii="Calibri" w:hAnsi="Calibri"/>
                <w:b/>
                <w:color w:val="000000"/>
                <w:sz w:val="18"/>
              </w:rPr>
              <w:t>CPL03</w:t>
              <w:br/>
              <w:br/>
              <w:t>CPL04</w:t>
              <w:br/>
              <w:br/>
              <w:t>CPL05</w:t>
            </w:r>
          </w:p>
        </w:tc>
        <w:tc>
          <w:tcPr>
            <w:tcW w:w="11464" w:type="dxa"/>
            <w:gridSpan w:val="4"/>
            <w:tcBorders>
              <w:top w:val="single" w:sz="6" w:space="0" w:color="231F20"/>
              <w:start w:val="single" w:sz="4" w:space="0" w:color="231F20"/>
              <w:bottom w:val="single" w:sz="6" w:space="0" w:color="231F20"/>
              <w:end w:val="single" w:sz="4" w:space="0" w:color="231F20"/>
            </w:tcBorders>
          </w:tcPr>
          <w:p>
            <w:pPr>
              <w:pStyle w:val="normal1"/>
              <w:spacing w:lineRule="auto" w:line="252" w:before="40" w:after="40"/>
              <w:jc w:val="start"/>
              <w:rPr/>
            </w:pPr>
            <w:r>
              <w:rPr>
                <w:rFonts w:ascii="Calibri" w:hAnsi="Calibri"/>
                <w:b w:val="false"/>
                <w:color w:val="000000"/>
                <w:sz w:val="18"/>
              </w:rPr>
              <w:t>CPL03: Memiliki kemampuan memahami cara kerja sistem komputer serta menerapkan berbagai algoritma/metode untuk memecahkan masalah dalam suatu organisasi. [C2, C3]</w:t>
              <w:br/>
              <w:br/>
              <w:t>CPL04: Memiliki kompetensi dalam menganalisis persoalan computing yang kompleks untuk mengidentifikasi solusi pengelolaan proyek teknologi di bidang informatika/ilmu komputer dengan mempertimbangkan perkembangan ilmu transdisiplin. [C4]</w:t>
              <w:br/>
              <w:br/>
              <w:t>CPL05: Memiliki kemampuan merancang, mengimplementasikan, dan mengevaluasi solusi berbasis computing (sistem cerdas, data analytics, machine learning) yang memenuhi kebutuhan pengguna dengan pendekatan analitis dan saintifik. [C5, C6]</w:t>
            </w:r>
          </w:p>
        </w:tc>
      </w:tr>
      <w:tr>
        <w:trPr>
          <w:trHeight w:val="276" w:hRule="atLeast"/>
        </w:trPr>
        <w:tc>
          <w:tcPr>
            <w:tcW w:w="1796" w:type="dxa"/>
            <w:vMerge w:val="continue"/>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shd w:val="clear" w:fill="auto"/>
              <w:spacing w:lineRule="auto" w:line="276" w:before="0" w:after="0"/>
              <w:ind w:hanging="0" w:start="0" w:end="0"/>
              <w:jc w:val="start"/>
              <w:rPr>
                <w:rFonts w:ascii="Arial" w:hAnsi="Arial" w:eastAsia="Arial" w:cs="Arial"/>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4505" w:type="dxa"/>
            <w:gridSpan w:val="2"/>
            <w:tcBorders>
              <w:top w:val="single" w:sz="4" w:space="0" w:color="231F20"/>
              <w:start w:val="dashed" w:sz="4" w:space="0" w:color="231F20"/>
              <w:bottom w:val="single" w:sz="4" w:space="0" w:color="231F20"/>
              <w:end w:val="single" w:sz="4" w:space="0" w:color="231F20"/>
            </w:tcBorders>
            <w:shd w:fill="EDECE0" w:val="clear"/>
          </w:tcPr>
          <w:p>
            <w:pPr>
              <w:pStyle w:val="normal1"/>
              <w:keepNext w:val="false"/>
              <w:keepLines w:val="false"/>
              <w:widowControl w:val="false"/>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Capaian Pembelajaran Mata Kuliah (CPMK)</w:t>
            </w:r>
          </w:p>
        </w:tc>
        <w:tc>
          <w:tcPr>
            <w:tcW w:w="7991" w:type="dxa"/>
            <w:gridSpan w:val="3"/>
            <w:tcBorders>
              <w:top w:val="single" w:sz="6" w:space="0" w:color="231F20"/>
              <w:start w:val="single" w:sz="4" w:space="0" w:color="231F20"/>
              <w:bottom w:val="single" w:sz="6" w:space="0" w:color="231F20"/>
              <w:end w:val="single" w:sz="4" w:space="0" w:color="231F20"/>
            </w:tcBorders>
          </w:tcPr>
          <w:p>
            <w:pPr>
              <w:pStyle w:val="normal1"/>
              <w:keepNext w:val="false"/>
              <w:keepLines w:val="false"/>
              <w:widowControl w:val="false"/>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r>
      <w:tr>
        <w:trPr>
          <w:trHeight w:val="276" w:hRule="atLeast"/>
        </w:trPr>
        <w:tc>
          <w:tcPr>
            <w:tcW w:w="1796" w:type="dxa"/>
            <w:vMerge w:val="continue"/>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1032" w:type="dxa"/>
            <w:tcBorders>
              <w:top w:val="single" w:sz="4" w:space="0" w:color="231F20"/>
              <w:start w:val="dashed" w:sz="4" w:space="0" w:color="231F20"/>
              <w:bottom w:val="single" w:sz="4" w:space="0" w:color="231F20"/>
              <w:end w:val="single" w:sz="4" w:space="0" w:color="231F20"/>
            </w:tcBorders>
          </w:tcPr>
          <w:p>
            <w:pPr>
              <w:pStyle w:val="normal1"/>
              <w:spacing w:lineRule="auto" w:line="252" w:before="40" w:after="40"/>
              <w:jc w:val="start"/>
              <w:rPr/>
            </w:pPr>
            <w:r>
              <w:rPr>
                <w:rFonts w:ascii="Calibri" w:hAnsi="Calibri"/>
                <w:b/>
                <w:color w:val="000000"/>
                <w:sz w:val="18"/>
              </w:rPr>
              <w:t>CPMK1 (100%)</w:t>
              <w:br/>
              <w:br/>
              <w:t>CPMK2 (50%)</w:t>
              <w:br/>
              <w:br/>
              <w:t>CPMK3 (50%)</w:t>
              <w:br/>
              <w:br/>
              <w:t>CPMK4 (100%)</w:t>
            </w:r>
          </w:p>
        </w:tc>
        <w:tc>
          <w:tcPr>
            <w:tcW w:w="11464" w:type="dxa"/>
            <w:gridSpan w:val="4"/>
            <w:tcBorders>
              <w:top w:val="single" w:sz="6" w:space="0" w:color="231F20"/>
              <w:start w:val="single" w:sz="4" w:space="0" w:color="231F20"/>
              <w:bottom w:val="single" w:sz="6" w:space="0" w:color="231F20"/>
              <w:end w:val="single" w:sz="4" w:space="0" w:color="231F20"/>
            </w:tcBorders>
          </w:tcPr>
          <w:p>
            <w:pPr>
              <w:pStyle w:val="normal1"/>
              <w:spacing w:lineRule="auto" w:line="252" w:before="40" w:after="40"/>
              <w:jc w:val="start"/>
              <w:rPr/>
            </w:pPr>
            <w:r>
              <w:rPr>
                <w:rFonts w:ascii="Calibri" w:hAnsi="Calibri"/>
                <w:b w:val="false"/>
                <w:color w:val="000000"/>
                <w:sz w:val="18"/>
              </w:rPr>
              <w:t>CPMK1 [induk CPL03]: Mampu menerapkan konsep dasar aljabar linier multivariat, vektor rata-rata, matriks varians-kovarians/korelasi, serta pengujian asumsi normalitas multivariat dan deteksi outlier (Mahalanobis distance) dalam eksplorasi data berdimensi tinggi [C3].</w:t>
              <w:br/>
              <w:br/>
              <w:t>CPMK2 [induk CPL04]: Mampu menganalisis dan mereduksi dimensi data menggunakan teknik Principal Component Analysis (PCA) dan Exploratory/Confirmatory Factor Analysis (EFA/CFA) untuk ekstraksi fitur data kompleks [C4].</w:t>
              <w:br/>
              <w:br/>
              <w:t>CPMK3 [induk CPL04]: Mampu menganalisis hubungan ketergantungan dan perbedaan grup multivariat melalui Regresi Linier Berganda, Regresi Logistik Multivariat, dan MANOVA (Multivariate Analysis of Variance) [C4].</w:t>
              <w:br/>
              <w:br/>
              <w:t>CPMK4 [induk CPL05]: Mampu merancang, mengimplementasikan, dan mengevaluasi model klasifikasi dan segmentasi data menggunakan Analisis Diskriminan, Cluster Analysis (Hierarkis &amp; K-Means), Multidimensional Scaling (MDS), serta visualisasi interaktif dengan Python/R untuk studi kasus industri/sains [C5, C6].</w:t>
            </w:r>
          </w:p>
        </w:tc>
      </w:tr>
      <w:tr>
        <w:trPr>
          <w:trHeight w:val="276" w:hRule="atLeast"/>
        </w:trPr>
        <w:tc>
          <w:tcPr>
            <w:tcW w:w="1796" w:type="dxa"/>
            <w:vMerge w:val="continue"/>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shd w:val="clear" w:fill="auto"/>
              <w:spacing w:lineRule="auto" w:line="276" w:before="0" w:after="0"/>
              <w:ind w:hanging="0" w:start="0" w:end="0"/>
              <w:jc w:val="start"/>
              <w:rPr>
                <w:rFonts w:ascii="Arial" w:hAnsi="Arial" w:eastAsia="Arial" w:cs="Arial"/>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4505" w:type="dxa"/>
            <w:gridSpan w:val="2"/>
            <w:tcBorders>
              <w:top w:val="single" w:sz="4" w:space="0" w:color="231F20"/>
              <w:start w:val="dashed" w:sz="4" w:space="0" w:color="231F20"/>
              <w:bottom w:val="single" w:sz="4" w:space="0" w:color="231F20"/>
              <w:end w:val="single" w:sz="4" w:space="0" w:color="231F20"/>
            </w:tcBorders>
            <w:shd w:fill="EDECE0" w:val="clear"/>
          </w:tcPr>
          <w:p>
            <w:pPr>
              <w:pStyle w:val="normal1"/>
              <w:keepNext w:val="false"/>
              <w:keepLines w:val="false"/>
              <w:widowControl w:val="false"/>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Kemampuan akhir tiap tahapan belajar MK (SubCPMK)</w:t>
            </w:r>
          </w:p>
        </w:tc>
        <w:tc>
          <w:tcPr>
            <w:tcW w:w="7991" w:type="dxa"/>
            <w:gridSpan w:val="3"/>
            <w:tcBorders>
              <w:top w:val="single" w:sz="6" w:space="0" w:color="231F20"/>
              <w:start w:val="single" w:sz="4" w:space="0" w:color="231F20"/>
              <w:bottom w:val="single" w:sz="6" w:space="0" w:color="231F20"/>
              <w:end w:val="single" w:sz="4" w:space="0" w:color="231F20"/>
            </w:tcBorders>
          </w:tcPr>
          <w:p>
            <w:pPr>
              <w:pStyle w:val="normal1"/>
              <w:keepNext w:val="false"/>
              <w:keepLines w:val="false"/>
              <w:widowControl w:val="false"/>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r>
      <w:tr>
        <w:trPr>
          <w:trHeight w:val="276" w:hRule="atLeast"/>
        </w:trPr>
        <w:tc>
          <w:tcPr>
            <w:tcW w:w="1796" w:type="dxa"/>
            <w:vMerge w:val="continue"/>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1032" w:type="dxa"/>
            <w:tcBorders>
              <w:top w:val="single" w:sz="4" w:space="0" w:color="231F20"/>
              <w:start w:val="dashed" w:sz="4" w:space="0" w:color="231F20"/>
              <w:bottom w:val="single" w:sz="4" w:space="0" w:color="231F20"/>
              <w:end w:val="single" w:sz="4" w:space="0" w:color="231F20"/>
            </w:tcBorders>
          </w:tcPr>
          <w:p>
            <w:pPr>
              <w:pStyle w:val="normal1"/>
              <w:spacing w:lineRule="auto" w:line="252" w:before="40" w:after="40"/>
              <w:jc w:val="start"/>
              <w:rPr/>
            </w:pPr>
            <w:r>
              <w:rPr>
                <w:rFonts w:ascii="Calibri" w:hAnsi="Calibri"/>
                <w:b/>
                <w:color w:val="000000"/>
                <w:sz w:val="18"/>
              </w:rPr>
              <w:t>Sub-CPMK 1</w:t>
              <w:br/>
              <w:br/>
              <w:t>Sub-CPMK 2</w:t>
              <w:br/>
              <w:br/>
              <w:t>Sub-CPMK 3</w:t>
              <w:br/>
              <w:br/>
              <w:t>Sub-CPMK 4</w:t>
              <w:br/>
              <w:br/>
              <w:t>Sub-CPMK 5</w:t>
              <w:br/>
              <w:br/>
              <w:t>Sub-CPMK 6</w:t>
              <w:br/>
              <w:br/>
              <w:t>Sub-CPMK 7</w:t>
              <w:br/>
              <w:br/>
              <w:t>Sub-CPMK 8</w:t>
              <w:br/>
              <w:br/>
              <w:t>Sub-CPMK 9</w:t>
              <w:br/>
              <w:br/>
              <w:t>Sub-CPMK 10</w:t>
              <w:br/>
              <w:br/>
              <w:t>Sub-CPMK 11</w:t>
              <w:br/>
              <w:br/>
              <w:t>Sub-CPMK 12 (UTS &amp; UAS)</w:t>
            </w:r>
          </w:p>
        </w:tc>
        <w:tc>
          <w:tcPr>
            <w:tcW w:w="11464" w:type="dxa"/>
            <w:gridSpan w:val="4"/>
            <w:tcBorders>
              <w:top w:val="single" w:sz="6" w:space="0" w:color="231F20"/>
              <w:start w:val="single" w:sz="4" w:space="0" w:color="231F20"/>
              <w:bottom w:val="single" w:sz="6" w:space="0" w:color="231F20"/>
              <w:end w:val="single" w:sz="4" w:space="0" w:color="231F20"/>
            </w:tcBorders>
          </w:tcPr>
          <w:p>
            <w:pPr>
              <w:pStyle w:val="normal1"/>
              <w:spacing w:lineRule="auto" w:line="252" w:before="40" w:after="40"/>
              <w:jc w:val="start"/>
              <w:rPr/>
            </w:pPr>
            <w:r>
              <w:rPr>
                <w:rFonts w:ascii="Calibri" w:hAnsi="Calibri"/>
                <w:b w:val="false"/>
                <w:color w:val="000000"/>
                <w:sz w:val="18"/>
              </w:rPr>
              <w:t>Sub-CPMK 1: Mampu menjelaskan konsep dasar analisis multivariat, taksonomi metode dependence vs independence, representasi matriks data, vektor mean, dan matriks kovarians [C2].</w:t>
              <w:br/>
              <w:br/>
              <w:t>Sub-CPMK 2: Mampu menerapkan pengujian asumsi distribusi normal multivariat (Mardia's test, Royston test, Chi-Square Q-Q Plot) dan mendeteksi pencilan multivariat menggunakan Mahalanobis Distance [C3].</w:t>
              <w:br/>
              <w:br/>
              <w:t>Sub-CPMK 3: Mampu menghitung dan menganalisis reduksi dimensi variabel dengan Principal Component Analysis (PCA) berbasis nilai eigen dan vektor eigen serta interpretasi Scree Plot dan Biplot [C4].</w:t>
              <w:br/>
              <w:br/>
              <w:t>Sub-CPMK 4: Mampu menganalisis struktur faktor laten dengan Exploratory Factor Analysis (EFA) menggunakan rotasi orthogonal (Varimax) dan oblique (Promax), serta interpretasi loading faktor [C4].</w:t>
              <w:br/>
              <w:br/>
              <w:t>Sub-CPMK 5: Mampu menganalisis model Regresi Linier Berganda multivariat, diagnosa multikolinieritas (VIF), heteroskedastisitas, dan autokorelasi [C4].</w:t>
              <w:br/>
              <w:br/>
              <w:t>Sub-CPMK 6: Mampu menerapkan dan menganalisis model Regresi Logistik Biner dan Multinomial untuk variabel respon kategorik multivariat [C4].</w:t>
              <w:br/>
              <w:br/>
              <w:t>Sub-CPMK 7: Mampu mengevaluasi perbedaan rata-rata multivariat antar kelompok perlakuan menggunakan MANOVA (Wilks' Lambda, Pillai's Trace, Hotelling's Trace, Roy's Largest Root) [C4, C5].</w:t>
              <w:br/>
              <w:br/>
              <w:t>Sub-CPMK 8: Mampu merancang fungsi pembeda dan mengklasifikasikan observasi baru dengan Analisis Diskriminan Linier (LDA) dan Kuadratik (QDA) [C5].</w:t>
              <w:br/>
              <w:br/>
              <w:t>Sub-CPMK 9: Mampu merancang dan mengevaluasi segmentasi data observasi multivariat menggunakan teknik Hierarchical Clustering (Single, Complete, Average, Ward) dan K-Means Clustering dengan evaluasi koefisien Silhouette [C5, C6].</w:t>
              <w:br/>
              <w:br/>
              <w:t>Sub-CPMK 10: Mampu merancang visualisasi persepsi posisi objek dan asosiasi kategori menggunakan Multidimensional Scaling (MDS) dan Analisis Korespondensi [C5].</w:t>
              <w:br/>
              <w:br/>
              <w:t>Sub-CPMK 11: Mampu mempresentasikan dan mempertahankan laporan proyek analitik multivariat komprehensif pada dataset riil berdimensi tinggi menggunakan Python/R [C5, C6].</w:t>
              <w:br/>
              <w:br/>
              <w:t>Sub-CPMK 12 (UTS &amp; UAS): Mampu mendemonstrasikan evaluasi komprehensif penguasaan teori dan praktik analitik multivariat melalui Ujian Tengah Semester (15%) dan Ujian Akhir Semester berbasis Capstone Project (15%) [C2, C3, C4, C5, C6].</w:t>
            </w:r>
          </w:p>
        </w:tc>
      </w:tr>
    </w:tbl>
    <w:p>
      <w:pPr>
        <w:sectPr>
          <w:footerReference w:type="even" r:id="rId3"/>
          <w:footerReference w:type="default" r:id="rId4"/>
          <w:type w:val="nextPage"/>
          <w:pgSz w:orient="landscape" w:w="16838" w:h="11906"/>
          <w:pgMar w:left="1020" w:right="1280" w:gutter="0" w:header="0" w:top="1100" w:footer="0" w:bottom="280"/>
          <w:pgNumType w:start="1" w:fmt="decimal"/>
          <w:formProt w:val="false"/>
          <w:textDirection w:val="lrTb"/>
          <w:docGrid w:type="default" w:linePitch="100" w:charSpace="0"/>
        </w:sectPr>
      </w:pPr>
      <w:r>
        <w:br w:type="page"/>
      </w:r>
    </w:p>
    <w:p>
      <w:pPr>
        <w:pStyle w:val="normal1"/>
        <w:keepNext w:val="false"/>
        <w:keepLines w:val="false"/>
        <w:widowControl w:val="false"/>
        <w:shd w:val="clear" w:fill="auto"/>
        <w:spacing w:lineRule="auto" w:line="240" w:before="0" w:after="0"/>
        <w:ind w:hanging="0" w:start="0" w:end="0"/>
        <w:jc w:val="start"/>
        <w:rPr>
          <w:rFonts w:ascii="Arial" w:hAnsi="Arial" w:eastAsia="Arial" w:cs="Arial"/>
          <w:b/>
          <w:bCs/>
          <w:i w:val="false"/>
          <w:iCs w:val="false"/>
          <w:caps w:val="false"/>
          <w:smallCaps w:val="false"/>
          <w:strike w:val="false"/>
          <w:dstrike w:val="false"/>
          <w:color w:val="000000"/>
          <w:position w:val="0"/>
          <w:sz w:val="2"/>
          <w:szCs w:val="2"/>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
          <w:szCs w:val="2"/>
          <w:u w:val="none"/>
          <w:shd w:fill="auto" w:val="clear"/>
          <w:vertAlign w:val="baseline"/>
        </w:rPr>
      </w:r>
    </w:p>
    <w:p>
      <w:pPr>
        <w:pStyle w:val="normal1"/>
        <w:keepNext w:val="false"/>
        <w:keepLines w:val="false"/>
        <w:pageBreakBefore w:val="false"/>
        <w:widowControl w:val="false"/>
        <w:shd w:val="clear" w:fill="auto"/>
        <w:spacing w:lineRule="auto" w:line="240" w:before="5" w:after="0"/>
        <w:ind w:hanging="0" w:start="0" w:end="0"/>
        <w:jc w:val="start"/>
        <w:rPr>
          <w:rFonts w:ascii="Arial" w:hAnsi="Arial" w:eastAsia="Arial" w:cs="Arial"/>
          <w:b/>
          <w:bCs/>
          <w:i w:val="false"/>
          <w:iCs w:val="false"/>
          <w:caps w:val="false"/>
          <w:smallCaps w:val="false"/>
          <w:strike w:val="false"/>
          <w:dstrike w:val="false"/>
          <w:color w:val="000000"/>
          <w:position w:val="0"/>
          <w:sz w:val="2"/>
          <w:szCs w:val="2"/>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
          <w:szCs w:val="2"/>
          <w:u w:val="none"/>
          <w:shd w:fill="auto" w:val="clear"/>
          <w:vertAlign w:val="baseline"/>
        </w:rPr>
        <mc:AlternateContent>
          <mc:Choice Requires="wps">
            <w:drawing>
              <wp:anchor distT="0" distB="0" distL="0" distR="0" simplePos="0" relativeHeight="7" behindDoc="0" locked="0" layoutInCell="0" allowOverlap="1">
                <wp:simplePos x="0" y="0"/>
                <wp:positionH relativeFrom="page">
                  <wp:posOffset>281940</wp:posOffset>
                </wp:positionH>
                <wp:positionV relativeFrom="page">
                  <wp:posOffset>751840</wp:posOffset>
                </wp:positionV>
                <wp:extent cx="239395" cy="267970"/>
                <wp:effectExtent l="0" t="0" r="0" b="0"/>
                <wp:wrapNone/>
                <wp:docPr id="3" name="Shape 8"/>
                <a:graphic xmlns:a="http://schemas.openxmlformats.org/drawingml/2006/main">
                  <a:graphicData uri="http://schemas.microsoft.com/office/word/2010/wordprocessingShape">
                    <wps:wsp>
                      <wps:cNvSpPr/>
                      <wps:spPr>
                        <a:xfrm rot="5400000">
                          <a:off x="0" y="0"/>
                          <a:ext cx="239400" cy="267840"/>
                        </a:xfrm>
                        <a:prstGeom prst="rect">
                          <a:avLst/>
                        </a:prstGeom>
                        <a:noFill/>
                        <a:ln w="0">
                          <a:noFill/>
                        </a:ln>
                      </wps:spPr>
                      <wps:style>
                        <a:lnRef idx="0"/>
                        <a:fillRef idx="0"/>
                        <a:effectRef idx="0"/>
                        <a:fontRef idx="minor"/>
                      </wps:style>
                      <wps:txbx>
                        <w:txbxContent>
                          <w:p>
                            <w:pPr>
                              <w:pStyle w:val="FrameContentsuser"/>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118</w:t>
                            </w:r>
                          </w:p>
                        </w:txbxContent>
                      </wps:txbx>
                      <wps:bodyPr lIns="0" tIns="0" rIns="0" bIns="0" anchor="t">
                        <a:noAutofit/>
                      </wps:bodyPr>
                    </wps:wsp>
                  </a:graphicData>
                </a:graphic>
              </wp:anchor>
            </w:drawing>
          </mc:Choice>
          <mc:Fallback>
            <w:pict>
              <v:rect id="shape_0" stroked="f" o:allowincell="f" style="position:absolute;margin-left:22.15pt;margin-top:59.2pt;width:18.8pt;height:21.05pt;mso-wrap-style:square;v-text-anchor:top;rotation:90;mso-position-horizontal-relative:page;mso-position-vertical-relative:page">
                <v:fill o:detectmouseclick="t" on="false"/>
                <v:stroke color="#3465a4" joinstyle="round" endcap="flat"/>
                <v:textbox>
                  <w:txbxContent>
                    <w:p>
                      <w:pPr>
                        <w:pStyle w:val="FrameContentsuser"/>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118</w:t>
                      </w:r>
                    </w:p>
                  </w:txbxContent>
                </v:textbox>
                <w10:wrap type="none"/>
              </v:rect>
            </w:pict>
          </mc:Fallback>
        </mc:AlternateContent>
        <mc:AlternateContent>
          <mc:Choice Requires="wps">
            <w:drawing>
              <wp:anchor distT="0" distB="0" distL="0" distR="0" simplePos="0" relativeHeight="11" behindDoc="0" locked="0" layoutInCell="0" allowOverlap="1">
                <wp:simplePos x="0" y="0"/>
                <wp:positionH relativeFrom="page">
                  <wp:posOffset>370840</wp:posOffset>
                </wp:positionH>
                <wp:positionV relativeFrom="page">
                  <wp:posOffset>-2451100</wp:posOffset>
                </wp:positionV>
                <wp:extent cx="151765" cy="4641215"/>
                <wp:effectExtent l="0" t="0" r="0" b="0"/>
                <wp:wrapNone/>
                <wp:docPr id="4" name="Shape 2"/>
                <a:graphic xmlns:a="http://schemas.openxmlformats.org/drawingml/2006/main">
                  <a:graphicData uri="http://schemas.microsoft.com/office/word/2010/wordprocessingShape">
                    <wps:wsp>
                      <wps:cNvSpPr/>
                      <wps:spPr>
                        <a:xfrm rot="5400000">
                          <a:off x="0" y="0"/>
                          <a:ext cx="151920" cy="4641120"/>
                        </a:xfrm>
                        <a:prstGeom prst="rect">
                          <a:avLst/>
                        </a:prstGeom>
                        <a:noFill/>
                        <a:ln w="0">
                          <a:noFill/>
                        </a:ln>
                      </wps:spPr>
                      <wps:style>
                        <a:lnRef idx="0"/>
                        <a:fillRef idx="0"/>
                        <a:effectRef idx="0"/>
                        <a:fontRef idx="minor"/>
                      </wps:style>
                      <wps:txbx>
                        <w:txbxContent>
                          <w:p>
                            <w:pPr>
                              <w:pStyle w:val="FrameContentsuser"/>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6D6E71"/>
                                <w:position w:val="0"/>
                                <w:sz w:val="16"/>
                                <w:vertAlign w:val="baseline"/>
                              </w:rPr>
                              <w:t>Panduan Penyusunan Kurikulum Pendidikan Tinggi Mendukung Merdeka Belajar-Kampus Merdeka Menuju Indonesia Emas</w:t>
                            </w:r>
                          </w:p>
                        </w:txbxContent>
                      </wps:txbx>
                      <wps:bodyPr lIns="0" tIns="0" rIns="0" bIns="0" anchor="t">
                        <a:noAutofit/>
                      </wps:bodyPr>
                    </wps:wsp>
                  </a:graphicData>
                </a:graphic>
              </wp:anchor>
            </w:drawing>
          </mc:Choice>
          <mc:Fallback>
            <w:pict>
              <v:rect id="shape_0" stroked="f" o:allowincell="f" style="position:absolute;margin-left:29.2pt;margin-top:-193.05pt;width:11.9pt;height:365.4pt;mso-wrap-style:square;v-text-anchor:top;rotation:90;mso-position-horizontal-relative:page;mso-position-vertical-relative:page">
                <v:fill o:detectmouseclick="t" on="false"/>
                <v:stroke color="#3465a4" joinstyle="round" endcap="flat"/>
                <v:textbox>
                  <w:txbxContent>
                    <w:p>
                      <w:pPr>
                        <w:pStyle w:val="FrameContentsuser"/>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6D6E71"/>
                          <w:position w:val="0"/>
                          <w:sz w:val="16"/>
                          <w:vertAlign w:val="baseline"/>
                        </w:rPr>
                        <w:t>Panduan Penyusunan Kurikulum Pendidikan Tinggi Mendukung Merdeka Belajar-Kampus Merdeka Menuju Indonesia Emas</w:t>
                      </w:r>
                    </w:p>
                  </w:txbxContent>
                </v:textbox>
                <w10:wrap type="none"/>
              </v:rect>
            </w:pict>
          </mc:Fallback>
        </mc:AlternateContent>
        <mc:AlternateContent>
          <mc:Choice Requires="wpg">
            <w:drawing>
              <wp:anchor distT="5715" distB="6985" distL="0" distR="6985" simplePos="0" relativeHeight="13" behindDoc="0" locked="0" layoutInCell="0" allowOverlap="1">
                <wp:simplePos x="0" y="0"/>
                <wp:positionH relativeFrom="page">
                  <wp:posOffset>185420</wp:posOffset>
                </wp:positionH>
                <wp:positionV relativeFrom="page">
                  <wp:posOffset>720090</wp:posOffset>
                </wp:positionV>
                <wp:extent cx="387985" cy="5940425"/>
                <wp:effectExtent l="0" t="5715" r="6985" b="6985"/>
                <wp:wrapNone/>
                <wp:docPr id="5" name="Shape1"/>
                <a:graphic xmlns:a="http://schemas.openxmlformats.org/drawingml/2006/main">
                  <a:graphicData uri="http://schemas.microsoft.com/office/word/2010/wordprocessingGroup">
                    <wpg:wgp>
                      <wpg:cNvGrpSpPr/>
                      <wpg:grpSpPr>
                        <a:xfrm>
                          <a:off x="0" y="0"/>
                          <a:ext cx="388080" cy="5940360"/>
                          <a:chOff x="0" y="0"/>
                          <a:chExt cx="388080" cy="5940360"/>
                        </a:xfrm>
                      </wpg:grpSpPr>
                      <wpg:grpSp>
                        <wpg:cNvGrpSpPr/>
                        <wpg:grpSpPr>
                          <a:xfrm>
                            <a:off x="0" y="0"/>
                            <a:ext cx="388080" cy="5940360"/>
                          </a:xfrm>
                        </wpg:grpSpPr>
                        <wps:wsp>
                          <wps:cNvPr id="6" name="Shape 4"/>
                          <wps:cNvSpPr/>
                          <wps:spPr>
                            <a:xfrm>
                              <a:off x="0" y="720"/>
                              <a:ext cx="385560" cy="5937120"/>
                            </a:xfrm>
                            <a:prstGeom prst="rect">
                              <a:avLst/>
                            </a:prstGeom>
                            <a:noFill/>
                            <a:ln w="0">
                              <a:noFill/>
                            </a:ln>
                          </wps:spPr>
                          <wps:style>
                            <a:lnRef idx="0"/>
                            <a:fillRef idx="0"/>
                            <a:effectRef idx="0"/>
                            <a:fontRef idx="minor"/>
                          </wps:style>
                          <wps:txbx>
                            <w:txbxContent>
                              <w:p>
                                <w:pPr>
                                  <w:pStyle w:val="normal1"/>
                                  <w:spacing w:lineRule="auto" w:line="240" w:before="0" w:after="0"/>
                                  <w:ind w:hanging="0" w:start="0" w:end="0"/>
                                  <w:jc w:val="start"/>
                                  <w:rPr/>
                                </w:pPr>
                                <w:r>
                                  <w:rPr/>
                                </w:r>
                              </w:p>
                            </w:txbxContent>
                          </wps:txbx>
                          <wps:bodyPr lIns="0" tIns="0" rIns="0" bIns="0" anchor="ctr">
                            <a:noAutofit/>
                          </wps:bodyPr>
                        </wps:wsp>
                        <pic:pic xmlns:pic="http://schemas.openxmlformats.org/drawingml/2006/picture">
                          <pic:nvPicPr>
                            <pic:cNvPr id="7" name="Shape 5"/>
                            <pic:cNvPicPr/>
                          </pic:nvPicPr>
                          <pic:blipFill>
                            <a:blip r:embed="rId5"/>
                            <a:stretch/>
                          </pic:blipFill>
                          <pic:spPr>
                            <a:xfrm>
                              <a:off x="0" y="0"/>
                              <a:ext cx="386640" cy="396720"/>
                            </a:xfrm>
                            <a:prstGeom prst="rect">
                              <a:avLst/>
                            </a:prstGeom>
                            <a:noFill/>
                            <a:ln w="0">
                              <a:noFill/>
                            </a:ln>
                          </pic:spPr>
                        </pic:pic>
                        <wps:wsp>
                          <wps:cNvPr id="8" name=""/>
                          <wps:cNvSpPr/>
                          <wps:spPr>
                            <a:xfrm>
                              <a:off x="387360" y="720"/>
                              <a:ext cx="720" cy="5939640"/>
                            </a:xfrm>
                            <a:prstGeom prst="straightConnector1">
                              <a:avLst/>
                            </a:prstGeom>
                            <a:noFill/>
                            <a:ln w="12700">
                              <a:solidFill>
                                <a:srgbClr val="6D6E71"/>
                              </a:solidFill>
                              <a:round/>
                            </a:ln>
                          </wps:spPr>
                          <wps:style>
                            <a:lnRef idx="0"/>
                            <a:fillRef idx="0"/>
                            <a:effectRef idx="0"/>
                            <a:fontRef idx="minor"/>
                          </wps:style>
                          <wps:bodyPr/>
                        </wps:wsp>
                      </wpg:grpSp>
                    </wpg:wgp>
                  </a:graphicData>
                </a:graphic>
              </wp:anchor>
            </w:drawing>
          </mc:Choice>
          <mc:Fallback>
            <w:pict>
              <v:group id="shape_0" alt="Shape1" style="position:absolute;margin-left:14.6pt;margin-top:56.7pt;width:30.55pt;height:467.75pt" coordorigin="292,1134" coordsize="611,9355">
                <v:group id="shape_0" style="position:absolute;left:292;top:1134;width:611;height:9355">
                  <v:rect id="shape_0" stroked="f" o:allowincell="f" style="position:absolute;left:292;top:1135;width:606;height:9349;mso-wrap-style:none;v-text-anchor:middle;mso-position-horizontal-relative:page;mso-position-vertical-relative:page">
                    <v:fill o:detectmouseclick="t" on="false"/>
                    <v:stroke color="#3465a4" joinstyle="round" endcap="flat"/>
                    <v:textbox>
                      <w:txbxContent>
                        <w:p>
                          <w:pPr>
                            <w:pStyle w:val="normal1"/>
                            <w:spacing w:lineRule="auto" w:line="240" w:before="0" w:after="0"/>
                            <w:ind w:hanging="0" w:start="0" w:end="0"/>
                            <w:jc w:val="start"/>
                            <w:rPr/>
                          </w:pPr>
                          <w:r>
                            <w:rPr/>
                          </w:r>
                        </w:p>
                      </w:txbxContent>
                    </v:textbox>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292;top:1134;width:608;height:624;mso-wrap-style:none;v-text-anchor:middle;mso-position-horizontal-relative:page;mso-position-vertical-relative:page" type="_x0000_t75">
                    <v:imagedata r:id="rId6" o:detectmouseclick="t"/>
                    <v:stroke color="#3465a4" joinstyle="round" endcap="flat"/>
                    <w10:wrap type="none"/>
                  </v:shape>
                  <v:shapetype id="_x0000_t32" coordsize="21600,21600" o:spt="32" path="m,l21600,21600nfe">
                    <v:stroke joinstyle="miter"/>
                    <v:path gradientshapeok="t" o:connecttype="rect" textboxrect="0,0,21600,21600"/>
                  </v:shapetype>
                  <v:shape id="shape_0" stroked="t" o:allowincell="f" style="position:absolute;left:902;top:1135;width:0;height:9353;mso-wrap-style:none;v-text-anchor:middle;mso-position-horizontal-relative:page;mso-position-vertical-relative:page" type="_x0000_t32" path="m0,0l-2147483648,-2147483647e">
                    <v:fill o:detectmouseclick="t" on="false"/>
                    <v:stroke color="#6d6e71" weight="12600" joinstyle="round" endcap="flat"/>
                    <w10:wrap type="none"/>
                  </v:shape>
                </v:group>
              </v:group>
            </w:pict>
          </mc:Fallback>
        </mc:AlternateContent>
      </w:r>
    </w:p>
    <w:tbl>
      <w:tblPr>
        <w:tblStyle w:val="Table3"/>
        <w:tblW w:w="14294" w:type="dxa"/>
        <w:jc w:val="start"/>
        <w:tblInd w:w="128" w:type="dxa"/>
        <w:tblLayout w:type="fixed"/>
        <w:tblCellMar>
          <w:top w:w="0" w:type="dxa"/>
          <w:start w:w="108" w:type="dxa"/>
          <w:bottom w:w="0" w:type="dxa"/>
          <w:end w:w="108" w:type="dxa"/>
        </w:tblCellMar>
        <w:tblLook w:val="0000"/>
      </w:tblPr>
      <w:tblGrid>
        <w:gridCol w:w="1798"/>
        <w:gridCol w:w="1029"/>
        <w:gridCol w:w="3472"/>
        <w:gridCol w:w="7995"/>
      </w:tblGrid>
      <w:tr>
        <w:trPr>
          <w:trHeight w:val="281" w:hRule="atLeast"/>
        </w:trPr>
        <w:tc>
          <w:tcPr>
            <w:tcW w:w="1798" w:type="dxa"/>
            <w:vMerge w:val="restart"/>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c>
          <w:tcPr>
            <w:tcW w:w="4501" w:type="dxa"/>
            <w:gridSpan w:val="2"/>
            <w:tcBorders>
              <w:top w:val="single" w:sz="4" w:space="0" w:color="231F20"/>
              <w:start w:val="single" w:sz="4" w:space="0" w:color="231F20"/>
              <w:bottom w:val="single" w:sz="4" w:space="0" w:color="231F20"/>
              <w:end w:val="single" w:sz="4" w:space="0" w:color="231F20"/>
            </w:tcBorders>
            <w:shd w:fill="D3D5D6" w:val="clear"/>
          </w:tcPr>
          <w:p>
            <w:pPr>
              <w:pStyle w:val="normal1"/>
              <w:keepNext w:val="false"/>
              <w:keepLines w:val="false"/>
              <w:widowControl w:val="false"/>
              <w:shd w:val="clear" w:fill="auto"/>
              <w:spacing w:lineRule="auto" w:line="240" w:before="37"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Korelasi CPL terhadap Sub-CPMK</w:t>
            </w:r>
          </w:p>
        </w:tc>
        <w:tc>
          <w:tcPr>
            <w:tcW w:w="7995" w:type="dxa"/>
            <w:tcBorders>
              <w:top w:val="single" w:sz="4" w:space="0" w:color="231F20"/>
              <w:start w:val="single" w:sz="4" w:space="0" w:color="231F20"/>
              <w:bottom w:val="single" w:sz="4" w:space="0" w:color="231F20"/>
              <w:end w:val="single" w:sz="4" w:space="0" w:color="231F20"/>
            </w:tcBorders>
          </w:tcPr>
          <w:p>
            <w:pPr>
              <w:pStyle w:val="normal1"/>
              <w:keepNext w:val="false"/>
              <w:keepLines w:val="false"/>
              <w:widowControl w:val="false"/>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r>
      <w:tr>
        <w:trPr>
          <w:trHeight w:val="1941" w:hRule="atLeast"/>
        </w:trPr>
        <w:tc>
          <w:tcPr>
            <w:tcW w:w="1798" w:type="dxa"/>
            <w:vMerge w:val="continue"/>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c>
          <w:tcPr>
            <w:tcW w:w="12496" w:type="dxa"/>
            <w:gridSpan w:val="3"/>
            <w:tcBorders>
              <w:top w:val="single" w:sz="4" w:space="0" w:color="231F20"/>
              <w:start w:val="single" w:sz="4" w:space="0" w:color="231F20"/>
              <w:bottom w:val="single" w:sz="4" w:space="0" w:color="231F20"/>
              <w:end w:val="single" w:sz="4" w:space="0" w:color="231F20"/>
            </w:tcBorders>
          </w:tcPr>
          <w:p>
            <w:pPr>
              <w:pStyle w:val="normal1"/>
              <w:keepNext w:val="false"/>
              <w:keepLines w:val="false"/>
              <w:widowControl w:val="false"/>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bl>
            <w:tblPr>
              <w:tblStyle w:val="Table2"/>
              <w:tblW w:w="7271" w:type="dxa"/>
              <w:jc w:val="start"/>
              <w:tblInd w:w="10" w:type="dxa"/>
              <w:tblLayout w:type="fixed"/>
              <w:tblCellMar>
                <w:top w:w="0" w:type="dxa"/>
                <w:start w:w="108" w:type="dxa"/>
                <w:bottom w:w="0" w:type="dxa"/>
                <w:end w:w="108" w:type="dxa"/>
              </w:tblCellMar>
              <w:tblLook w:val="0000"/>
            </w:tblPr>
            <w:tblGrid>
              <w:gridCol w:w="1006"/>
              <w:gridCol w:w="872"/>
              <w:gridCol w:w="874"/>
              <w:gridCol w:w="874"/>
              <w:gridCol w:w="828"/>
              <w:gridCol w:w="1567"/>
              <w:gridCol w:w="1250"/>
            </w:tblGrid>
            <w:tr>
              <w:trPr>
                <w:trHeight w:val="271" w:hRule="atLeast"/>
              </w:trPr>
              <w:tc>
                <w:tcPr>
                  <w:tcW w:w="1006" w:type="dxa"/>
                  <w:tcBorders>
                    <w:top w:val="single" w:sz="8" w:space="0" w:color="231F20"/>
                    <w:start w:val="single" w:sz="8" w:space="0" w:color="231F20"/>
                    <w:bottom w:val="single" w:sz="8" w:space="0" w:color="231F20"/>
                    <w:end w:val="single" w:sz="8" w:space="0" w:color="231F20"/>
                  </w:tcBorders>
                </w:tcPr>
                <w:p>
                  <w:pPr>
                    <w:pStyle w:val="normal1"/>
                    <w:spacing w:lineRule="auto" w:line="252" w:before="40" w:after="40"/>
                    <w:jc w:val="center"/>
                    <w:rPr/>
                  </w:pPr>
                  <w:r>
                    <w:rPr>
                      <w:rFonts w:ascii="Calibri" w:hAnsi="Calibri"/>
                      <w:b/>
                      <w:color w:val="000000"/>
                      <w:sz w:val="17"/>
                    </w:rPr>
                    <w:t>Sub-CPMK</w:t>
                  </w:r>
                </w:p>
              </w:tc>
              <w:tc>
                <w:tcPr>
                  <w:tcW w:w="872" w:type="dxa"/>
                  <w:tcBorders>
                    <w:top w:val="single" w:sz="8" w:space="0" w:color="231F20"/>
                    <w:start w:val="single" w:sz="8" w:space="0" w:color="231F20"/>
                    <w:bottom w:val="single" w:sz="8" w:space="0" w:color="231F20"/>
                    <w:end w:val="single" w:sz="8" w:space="0" w:color="231F20"/>
                  </w:tcBorders>
                </w:tcPr>
                <w:p>
                  <w:pPr>
                    <w:pStyle w:val="normal1"/>
                    <w:spacing w:lineRule="auto" w:line="252" w:before="40" w:after="40"/>
                    <w:jc w:val="center"/>
                    <w:rPr/>
                  </w:pPr>
                  <w:r>
                    <w:rPr>
                      <w:rFonts w:ascii="Calibri" w:hAnsi="Calibri"/>
                      <w:b/>
                      <w:color w:val="000000"/>
                      <w:sz w:val="17"/>
                    </w:rPr>
                    <w:t>CPL03</w:t>
                  </w:r>
                </w:p>
              </w:tc>
              <w:tc>
                <w:tcPr>
                  <w:tcW w:w="874" w:type="dxa"/>
                  <w:tcBorders>
                    <w:top w:val="single" w:sz="8" w:space="0" w:color="231F20"/>
                    <w:start w:val="single" w:sz="8" w:space="0" w:color="231F20"/>
                    <w:bottom w:val="single" w:sz="8" w:space="0" w:color="231F20"/>
                    <w:end w:val="single" w:sz="8" w:space="0" w:color="231F20"/>
                  </w:tcBorders>
                </w:tcPr>
                <w:p>
                  <w:pPr>
                    <w:pStyle w:val="normal1"/>
                    <w:spacing w:lineRule="auto" w:line="252" w:before="40" w:after="40"/>
                    <w:jc w:val="center"/>
                    <w:rPr/>
                  </w:pPr>
                  <w:r>
                    <w:rPr>
                      <w:rFonts w:ascii="Calibri" w:hAnsi="Calibri"/>
                      <w:b/>
                      <w:color w:val="000000"/>
                      <w:sz w:val="17"/>
                    </w:rPr>
                    <w:t>CPL04</w:t>
                  </w:r>
                </w:p>
              </w:tc>
              <w:tc>
                <w:tcPr>
                  <w:tcW w:w="874" w:type="dxa"/>
                  <w:tcBorders>
                    <w:top w:val="single" w:sz="8" w:space="0" w:color="231F20"/>
                    <w:start w:val="single" w:sz="8" w:space="0" w:color="231F20"/>
                    <w:bottom w:val="single" w:sz="8" w:space="0" w:color="231F20"/>
                    <w:end w:val="single" w:sz="8" w:space="0" w:color="231F20"/>
                  </w:tcBorders>
                </w:tcPr>
                <w:p>
                  <w:pPr>
                    <w:pStyle w:val="normal1"/>
                    <w:spacing w:lineRule="auto" w:line="252" w:before="40" w:after="40"/>
                    <w:jc w:val="center"/>
                    <w:rPr/>
                  </w:pPr>
                  <w:r>
                    <w:rPr>
                      <w:rFonts w:ascii="Calibri" w:hAnsi="Calibri"/>
                      <w:b/>
                      <w:color w:val="000000"/>
                      <w:sz w:val="17"/>
                    </w:rPr>
                    <w:t>CPL05</w:t>
                  </w:r>
                </w:p>
              </w:tc>
              <w:tc>
                <w:tcPr>
                  <w:tcW w:w="828" w:type="dxa"/>
                  <w:tcBorders>
                    <w:top w:val="single" w:sz="8" w:space="0" w:color="231F20"/>
                    <w:start w:val="single" w:sz="8" w:space="0" w:color="231F20"/>
                    <w:bottom w:val="single" w:sz="8" w:space="0" w:color="231F20"/>
                    <w:end w:val="single" w:sz="8" w:space="0" w:color="231F20"/>
                  </w:tcBorders>
                </w:tcPr>
                <w:p>
                  <w:pPr>
                    <w:pStyle w:val="normal1"/>
                    <w:spacing w:lineRule="auto" w:line="252" w:before="40" w:after="40"/>
                    <w:jc w:val="center"/>
                    <w:rPr/>
                  </w:pPr>
                  <w:r>
                    <w:rPr>
                      <w:rFonts w:ascii="Calibri" w:hAnsi="Calibri"/>
                      <w:b/>
                      <w:color w:val="000000"/>
                      <w:sz w:val="17"/>
                    </w:rPr>
                    <w:t>-</w:t>
                  </w:r>
                </w:p>
              </w:tc>
              <w:tc>
                <w:tcPr>
                  <w:tcW w:w="1567" w:type="dxa"/>
                  <w:tcBorders>
                    <w:top w:val="single" w:sz="8" w:space="0" w:color="231F20"/>
                    <w:start w:val="single" w:sz="8" w:space="0" w:color="231F20"/>
                    <w:bottom w:val="single" w:sz="8" w:space="0" w:color="231F20"/>
                    <w:end w:val="single" w:sz="8" w:space="0" w:color="231F20"/>
                  </w:tcBorders>
                </w:tcPr>
                <w:p>
                  <w:pPr>
                    <w:pStyle w:val="normal1"/>
                    <w:spacing w:lineRule="auto" w:line="252" w:before="40" w:after="40"/>
                    <w:jc w:val="center"/>
                    <w:rPr/>
                  </w:pPr>
                  <w:r>
                    <w:rPr>
                      <w:rFonts w:ascii="Calibri" w:hAnsi="Calibri"/>
                      <w:b/>
                      <w:color w:val="000000"/>
                      <w:sz w:val="17"/>
                    </w:rPr>
                    <w:t>Bobot (%)</w:t>
                  </w:r>
                </w:p>
              </w:tc>
              <w:tc>
                <w:tcPr>
                  <w:tcW w:w="1250" w:type="dxa"/>
                  <w:tcBorders>
                    <w:top w:val="single" w:sz="8" w:space="0" w:color="231F20"/>
                    <w:start w:val="single" w:sz="8" w:space="0" w:color="231F20"/>
                    <w:bottom w:val="single" w:sz="8" w:space="0" w:color="231F20"/>
                    <w:end w:val="single" w:sz="8" w:space="0" w:color="231F20"/>
                  </w:tcBorders>
                </w:tcPr>
                <w:p>
                  <w:pPr>
                    <w:pStyle w:val="normal1"/>
                    <w:spacing w:lineRule="auto" w:line="252" w:before="40" w:after="40"/>
                    <w:jc w:val="center"/>
                    <w:rPr/>
                  </w:pPr>
                  <w:r>
                    <w:rPr>
                      <w:rFonts w:ascii="Calibri" w:hAnsi="Calibri"/>
                      <w:b/>
                      <w:color w:val="000000"/>
                      <w:sz w:val="17"/>
                    </w:rPr>
                    <w:t>Jumlah Minggu</w:t>
                  </w:r>
                </w:p>
              </w:tc>
            </w:tr>
            <w:tr>
              <w:trPr/>
              <w:tc>
                <w:tcPr>
                  <w:tcW w:w="1006" w:type="dxa"/>
                  <w:tcBorders/>
                </w:tcPr>
                <w:p>
                  <w:pPr>
                    <w:pStyle w:val="normal1"/>
                    <w:spacing w:lineRule="auto" w:line="252" w:before="40" w:after="40"/>
                    <w:jc w:val="start"/>
                    <w:rPr/>
                  </w:pPr>
                  <w:r>
                    <w:rPr>
                      <w:rFonts w:ascii="Calibri" w:hAnsi="Calibri"/>
                      <w:b/>
                      <w:color w:val="000000"/>
                      <w:sz w:val="17"/>
                    </w:rPr>
                    <w:t>Sub-CPMK 1</w:t>
                  </w:r>
                </w:p>
              </w:tc>
              <w:tc>
                <w:tcPr>
                  <w:tcW w:w="872" w:type="dxa"/>
                  <w:tcBorders/>
                </w:tcPr>
                <w:p>
                  <w:pPr>
                    <w:pStyle w:val="normal1"/>
                    <w:spacing w:lineRule="auto" w:line="252" w:before="40" w:after="40"/>
                    <w:jc w:val="center"/>
                    <w:rPr/>
                  </w:pPr>
                  <w:r>
                    <w:rPr>
                      <w:rFonts w:ascii="Calibri" w:hAnsi="Calibri"/>
                      <w:b w:val="false"/>
                      <w:color w:val="000000"/>
                      <w:sz w:val="17"/>
                    </w:rPr>
                    <w:t>V</w:t>
                  </w:r>
                </w:p>
              </w:tc>
              <w:tc>
                <w:tcPr>
                  <w:tcW w:w="874"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3%</w:t>
                  </w:r>
                </w:p>
              </w:tc>
              <w:tc>
                <w:tcPr>
                  <w:tcW w:w="1250" w:type="dxa"/>
                  <w:tcBorders/>
                </w:tcPr>
                <w:p>
                  <w:pPr>
                    <w:pStyle w:val="normal1"/>
                    <w:spacing w:lineRule="auto" w:line="252" w:before="40" w:after="40"/>
                    <w:jc w:val="center"/>
                    <w:rPr/>
                  </w:pPr>
                  <w:r>
                    <w:rPr>
                      <w:rFonts w:ascii="Calibri" w:hAnsi="Calibri"/>
                      <w:b w:val="false"/>
                      <w:color w:val="000000"/>
                      <w:sz w:val="17"/>
                    </w:rPr>
                    <w:t>1</w:t>
                  </w:r>
                </w:p>
              </w:tc>
            </w:tr>
            <w:tr>
              <w:trPr/>
              <w:tc>
                <w:tcPr>
                  <w:tcW w:w="1006" w:type="dxa"/>
                  <w:tcBorders/>
                </w:tcPr>
                <w:p>
                  <w:pPr>
                    <w:pStyle w:val="normal1"/>
                    <w:spacing w:lineRule="auto" w:line="252" w:before="40" w:after="40"/>
                    <w:jc w:val="start"/>
                    <w:rPr/>
                  </w:pPr>
                  <w:r>
                    <w:rPr>
                      <w:rFonts w:ascii="Calibri" w:hAnsi="Calibri"/>
                      <w:b/>
                      <w:color w:val="000000"/>
                      <w:sz w:val="17"/>
                    </w:rPr>
                    <w:t>Sub-CPMK 2</w:t>
                  </w:r>
                </w:p>
              </w:tc>
              <w:tc>
                <w:tcPr>
                  <w:tcW w:w="872" w:type="dxa"/>
                  <w:tcBorders/>
                </w:tcPr>
                <w:p>
                  <w:pPr>
                    <w:pStyle w:val="normal1"/>
                    <w:spacing w:lineRule="auto" w:line="252" w:before="40" w:after="40"/>
                    <w:jc w:val="center"/>
                    <w:rPr/>
                  </w:pPr>
                  <w:r>
                    <w:rPr>
                      <w:rFonts w:ascii="Calibri" w:hAnsi="Calibri"/>
                      <w:b w:val="false"/>
                      <w:color w:val="000000"/>
                      <w:sz w:val="17"/>
                    </w:rPr>
                    <w:t>V</w:t>
                  </w:r>
                </w:p>
              </w:tc>
              <w:tc>
                <w:tcPr>
                  <w:tcW w:w="874"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4%</w:t>
                  </w:r>
                </w:p>
              </w:tc>
              <w:tc>
                <w:tcPr>
                  <w:tcW w:w="1250" w:type="dxa"/>
                  <w:tcBorders/>
                </w:tcPr>
                <w:p>
                  <w:pPr>
                    <w:pStyle w:val="normal1"/>
                    <w:spacing w:lineRule="auto" w:line="252" w:before="40" w:after="40"/>
                    <w:jc w:val="center"/>
                    <w:rPr/>
                  </w:pPr>
                  <w:r>
                    <w:rPr>
                      <w:rFonts w:ascii="Calibri" w:hAnsi="Calibri"/>
                      <w:b w:val="false"/>
                      <w:color w:val="000000"/>
                      <w:sz w:val="17"/>
                    </w:rPr>
                    <w:t>1</w:t>
                  </w:r>
                </w:p>
              </w:tc>
            </w:tr>
            <w:tr>
              <w:trPr/>
              <w:tc>
                <w:tcPr>
                  <w:tcW w:w="1006" w:type="dxa"/>
                  <w:tcBorders/>
                </w:tcPr>
                <w:p>
                  <w:pPr>
                    <w:pStyle w:val="normal1"/>
                    <w:spacing w:lineRule="auto" w:line="252" w:before="40" w:after="40"/>
                    <w:jc w:val="start"/>
                    <w:rPr/>
                  </w:pPr>
                  <w:r>
                    <w:rPr>
                      <w:rFonts w:ascii="Calibri" w:hAnsi="Calibri"/>
                      <w:b/>
                      <w:color w:val="000000"/>
                      <w:sz w:val="17"/>
                    </w:rPr>
                    <w:t>Sub-CPMK 3</w:t>
                  </w:r>
                </w:p>
              </w:tc>
              <w:tc>
                <w:tcPr>
                  <w:tcW w:w="872"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Fonts w:ascii="Calibri" w:hAnsi="Calibri"/>
                      <w:b w:val="false"/>
                      <w:color w:val="000000"/>
                      <w:sz w:val="17"/>
                    </w:rPr>
                    <w:t>V</w:t>
                  </w:r>
                </w:p>
              </w:tc>
              <w:tc>
                <w:tcPr>
                  <w:tcW w:w="874" w:type="dxa"/>
                  <w:tcBorders/>
                </w:tcPr>
                <w:p>
                  <w:pPr>
                    <w:pStyle w:val="normal1"/>
                    <w:spacing w:lineRule="auto" w:line="252" w:before="40" w:after="40"/>
                    <w:jc w:val="center"/>
                    <w:rPr/>
                  </w:pPr>
                  <w:r>
                    <w:rPr/>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7%</w:t>
                  </w:r>
                </w:p>
              </w:tc>
              <w:tc>
                <w:tcPr>
                  <w:tcW w:w="1250" w:type="dxa"/>
                  <w:tcBorders/>
                </w:tcPr>
                <w:p>
                  <w:pPr>
                    <w:pStyle w:val="normal1"/>
                    <w:spacing w:lineRule="auto" w:line="252" w:before="40" w:after="40"/>
                    <w:jc w:val="center"/>
                    <w:rPr/>
                  </w:pPr>
                  <w:r>
                    <w:rPr>
                      <w:rFonts w:ascii="Calibri" w:hAnsi="Calibri"/>
                      <w:b w:val="false"/>
                      <w:color w:val="000000"/>
                      <w:sz w:val="17"/>
                    </w:rPr>
                    <w:t>1</w:t>
                  </w:r>
                </w:p>
              </w:tc>
            </w:tr>
            <w:tr>
              <w:trPr/>
              <w:tc>
                <w:tcPr>
                  <w:tcW w:w="1006" w:type="dxa"/>
                  <w:tcBorders/>
                </w:tcPr>
                <w:p>
                  <w:pPr>
                    <w:pStyle w:val="normal1"/>
                    <w:spacing w:lineRule="auto" w:line="252" w:before="40" w:after="40"/>
                    <w:jc w:val="start"/>
                    <w:rPr/>
                  </w:pPr>
                  <w:r>
                    <w:rPr>
                      <w:rFonts w:ascii="Calibri" w:hAnsi="Calibri"/>
                      <w:b/>
                      <w:color w:val="000000"/>
                      <w:sz w:val="17"/>
                    </w:rPr>
                    <w:t>Sub-CPMK 4</w:t>
                  </w:r>
                </w:p>
              </w:tc>
              <w:tc>
                <w:tcPr>
                  <w:tcW w:w="872"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Fonts w:ascii="Calibri" w:hAnsi="Calibri"/>
                      <w:b w:val="false"/>
                      <w:color w:val="000000"/>
                      <w:sz w:val="17"/>
                    </w:rPr>
                    <w:t>V</w:t>
                  </w:r>
                </w:p>
              </w:tc>
              <w:tc>
                <w:tcPr>
                  <w:tcW w:w="874" w:type="dxa"/>
                  <w:tcBorders/>
                </w:tcPr>
                <w:p>
                  <w:pPr>
                    <w:pStyle w:val="normal1"/>
                    <w:spacing w:lineRule="auto" w:line="252" w:before="40" w:after="40"/>
                    <w:jc w:val="center"/>
                    <w:rPr/>
                  </w:pPr>
                  <w:r>
                    <w:rPr/>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6%</w:t>
                  </w:r>
                </w:p>
              </w:tc>
              <w:tc>
                <w:tcPr>
                  <w:tcW w:w="1250" w:type="dxa"/>
                  <w:tcBorders/>
                </w:tcPr>
                <w:p>
                  <w:pPr>
                    <w:pStyle w:val="normal1"/>
                    <w:spacing w:lineRule="auto" w:line="252" w:before="40" w:after="40"/>
                    <w:jc w:val="center"/>
                    <w:rPr/>
                  </w:pPr>
                  <w:r>
                    <w:rPr>
                      <w:rFonts w:ascii="Calibri" w:hAnsi="Calibri"/>
                      <w:b w:val="false"/>
                      <w:color w:val="000000"/>
                      <w:sz w:val="17"/>
                    </w:rPr>
                    <w:t>1</w:t>
                  </w:r>
                </w:p>
              </w:tc>
            </w:tr>
            <w:tr>
              <w:trPr/>
              <w:tc>
                <w:tcPr>
                  <w:tcW w:w="1006" w:type="dxa"/>
                  <w:tcBorders/>
                </w:tcPr>
                <w:p>
                  <w:pPr>
                    <w:pStyle w:val="normal1"/>
                    <w:spacing w:lineRule="auto" w:line="252" w:before="40" w:after="40"/>
                    <w:jc w:val="start"/>
                    <w:rPr/>
                  </w:pPr>
                  <w:r>
                    <w:rPr>
                      <w:rFonts w:ascii="Calibri" w:hAnsi="Calibri"/>
                      <w:b/>
                      <w:color w:val="000000"/>
                      <w:sz w:val="17"/>
                    </w:rPr>
                    <w:t>Sub-CPMK 5</w:t>
                  </w:r>
                </w:p>
              </w:tc>
              <w:tc>
                <w:tcPr>
                  <w:tcW w:w="872"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Fonts w:ascii="Calibri" w:hAnsi="Calibri"/>
                      <w:b w:val="false"/>
                      <w:color w:val="000000"/>
                      <w:sz w:val="17"/>
                    </w:rPr>
                    <w:t>V</w:t>
                  </w:r>
                </w:p>
              </w:tc>
              <w:tc>
                <w:tcPr>
                  <w:tcW w:w="874" w:type="dxa"/>
                  <w:tcBorders/>
                </w:tcPr>
                <w:p>
                  <w:pPr>
                    <w:pStyle w:val="normal1"/>
                    <w:spacing w:lineRule="auto" w:line="252" w:before="40" w:after="40"/>
                    <w:jc w:val="center"/>
                    <w:rPr/>
                  </w:pPr>
                  <w:r>
                    <w:rPr/>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5%</w:t>
                  </w:r>
                </w:p>
              </w:tc>
              <w:tc>
                <w:tcPr>
                  <w:tcW w:w="1250" w:type="dxa"/>
                  <w:tcBorders/>
                </w:tcPr>
                <w:p>
                  <w:pPr>
                    <w:pStyle w:val="normal1"/>
                    <w:spacing w:lineRule="auto" w:line="252" w:before="40" w:after="40"/>
                    <w:jc w:val="center"/>
                    <w:rPr/>
                  </w:pPr>
                  <w:r>
                    <w:rPr>
                      <w:rFonts w:ascii="Calibri" w:hAnsi="Calibri"/>
                      <w:b w:val="false"/>
                      <w:color w:val="000000"/>
                      <w:sz w:val="17"/>
                    </w:rPr>
                    <w:t>1</w:t>
                  </w:r>
                </w:p>
              </w:tc>
            </w:tr>
            <w:tr>
              <w:trPr/>
              <w:tc>
                <w:tcPr>
                  <w:tcW w:w="1006" w:type="dxa"/>
                  <w:tcBorders/>
                </w:tcPr>
                <w:p>
                  <w:pPr>
                    <w:pStyle w:val="normal1"/>
                    <w:spacing w:lineRule="auto" w:line="252" w:before="40" w:after="40"/>
                    <w:jc w:val="start"/>
                    <w:rPr/>
                  </w:pPr>
                  <w:r>
                    <w:rPr>
                      <w:rFonts w:ascii="Calibri" w:hAnsi="Calibri"/>
                      <w:b/>
                      <w:color w:val="000000"/>
                      <w:sz w:val="17"/>
                    </w:rPr>
                    <w:t>Sub-CPMK 6</w:t>
                  </w:r>
                </w:p>
              </w:tc>
              <w:tc>
                <w:tcPr>
                  <w:tcW w:w="872"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Fonts w:ascii="Calibri" w:hAnsi="Calibri"/>
                      <w:b w:val="false"/>
                      <w:color w:val="000000"/>
                      <w:sz w:val="17"/>
                    </w:rPr>
                    <w:t>V</w:t>
                  </w:r>
                </w:p>
              </w:tc>
              <w:tc>
                <w:tcPr>
                  <w:tcW w:w="874" w:type="dxa"/>
                  <w:tcBorders/>
                </w:tcPr>
                <w:p>
                  <w:pPr>
                    <w:pStyle w:val="normal1"/>
                    <w:spacing w:lineRule="auto" w:line="252" w:before="40" w:after="40"/>
                    <w:jc w:val="center"/>
                    <w:rPr/>
                  </w:pPr>
                  <w:r>
                    <w:rPr/>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5%</w:t>
                  </w:r>
                </w:p>
              </w:tc>
              <w:tc>
                <w:tcPr>
                  <w:tcW w:w="1250" w:type="dxa"/>
                  <w:tcBorders/>
                </w:tcPr>
                <w:p>
                  <w:pPr>
                    <w:pStyle w:val="normal1"/>
                    <w:spacing w:lineRule="auto" w:line="252" w:before="40" w:after="40"/>
                    <w:jc w:val="center"/>
                    <w:rPr/>
                  </w:pPr>
                  <w:r>
                    <w:rPr>
                      <w:rFonts w:ascii="Calibri" w:hAnsi="Calibri"/>
                      <w:b w:val="false"/>
                      <w:color w:val="000000"/>
                      <w:sz w:val="17"/>
                    </w:rPr>
                    <w:t>1</w:t>
                  </w:r>
                </w:p>
              </w:tc>
            </w:tr>
            <w:tr>
              <w:trPr/>
              <w:tc>
                <w:tcPr>
                  <w:tcW w:w="1006" w:type="dxa"/>
                  <w:tcBorders/>
                </w:tcPr>
                <w:p>
                  <w:pPr>
                    <w:pStyle w:val="normal1"/>
                    <w:spacing w:lineRule="auto" w:line="252" w:before="40" w:after="40"/>
                    <w:jc w:val="start"/>
                    <w:rPr/>
                  </w:pPr>
                  <w:r>
                    <w:rPr>
                      <w:rFonts w:ascii="Calibri" w:hAnsi="Calibri"/>
                      <w:b/>
                      <w:color w:val="000000"/>
                      <w:sz w:val="17"/>
                    </w:rPr>
                    <w:t>Sub-CPMK 7</w:t>
                  </w:r>
                </w:p>
              </w:tc>
              <w:tc>
                <w:tcPr>
                  <w:tcW w:w="872"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Fonts w:ascii="Calibri" w:hAnsi="Calibri"/>
                      <w:b w:val="false"/>
                      <w:color w:val="000000"/>
                      <w:sz w:val="17"/>
                    </w:rPr>
                    <w:t>V</w:t>
                  </w:r>
                </w:p>
              </w:tc>
              <w:tc>
                <w:tcPr>
                  <w:tcW w:w="874" w:type="dxa"/>
                  <w:tcBorders/>
                </w:tcPr>
                <w:p>
                  <w:pPr>
                    <w:pStyle w:val="normal1"/>
                    <w:spacing w:lineRule="auto" w:line="252" w:before="40" w:after="40"/>
                    <w:jc w:val="center"/>
                    <w:rPr/>
                  </w:pPr>
                  <w:r>
                    <w:rPr/>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5%</w:t>
                  </w:r>
                </w:p>
              </w:tc>
              <w:tc>
                <w:tcPr>
                  <w:tcW w:w="1250" w:type="dxa"/>
                  <w:tcBorders/>
                </w:tcPr>
                <w:p>
                  <w:pPr>
                    <w:pStyle w:val="normal1"/>
                    <w:spacing w:lineRule="auto" w:line="252" w:before="40" w:after="40"/>
                    <w:jc w:val="center"/>
                    <w:rPr/>
                  </w:pPr>
                  <w:r>
                    <w:rPr>
                      <w:rFonts w:ascii="Calibri" w:hAnsi="Calibri"/>
                      <w:b w:val="false"/>
                      <w:color w:val="000000"/>
                      <w:sz w:val="17"/>
                    </w:rPr>
                    <w:t>1</w:t>
                  </w:r>
                </w:p>
              </w:tc>
            </w:tr>
            <w:tr>
              <w:trPr/>
              <w:tc>
                <w:tcPr>
                  <w:tcW w:w="1006" w:type="dxa"/>
                  <w:tcBorders/>
                </w:tcPr>
                <w:p>
                  <w:pPr>
                    <w:pStyle w:val="normal1"/>
                    <w:spacing w:lineRule="auto" w:line="252" w:before="40" w:after="40"/>
                    <w:jc w:val="start"/>
                    <w:rPr/>
                  </w:pPr>
                  <w:r>
                    <w:rPr>
                      <w:rFonts w:ascii="Calibri" w:hAnsi="Calibri"/>
                      <w:b/>
                      <w:color w:val="000000"/>
                      <w:sz w:val="17"/>
                    </w:rPr>
                    <w:t>Sub-CPMK 8</w:t>
                  </w:r>
                </w:p>
              </w:tc>
              <w:tc>
                <w:tcPr>
                  <w:tcW w:w="872"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Fonts w:ascii="Calibri" w:hAnsi="Calibri"/>
                      <w:b w:val="false"/>
                      <w:color w:val="000000"/>
                      <w:sz w:val="17"/>
                    </w:rPr>
                    <w:t>V</w:t>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5%</w:t>
                  </w:r>
                </w:p>
              </w:tc>
              <w:tc>
                <w:tcPr>
                  <w:tcW w:w="1250" w:type="dxa"/>
                  <w:tcBorders/>
                </w:tcPr>
                <w:p>
                  <w:pPr>
                    <w:pStyle w:val="normal1"/>
                    <w:spacing w:lineRule="auto" w:line="252" w:before="40" w:after="40"/>
                    <w:jc w:val="center"/>
                    <w:rPr/>
                  </w:pPr>
                  <w:r>
                    <w:rPr>
                      <w:rFonts w:ascii="Calibri" w:hAnsi="Calibri"/>
                      <w:b w:val="false"/>
                      <w:color w:val="000000"/>
                      <w:sz w:val="17"/>
                    </w:rPr>
                    <w:t>1</w:t>
                  </w:r>
                </w:p>
              </w:tc>
            </w:tr>
            <w:tr>
              <w:trPr/>
              <w:tc>
                <w:tcPr>
                  <w:tcW w:w="1006" w:type="dxa"/>
                  <w:tcBorders/>
                </w:tcPr>
                <w:p>
                  <w:pPr>
                    <w:pStyle w:val="normal1"/>
                    <w:spacing w:lineRule="auto" w:line="252" w:before="40" w:after="40"/>
                    <w:jc w:val="start"/>
                    <w:rPr/>
                  </w:pPr>
                  <w:r>
                    <w:rPr>
                      <w:rFonts w:ascii="Calibri" w:hAnsi="Calibri"/>
                      <w:b/>
                      <w:color w:val="000000"/>
                      <w:sz w:val="17"/>
                    </w:rPr>
                    <w:t>Sub-CPMK 9</w:t>
                  </w:r>
                </w:p>
              </w:tc>
              <w:tc>
                <w:tcPr>
                  <w:tcW w:w="872"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Fonts w:ascii="Calibri" w:hAnsi="Calibri"/>
                      <w:b w:val="false"/>
                      <w:color w:val="000000"/>
                      <w:sz w:val="17"/>
                    </w:rPr>
                    <w:t>V</w:t>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10%</w:t>
                  </w:r>
                </w:p>
              </w:tc>
              <w:tc>
                <w:tcPr>
                  <w:tcW w:w="1250" w:type="dxa"/>
                  <w:tcBorders/>
                </w:tcPr>
                <w:p>
                  <w:pPr>
                    <w:pStyle w:val="normal1"/>
                    <w:spacing w:lineRule="auto" w:line="252" w:before="40" w:after="40"/>
                    <w:jc w:val="center"/>
                    <w:rPr/>
                  </w:pPr>
                  <w:r>
                    <w:rPr>
                      <w:rFonts w:ascii="Calibri" w:hAnsi="Calibri"/>
                      <w:b w:val="false"/>
                      <w:color w:val="000000"/>
                      <w:sz w:val="17"/>
                    </w:rPr>
                    <w:t>2</w:t>
                  </w:r>
                </w:p>
              </w:tc>
            </w:tr>
            <w:tr>
              <w:trPr/>
              <w:tc>
                <w:tcPr>
                  <w:tcW w:w="1006" w:type="dxa"/>
                  <w:tcBorders/>
                </w:tcPr>
                <w:p>
                  <w:pPr>
                    <w:pStyle w:val="normal1"/>
                    <w:spacing w:lineRule="auto" w:line="252" w:before="40" w:after="40"/>
                    <w:jc w:val="start"/>
                    <w:rPr/>
                  </w:pPr>
                  <w:r>
                    <w:rPr>
                      <w:rFonts w:ascii="Calibri" w:hAnsi="Calibri"/>
                      <w:b/>
                      <w:color w:val="000000"/>
                      <w:sz w:val="17"/>
                    </w:rPr>
                    <w:t>Sub-CPMK 10</w:t>
                  </w:r>
                </w:p>
              </w:tc>
              <w:tc>
                <w:tcPr>
                  <w:tcW w:w="872"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Fonts w:ascii="Calibri" w:hAnsi="Calibri"/>
                      <w:b w:val="false"/>
                      <w:color w:val="000000"/>
                      <w:sz w:val="17"/>
                    </w:rPr>
                    <w:t>V</w:t>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8%</w:t>
                  </w:r>
                </w:p>
              </w:tc>
              <w:tc>
                <w:tcPr>
                  <w:tcW w:w="1250" w:type="dxa"/>
                  <w:tcBorders/>
                </w:tcPr>
                <w:p>
                  <w:pPr>
                    <w:pStyle w:val="normal1"/>
                    <w:spacing w:lineRule="auto" w:line="252" w:before="40" w:after="40"/>
                    <w:jc w:val="center"/>
                    <w:rPr/>
                  </w:pPr>
                  <w:r>
                    <w:rPr>
                      <w:rFonts w:ascii="Calibri" w:hAnsi="Calibri"/>
                      <w:b w:val="false"/>
                      <w:color w:val="000000"/>
                      <w:sz w:val="17"/>
                    </w:rPr>
                    <w:t>2</w:t>
                  </w:r>
                </w:p>
              </w:tc>
            </w:tr>
            <w:tr>
              <w:trPr/>
              <w:tc>
                <w:tcPr>
                  <w:tcW w:w="1006" w:type="dxa"/>
                  <w:tcBorders/>
                </w:tcPr>
                <w:p>
                  <w:pPr>
                    <w:pStyle w:val="normal1"/>
                    <w:spacing w:lineRule="auto" w:line="252" w:before="40" w:after="40"/>
                    <w:jc w:val="start"/>
                    <w:rPr/>
                  </w:pPr>
                  <w:r>
                    <w:rPr>
                      <w:rFonts w:ascii="Calibri" w:hAnsi="Calibri"/>
                      <w:b/>
                      <w:color w:val="000000"/>
                      <w:sz w:val="17"/>
                    </w:rPr>
                    <w:t>Sub-CPMK 11</w:t>
                  </w:r>
                </w:p>
              </w:tc>
              <w:tc>
                <w:tcPr>
                  <w:tcW w:w="872"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
                </w:p>
              </w:tc>
              <w:tc>
                <w:tcPr>
                  <w:tcW w:w="874" w:type="dxa"/>
                  <w:tcBorders/>
                </w:tcPr>
                <w:p>
                  <w:pPr>
                    <w:pStyle w:val="normal1"/>
                    <w:spacing w:lineRule="auto" w:line="252" w:before="40" w:after="40"/>
                    <w:jc w:val="center"/>
                    <w:rPr/>
                  </w:pPr>
                  <w:r>
                    <w:rPr>
                      <w:rFonts w:ascii="Calibri" w:hAnsi="Calibri"/>
                      <w:b w:val="false"/>
                      <w:color w:val="000000"/>
                      <w:sz w:val="17"/>
                    </w:rPr>
                    <w:t>V</w:t>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12%</w:t>
                  </w:r>
                </w:p>
              </w:tc>
              <w:tc>
                <w:tcPr>
                  <w:tcW w:w="1250" w:type="dxa"/>
                  <w:tcBorders/>
                </w:tcPr>
                <w:p>
                  <w:pPr>
                    <w:pStyle w:val="normal1"/>
                    <w:spacing w:lineRule="auto" w:line="252" w:before="40" w:after="40"/>
                    <w:jc w:val="center"/>
                    <w:rPr/>
                  </w:pPr>
                  <w:r>
                    <w:rPr>
                      <w:rFonts w:ascii="Calibri" w:hAnsi="Calibri"/>
                      <w:b w:val="false"/>
                      <w:color w:val="000000"/>
                      <w:sz w:val="17"/>
                    </w:rPr>
                    <w:t>2</w:t>
                  </w:r>
                </w:p>
              </w:tc>
            </w:tr>
            <w:tr>
              <w:trPr/>
              <w:tc>
                <w:tcPr>
                  <w:tcW w:w="1006" w:type="dxa"/>
                  <w:tcBorders/>
                </w:tcPr>
                <w:p>
                  <w:pPr>
                    <w:pStyle w:val="normal1"/>
                    <w:spacing w:lineRule="auto" w:line="252" w:before="40" w:after="40"/>
                    <w:jc w:val="start"/>
                    <w:rPr/>
                  </w:pPr>
                  <w:r>
                    <w:rPr>
                      <w:rFonts w:ascii="Calibri" w:hAnsi="Calibri"/>
                      <w:b/>
                      <w:color w:val="000000"/>
                      <w:sz w:val="17"/>
                    </w:rPr>
                    <w:t>Sub-CPMK 12 (UTS &amp; UAS)</w:t>
                  </w:r>
                </w:p>
              </w:tc>
              <w:tc>
                <w:tcPr>
                  <w:tcW w:w="872" w:type="dxa"/>
                  <w:tcBorders/>
                </w:tcPr>
                <w:p>
                  <w:pPr>
                    <w:pStyle w:val="normal1"/>
                    <w:spacing w:lineRule="auto" w:line="252" w:before="40" w:after="40"/>
                    <w:jc w:val="center"/>
                    <w:rPr/>
                  </w:pPr>
                  <w:r>
                    <w:rPr>
                      <w:rFonts w:ascii="Calibri" w:hAnsi="Calibri"/>
                      <w:b w:val="false"/>
                      <w:color w:val="000000"/>
                      <w:sz w:val="17"/>
                    </w:rPr>
                    <w:t>V</w:t>
                  </w:r>
                </w:p>
              </w:tc>
              <w:tc>
                <w:tcPr>
                  <w:tcW w:w="874" w:type="dxa"/>
                  <w:tcBorders/>
                </w:tcPr>
                <w:p>
                  <w:pPr>
                    <w:pStyle w:val="normal1"/>
                    <w:spacing w:lineRule="auto" w:line="252" w:before="40" w:after="40"/>
                    <w:jc w:val="center"/>
                    <w:rPr/>
                  </w:pPr>
                  <w:r>
                    <w:rPr>
                      <w:rFonts w:ascii="Calibri" w:hAnsi="Calibri"/>
                      <w:b w:val="false"/>
                      <w:color w:val="000000"/>
                      <w:sz w:val="17"/>
                    </w:rPr>
                    <w:t>V</w:t>
                  </w:r>
                </w:p>
              </w:tc>
              <w:tc>
                <w:tcPr>
                  <w:tcW w:w="874" w:type="dxa"/>
                  <w:tcBorders/>
                </w:tcPr>
                <w:p>
                  <w:pPr>
                    <w:pStyle w:val="normal1"/>
                    <w:spacing w:lineRule="auto" w:line="252" w:before="40" w:after="40"/>
                    <w:jc w:val="center"/>
                    <w:rPr/>
                  </w:pPr>
                  <w:r>
                    <w:rPr>
                      <w:rFonts w:ascii="Calibri" w:hAnsi="Calibri"/>
                      <w:b w:val="false"/>
                      <w:color w:val="000000"/>
                      <w:sz w:val="17"/>
                    </w:rPr>
                    <w:t>V</w:t>
                  </w:r>
                </w:p>
              </w:tc>
              <w:tc>
                <w:tcPr>
                  <w:tcW w:w="828" w:type="dxa"/>
                  <w:tcBorders/>
                </w:tcPr>
                <w:p>
                  <w:pPr>
                    <w:pStyle w:val="normal1"/>
                    <w:spacing w:lineRule="auto" w:line="252" w:before="40" w:after="40"/>
                    <w:jc w:val="center"/>
                    <w:rPr/>
                  </w:pPr>
                  <w:r>
                    <w:rPr/>
                  </w:r>
                </w:p>
              </w:tc>
              <w:tc>
                <w:tcPr>
                  <w:tcW w:w="1567" w:type="dxa"/>
                  <w:tcBorders/>
                </w:tcPr>
                <w:p>
                  <w:pPr>
                    <w:pStyle w:val="normal1"/>
                    <w:spacing w:lineRule="auto" w:line="252" w:before="40" w:after="40"/>
                    <w:jc w:val="center"/>
                    <w:rPr/>
                  </w:pPr>
                  <w:r>
                    <w:rPr>
                      <w:rFonts w:ascii="Calibri" w:hAnsi="Calibri"/>
                      <w:b w:val="false"/>
                      <w:color w:val="000000"/>
                      <w:sz w:val="17"/>
                    </w:rPr>
                    <w:t>30%</w:t>
                  </w:r>
                </w:p>
              </w:tc>
              <w:tc>
                <w:tcPr>
                  <w:tcW w:w="1250" w:type="dxa"/>
                  <w:tcBorders/>
                </w:tcPr>
                <w:p>
                  <w:pPr>
                    <w:pStyle w:val="normal1"/>
                    <w:spacing w:lineRule="auto" w:line="252" w:before="40" w:after="40"/>
                    <w:jc w:val="center"/>
                    <w:rPr/>
                  </w:pPr>
                  <w:r>
                    <w:rPr>
                      <w:rFonts w:ascii="Calibri" w:hAnsi="Calibri"/>
                      <w:b w:val="false"/>
                      <w:color w:val="000000"/>
                      <w:sz w:val="17"/>
                    </w:rPr>
                    <w:t>2</w:t>
                  </w:r>
                </w:p>
              </w:tc>
            </w:tr>
            <w:tr>
              <w:trPr/>
              <w:tc>
                <w:tcPr>
                  <w:tcW w:w="1006" w:type="dxa"/>
                  <w:tcBorders/>
                  <w:shd w:fill="E8EEF5" w:val="clear"/>
                </w:tcPr>
                <w:p>
                  <w:pPr>
                    <w:pStyle w:val="normal1"/>
                    <w:spacing w:lineRule="auto" w:line="252" w:before="40" w:after="40"/>
                    <w:jc w:val="start"/>
                    <w:rPr/>
                  </w:pPr>
                  <w:r>
                    <w:rPr>
                      <w:rFonts w:ascii="Calibri" w:hAnsi="Calibri"/>
                      <w:b/>
                      <w:color w:val="000000"/>
                      <w:sz w:val="17"/>
                    </w:rPr>
                    <w:t>Total Bobot &amp; Alokasi Minggu</w:t>
                  </w:r>
                </w:p>
              </w:tc>
              <w:tc>
                <w:tcPr>
                  <w:tcW w:w="872" w:type="dxa"/>
                  <w:tcBorders/>
                </w:tcPr>
                <w:p>
                  <w:pPr>
                    <w:pStyle w:val="normal1"/>
                    <w:rPr/>
                  </w:pPr>
                  <w:r>
                    <w:rPr/>
                  </w:r>
                </w:p>
              </w:tc>
              <w:tc>
                <w:tcPr>
                  <w:tcW w:w="874" w:type="dxa"/>
                  <w:tcBorders/>
                </w:tcPr>
                <w:p>
                  <w:pPr>
                    <w:pStyle w:val="normal1"/>
                    <w:rPr/>
                  </w:pPr>
                  <w:r>
                    <w:rPr/>
                  </w:r>
                </w:p>
              </w:tc>
              <w:tc>
                <w:tcPr>
                  <w:tcW w:w="874" w:type="dxa"/>
                  <w:tcBorders/>
                </w:tcPr>
                <w:p>
                  <w:pPr>
                    <w:pStyle w:val="normal1"/>
                    <w:rPr/>
                  </w:pPr>
                  <w:r>
                    <w:rPr/>
                  </w:r>
                </w:p>
              </w:tc>
              <w:tc>
                <w:tcPr>
                  <w:tcW w:w="828" w:type="dxa"/>
                  <w:tcBorders/>
                </w:tcPr>
                <w:p>
                  <w:pPr>
                    <w:pStyle w:val="normal1"/>
                    <w:rPr/>
                  </w:pPr>
                  <w:r>
                    <w:rPr/>
                  </w:r>
                </w:p>
              </w:tc>
              <w:tc>
                <w:tcPr>
                  <w:tcW w:w="1567" w:type="dxa"/>
                  <w:tcBorders/>
                  <w:shd w:fill="E8EEF5" w:val="clear"/>
                </w:tcPr>
                <w:p>
                  <w:pPr>
                    <w:pStyle w:val="normal1"/>
                    <w:spacing w:lineRule="auto" w:line="252" w:before="40" w:after="40"/>
                    <w:jc w:val="center"/>
                    <w:rPr/>
                  </w:pPr>
                  <w:r>
                    <w:rPr>
                      <w:rFonts w:ascii="Calibri" w:hAnsi="Calibri"/>
                      <w:b/>
                      <w:color w:val="000000"/>
                      <w:sz w:val="17"/>
                    </w:rPr>
                    <w:t>100%</w:t>
                  </w:r>
                </w:p>
              </w:tc>
              <w:tc>
                <w:tcPr>
                  <w:tcW w:w="1250" w:type="dxa"/>
                  <w:tcBorders/>
                  <w:shd w:fill="E8EEF5" w:val="clear"/>
                </w:tcPr>
                <w:p>
                  <w:pPr>
                    <w:pStyle w:val="normal1"/>
                    <w:spacing w:lineRule="auto" w:line="252" w:before="40" w:after="40"/>
                    <w:jc w:val="center"/>
                    <w:rPr/>
                  </w:pPr>
                  <w:r>
                    <w:rPr>
                      <w:rFonts w:ascii="Calibri" w:hAnsi="Calibri"/>
                      <w:b/>
                      <w:color w:val="000000"/>
                      <w:sz w:val="17"/>
                    </w:rPr>
                    <w:t>16 Minggu</w:t>
                  </w:r>
                </w:p>
              </w:tc>
            </w:tr>
          </w:tbl>
          <w:p>
            <w:pPr>
              <w:pStyle w:val="Normal"/>
              <w:widowControl w:val="false"/>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r>
      <w:tr>
        <w:trPr>
          <w:trHeight w:val="710" w:hRule="atLeast"/>
        </w:trPr>
        <w:tc>
          <w:tcPr>
            <w:tcW w:w="1798" w:type="dxa"/>
            <w:tcBorders>
              <w:top w:val="single" w:sz="4" w:space="0" w:color="231F20"/>
              <w:start w:val="single" w:sz="4" w:space="0" w:color="231F20"/>
              <w:bottom w:val="single" w:sz="4" w:space="0" w:color="231F20"/>
              <w:end w:val="single" w:sz="4" w:space="0" w:color="231F20"/>
            </w:tcBorders>
          </w:tcPr>
          <w:p>
            <w:pPr>
              <w:pStyle w:val="normal1"/>
              <w:keepNext w:val="false"/>
              <w:keepLines w:val="false"/>
              <w:widowControl w:val="false"/>
              <w:shd w:val="clear" w:fill="auto"/>
              <w:spacing w:lineRule="auto" w:line="240" w:before="37"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Deskripsi Singkat MK</w:t>
            </w:r>
          </w:p>
        </w:tc>
        <w:tc>
          <w:tcPr>
            <w:tcW w:w="12496" w:type="dxa"/>
            <w:gridSpan w:val="3"/>
            <w:tcBorders>
              <w:top w:val="single" w:sz="4" w:space="0" w:color="231F20"/>
              <w:start w:val="single" w:sz="4" w:space="0" w:color="231F20"/>
              <w:bottom w:val="single" w:sz="6" w:space="0" w:color="231F20"/>
              <w:end w:val="single" w:sz="4" w:space="0" w:color="231F20"/>
            </w:tcBorders>
          </w:tcPr>
          <w:p>
            <w:pPr>
              <w:pStyle w:val="normal1"/>
              <w:spacing w:lineRule="auto" w:line="252" w:before="40" w:after="40"/>
              <w:jc w:val="start"/>
              <w:rPr/>
            </w:pPr>
            <w:r>
              <w:rPr>
                <w:rFonts w:ascii="Calibri" w:hAnsi="Calibri"/>
                <w:b w:val="false"/>
                <w:color w:val="000000"/>
                <w:sz w:val="18"/>
              </w:rPr>
              <w:t>Mata kuliah Analisa Data Multivariat (IF6802) merupakan mata kuliah keahlian peminatan Sains Data dan Kecerdasan Komputasional yang membekali mahasiswa S1 Informatika dengan landasan teori dan keterampilan komputasi dalam menganalisis kumpulan data kompleks berdimensi tinggi (multi-variabel). Mahasiswa diajarkan untuk memahami dan menerapkan teknik reduksi dimensi (Principal Component Analysis dan Factor Analysis), pemodelan dependensi multivariat (Regresi Berganda, Regresi Logistik, dan MANOVA), serta metode klasifikasi dan segmentasi (Analisis Diskriminan, Cluster Analysis, Multidimensional Scaling, dan Analisis Korespondensi). Perkuliahan mengintegrasikan pendekatan analitis berbasis matriks dengan pemrograman praktis menggunakan Python (NumPy, SciPy, Pandas, Scikit-learn, Statsmodels) dan R, serta diakhiri dengan pengerjaan Proyek Analitik Data Multivariat Dunia Nyata.</w:t>
            </w:r>
          </w:p>
        </w:tc>
      </w:tr>
      <w:tr>
        <w:trPr>
          <w:trHeight w:val="2004" w:hRule="atLeast"/>
        </w:trPr>
        <w:tc>
          <w:tcPr>
            <w:tcW w:w="1798" w:type="dxa"/>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shd w:val="clear" w:fill="auto"/>
              <w:spacing w:lineRule="auto" w:line="240" w:before="34" w:after="0"/>
              <w:ind w:hanging="0" w:start="77"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Bahan Kajian:</w:t>
            </w:r>
          </w:p>
          <w:p>
            <w:pPr>
              <w:pStyle w:val="normal1"/>
              <w:keepNext w:val="false"/>
              <w:keepLines w:val="false"/>
              <w:widowControl w:val="false"/>
              <w:shd w:val="clear" w:fill="auto"/>
              <w:spacing w:lineRule="auto" w:line="240" w:before="9" w:after="0"/>
              <w:ind w:hanging="0" w:start="77" w:end="0"/>
              <w:jc w:val="start"/>
              <w:rPr>
                <w:rFonts w:ascii="Arial" w:hAnsi="Arial" w:eastAsia="Arial" w:cs="Arial"/>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val="false"/>
                <w:bCs w:val="false"/>
                <w:i w:val="false"/>
                <w:iCs w:val="false"/>
                <w:caps w:val="false"/>
                <w:smallCaps w:val="false"/>
                <w:strike w:val="false"/>
                <w:dstrike w:val="false"/>
                <w:color w:val="231F20"/>
                <w:position w:val="0"/>
                <w:sz w:val="18"/>
                <w:szCs w:val="18"/>
                <w:u w:val="none"/>
                <w:shd w:fill="auto" w:val="clear"/>
                <w:vertAlign w:val="baseline"/>
              </w:rPr>
              <w:t>Materi pembelajaran</w:t>
            </w:r>
          </w:p>
        </w:tc>
        <w:tc>
          <w:tcPr>
            <w:tcW w:w="12496" w:type="dxa"/>
            <w:gridSpan w:val="3"/>
            <w:tcBorders>
              <w:top w:val="single" w:sz="6" w:space="0" w:color="231F20"/>
              <w:start w:val="single" w:sz="4" w:space="0" w:color="231F20"/>
              <w:bottom w:val="single" w:sz="6" w:space="0" w:color="231F20"/>
              <w:end w:val="single" w:sz="4" w:space="0" w:color="231F20"/>
            </w:tcBorders>
          </w:tcPr>
          <w:p>
            <w:pPr>
              <w:pStyle w:val="normal1"/>
              <w:spacing w:lineRule="auto" w:line="252" w:before="40" w:after="40"/>
              <w:jc w:val="start"/>
              <w:rPr/>
            </w:pPr>
            <w:r>
              <w:rPr>
                <w:rFonts w:ascii="Calibri" w:hAnsi="Calibri"/>
                <w:b w:val="false"/>
                <w:color w:val="000000"/>
                <w:sz w:val="18"/>
              </w:rPr>
              <w:t>1. Pengantar Analisa Multivariat, Vektor Mean, Matriks Kovarians &amp; Korelasi</w:t>
              <w:br/>
              <w:t>2. Uji Asumsi Normalitas Multivariat &amp; Deteksi Outlier (Mahalanobis Distance)</w:t>
              <w:br/>
              <w:t>3. Principal Component Analysis (PCA): Ekstraksi Eigen, Scree Plot, &amp; Biplot</w:t>
              <w:br/>
              <w:t>4. Exploratory Factor Analysis (EFA): Ekstraksi Faktor, Rotasi (Varimax/Promax), &amp; Skor Faktor</w:t>
              <w:br/>
              <w:t>5. Regresi Linier Berganda Multivariat &amp; Diagnosa Asumsi Klasik</w:t>
              <w:br/>
              <w:t>6. Regresi Logistik Multivariat (Binary &amp; Multinomial Logistic Regression)</w:t>
              <w:br/>
              <w:t>7. Uji Vektor Rata-rata Hotelling's T² &amp; MANOVA (One-way dan Two-way)</w:t>
              <w:br/>
              <w:t>8. Linear &amp; Quadratic Discriminant Analysis (LDA &amp; QDA)</w:t>
              <w:br/>
              <w:t>9. Analisis Klaster Hierarkis (Agglomerative) &amp; Klaster Non-Hierarkis (K-Means Clustering)</w:t>
              <w:br/>
              <w:t>10. Evaluasi Validitas Klaster (Elbow Method, Silhouette Analysis, Davies-Bouldin)</w:t>
              <w:br/>
              <w:t>11. Multidimensional Scaling (MDS) Metrik &amp; Non-Metrik</w:t>
              <w:br/>
              <w:t>12. Simple &amp; Multiple Correspondence Analysis (CA &amp; MCA)</w:t>
              <w:br/>
              <w:t>13. Proyek Analitik Sains Data Multivariat Berbasis Industri Menggunakan Python/R</w:t>
            </w:r>
          </w:p>
        </w:tc>
      </w:tr>
      <w:tr>
        <w:trPr>
          <w:trHeight w:val="278" w:hRule="atLeast"/>
        </w:trPr>
        <w:tc>
          <w:tcPr>
            <w:tcW w:w="1798" w:type="dxa"/>
            <w:vMerge w:val="restart"/>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shd w:val="clear" w:fill="auto"/>
              <w:spacing w:lineRule="auto" w:line="240" w:before="34" w:after="0"/>
              <w:ind w:hanging="0" w:start="77"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Pustaka</w:t>
            </w:r>
          </w:p>
        </w:tc>
        <w:tc>
          <w:tcPr>
            <w:tcW w:w="1029" w:type="dxa"/>
            <w:tcBorders>
              <w:top w:val="single" w:sz="4" w:space="0" w:color="231F20"/>
              <w:start w:val="single" w:sz="4" w:space="0" w:color="231F20"/>
              <w:bottom w:val="single" w:sz="4" w:space="0" w:color="231F20"/>
              <w:end w:val="single" w:sz="4" w:space="0" w:color="231F20"/>
            </w:tcBorders>
            <w:shd w:fill="E0E1E2" w:val="clear"/>
          </w:tcPr>
          <w:p>
            <w:pPr>
              <w:pStyle w:val="normal1"/>
              <w:keepNext w:val="false"/>
              <w:keepLines w:val="false"/>
              <w:widowControl w:val="false"/>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Utama:</w:t>
            </w:r>
          </w:p>
        </w:tc>
        <w:tc>
          <w:tcPr>
            <w:tcW w:w="11467" w:type="dxa"/>
            <w:gridSpan w:val="2"/>
            <w:tcBorders>
              <w:top w:val="single" w:sz="6" w:space="0" w:color="231F20"/>
              <w:start w:val="single" w:sz="4" w:space="0" w:color="231F20"/>
              <w:end w:val="single" w:sz="4" w:space="0" w:color="231F20"/>
            </w:tcBorders>
          </w:tcPr>
          <w:p>
            <w:pPr>
              <w:pStyle w:val="normal1"/>
              <w:keepNext w:val="false"/>
              <w:keepLines w:val="false"/>
              <w:widowControl w:val="false"/>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r>
      <w:tr>
        <w:trPr>
          <w:trHeight w:val="1361" w:hRule="atLeast"/>
        </w:trPr>
        <w:tc>
          <w:tcPr>
            <w:tcW w:w="1798" w:type="dxa"/>
            <w:vMerge w:val="continue"/>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c>
          <w:tcPr>
            <w:tcW w:w="12496" w:type="dxa"/>
            <w:gridSpan w:val="3"/>
            <w:tcBorders>
              <w:start w:val="single" w:sz="4" w:space="0" w:color="231F20"/>
              <w:end w:val="single" w:sz="4" w:space="0" w:color="231F20"/>
            </w:tcBorders>
          </w:tcPr>
          <w:p>
            <w:pPr>
              <w:pStyle w:val="normal1"/>
              <w:spacing w:lineRule="auto" w:line="252" w:before="40" w:after="40"/>
              <w:jc w:val="start"/>
              <w:rPr/>
            </w:pPr>
            <w:r>
              <w:rPr>
                <w:rFonts w:ascii="Calibri" w:hAnsi="Calibri"/>
                <w:b w:val="false"/>
                <w:color w:val="000000"/>
                <w:sz w:val="18"/>
              </w:rPr>
              <w:t>[1] 1. Johnson, R. A., &amp; Wichern, D. W. (2019). Applied Multivariate Statistical Analysis (6th ed.). Pearson Education.</w:t>
              <w:br/>
              <w:t>[2] 2. Hair, J. F., Black, W. C., Babin, B. J., &amp; Anderson, R. E. (2019). Multivariate Data Analysis (8th ed.). Cengage Learning.</w:t>
              <w:br/>
              <w:t>[3] 3. Everitt, B., &amp; Hothorn, T. (2011). An Introduction to Applied Multivariate Analysis with R. Springer Science &amp; Business Media.</w:t>
            </w:r>
          </w:p>
        </w:tc>
      </w:tr>
      <w:tr>
        <w:trPr>
          <w:trHeight w:val="281" w:hRule="atLeast"/>
        </w:trPr>
        <w:tc>
          <w:tcPr>
            <w:tcW w:w="1798" w:type="dxa"/>
            <w:vMerge w:val="continue"/>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shd w:val="clear" w:fill="auto"/>
              <w:spacing w:lineRule="auto" w:line="276" w:before="0" w:after="0"/>
              <w:ind w:hanging="0" w:start="0" w:end="0"/>
              <w:jc w:val="start"/>
              <w:rPr>
                <w:rFonts w:ascii="Arial" w:hAnsi="Arial" w:eastAsia="Arial" w:cs="Arial"/>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1029" w:type="dxa"/>
            <w:tcBorders>
              <w:top w:val="single" w:sz="4" w:space="0" w:color="231F20"/>
              <w:start w:val="single" w:sz="4" w:space="0" w:color="231F20"/>
              <w:bottom w:val="single" w:sz="4" w:space="0" w:color="231F20"/>
              <w:end w:val="single" w:sz="4" w:space="0" w:color="231F20"/>
            </w:tcBorders>
            <w:shd w:fill="E0E1E2" w:val="clear"/>
          </w:tcPr>
          <w:p>
            <w:pPr>
              <w:pStyle w:val="normal1"/>
              <w:keepNext w:val="false"/>
              <w:keepLines w:val="false"/>
              <w:widowControl w:val="false"/>
              <w:shd w:val="clear" w:fill="auto"/>
              <w:spacing w:lineRule="auto" w:line="240" w:before="37"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Pendukung:</w:t>
            </w:r>
          </w:p>
        </w:tc>
        <w:tc>
          <w:tcPr>
            <w:tcW w:w="11467" w:type="dxa"/>
            <w:gridSpan w:val="2"/>
            <w:tcBorders>
              <w:start w:val="single" w:sz="4" w:space="0" w:color="231F20"/>
              <w:end w:val="single" w:sz="4" w:space="0" w:color="231F20"/>
            </w:tcBorders>
          </w:tcPr>
          <w:p>
            <w:pPr>
              <w:pStyle w:val="normal1"/>
              <w:keepNext w:val="false"/>
              <w:keepLines w:val="false"/>
              <w:widowControl w:val="false"/>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r>
      <w:tr>
        <w:trPr>
          <w:trHeight w:val="710" w:hRule="atLeast"/>
        </w:trPr>
        <w:tc>
          <w:tcPr>
            <w:tcW w:w="1798" w:type="dxa"/>
            <w:vMerge w:val="continue"/>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c>
          <w:tcPr>
            <w:tcW w:w="12496" w:type="dxa"/>
            <w:gridSpan w:val="3"/>
            <w:tcBorders>
              <w:start w:val="single" w:sz="4" w:space="0" w:color="231F20"/>
              <w:bottom w:val="single" w:sz="6" w:space="0" w:color="231F20"/>
              <w:end w:val="single" w:sz="4" w:space="0" w:color="231F20"/>
            </w:tcBorders>
          </w:tcPr>
          <w:p>
            <w:pPr>
              <w:pStyle w:val="normal1"/>
              <w:spacing w:lineRule="auto" w:line="252" w:before="40" w:after="40"/>
              <w:jc w:val="start"/>
              <w:rPr/>
            </w:pPr>
            <w:r>
              <w:rPr>
                <w:rFonts w:ascii="Calibri" w:hAnsi="Calibri"/>
                <w:b w:val="false"/>
                <w:color w:val="000000"/>
                <w:sz w:val="18"/>
              </w:rPr>
              <w:t>[1] 1. James, G., Witten, D., Hastie, T., &amp; Tibshirani, R. (2021). An Introduction to Statistical Learning with Applications in R/Python (2nd ed.). Springer.</w:t>
              <w:br/>
              <w:t>[2] 2. Rencher, A. C., &amp; Christensen, W. F. (2012). Methods of Multivariate Analysis (3rd ed.). John Wiley &amp; Sons.</w:t>
              <w:br/>
              <w:t>[3] 3. VanderPlas, J. (2016). Python Data Science Handbook: Essential Tools for Working with Data. O'Reilly Media.</w:t>
              <w:br/>
              <w:t>[4] 4. Jurnal Internasional IEEE Transactions on Pattern Analysis and Machine Intelligence (TPAMI) &amp; ACM Transactions on Knowledge Discovery from Data (TKDD) terkini.</w:t>
            </w:r>
          </w:p>
        </w:tc>
      </w:tr>
      <w:tr>
        <w:trPr>
          <w:trHeight w:val="276" w:hRule="atLeast"/>
        </w:trPr>
        <w:tc>
          <w:tcPr>
            <w:tcW w:w="1798" w:type="dxa"/>
            <w:tcBorders>
              <w:top w:val="single" w:sz="4" w:space="0" w:color="231F20"/>
              <w:start w:val="single" w:sz="4" w:space="0" w:color="231F20"/>
              <w:bottom w:val="single" w:sz="4" w:space="0" w:color="231F20"/>
              <w:end w:val="single" w:sz="4" w:space="0" w:color="231F20"/>
            </w:tcBorders>
          </w:tcPr>
          <w:p>
            <w:pPr>
              <w:pStyle w:val="normal1"/>
              <w:keepNext w:val="false"/>
              <w:keepLines w:val="false"/>
              <w:widowControl w:val="false"/>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Dosen Pengampu</w:t>
            </w:r>
          </w:p>
        </w:tc>
        <w:tc>
          <w:tcPr>
            <w:tcW w:w="12496" w:type="dxa"/>
            <w:gridSpan w:val="3"/>
            <w:tcBorders>
              <w:top w:val="single" w:sz="6" w:space="0" w:color="231F20"/>
              <w:start w:val="single" w:sz="4" w:space="0" w:color="231F20"/>
              <w:bottom w:val="single" w:sz="6" w:space="0" w:color="231F20"/>
              <w:end w:val="single" w:sz="4" w:space="0" w:color="231F20"/>
            </w:tcBorders>
          </w:tcPr>
          <w:p>
            <w:pPr>
              <w:pStyle w:val="normal1"/>
              <w:spacing w:lineRule="auto" w:line="252" w:before="40" w:after="40"/>
              <w:jc w:val="start"/>
              <w:rPr/>
            </w:pPr>
            <w:r>
              <w:rPr>
                <w:rFonts w:ascii="Calibri" w:hAnsi="Calibri"/>
                <w:b w:val="false"/>
                <w:color w:val="000000"/>
                <w:sz w:val="18"/>
              </w:rPr>
              <w:t>Andy Haryoko, S.T., M.T.</w:t>
            </w:r>
          </w:p>
        </w:tc>
      </w:tr>
      <w:tr>
        <w:trPr>
          <w:trHeight w:val="276" w:hRule="atLeast"/>
        </w:trPr>
        <w:tc>
          <w:tcPr>
            <w:tcW w:w="1798" w:type="dxa"/>
            <w:tcBorders>
              <w:top w:val="single" w:sz="4" w:space="0" w:color="231F20"/>
              <w:start w:val="single" w:sz="4" w:space="0" w:color="231F20"/>
              <w:bottom w:val="single" w:sz="4" w:space="0" w:color="231F20"/>
              <w:end w:val="single" w:sz="4" w:space="0" w:color="231F20"/>
            </w:tcBorders>
          </w:tcPr>
          <w:p>
            <w:pPr>
              <w:pStyle w:val="normal1"/>
              <w:keepNext w:val="false"/>
              <w:keepLines w:val="false"/>
              <w:widowControl w:val="false"/>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Matakuliah syarat</w:t>
            </w:r>
          </w:p>
        </w:tc>
        <w:tc>
          <w:tcPr>
            <w:tcW w:w="12496" w:type="dxa"/>
            <w:gridSpan w:val="3"/>
            <w:tcBorders>
              <w:top w:val="single" w:sz="6" w:space="0" w:color="231F20"/>
              <w:start w:val="single" w:sz="4" w:space="0" w:color="231F20"/>
              <w:bottom w:val="single" w:sz="6" w:space="0" w:color="231F20"/>
              <w:end w:val="single" w:sz="4" w:space="0" w:color="231F20"/>
            </w:tcBorders>
          </w:tcPr>
          <w:p>
            <w:pPr>
              <w:pStyle w:val="normal1"/>
              <w:spacing w:lineRule="auto" w:line="252" w:before="40" w:after="40"/>
              <w:jc w:val="start"/>
              <w:rPr/>
            </w:pPr>
            <w:r>
              <w:rPr>
                <w:rFonts w:ascii="Calibri" w:hAnsi="Calibri"/>
                <w:b w:val="false"/>
                <w:color w:val="000000"/>
                <w:sz w:val="18"/>
              </w:rPr>
              <w:t>IF640424 Statistik Teknik / Aljabar Linier &amp; Matriks</w:t>
            </w:r>
          </w:p>
        </w:tc>
      </w:tr>
    </w:tbl>
    <w:p>
      <w:pPr>
        <w:sectPr>
          <w:footerReference w:type="even" r:id="rId7"/>
          <w:footerReference w:type="default" r:id="rId8"/>
          <w:footerReference w:type="first" r:id="rId9"/>
          <w:type w:val="nextPage"/>
          <w:pgSz w:orient="landscape" w:w="16838" w:h="11906"/>
          <w:pgMar w:left="1020" w:right="1280" w:gutter="0" w:header="0" w:top="1100" w:footer="0" w:bottom="280"/>
          <w:pgNumType w:fmt="decimal"/>
          <w:formProt w:val="false"/>
          <w:textDirection w:val="lrTb"/>
          <w:docGrid w:type="default" w:linePitch="100" w:charSpace="0"/>
        </w:sectPr>
      </w:pPr>
      <w:r>
        <w:br w:type="page"/>
      </w:r>
    </w:p>
    <w:p>
      <w:pPr>
        <w:pStyle w:val="normal1"/>
        <w:keepNext w:val="false"/>
        <w:keepLines w:val="false"/>
        <w:widowControl w:val="false"/>
        <w:shd w:val="clear" w:fill="auto"/>
        <w:spacing w:lineRule="auto" w:line="240" w:before="0" w:after="0"/>
        <w:ind w:hanging="0" w:start="0" w:end="0"/>
        <w:jc w:val="start"/>
        <w:rPr>
          <w:rFonts w:ascii="Arial" w:hAnsi="Arial" w:eastAsia="Arial" w:cs="Arial"/>
          <w:b/>
          <w:bCs/>
          <w:i w:val="false"/>
          <w:iCs w:val="false"/>
          <w:caps w:val="false"/>
          <w:smallCaps w:val="false"/>
          <w:strike w:val="false"/>
          <w:dstrike w:val="false"/>
          <w:color w:val="000000"/>
          <w:position w:val="0"/>
          <w:sz w:val="27"/>
          <w:szCs w:val="27"/>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7"/>
          <w:szCs w:val="27"/>
          <w:u w:val="none"/>
          <w:shd w:fill="auto" w:val="clear"/>
          <w:vertAlign w:val="baseline"/>
        </w:rPr>
        <mc:AlternateContent>
          <mc:Choice Requires="wps">
            <w:drawing>
              <wp:anchor distT="0" distB="0" distL="0" distR="0" simplePos="0" relativeHeight="9" behindDoc="0" locked="0" layoutInCell="0" allowOverlap="1">
                <wp:simplePos x="0" y="0"/>
                <wp:positionH relativeFrom="page">
                  <wp:posOffset>281940</wp:posOffset>
                </wp:positionH>
                <wp:positionV relativeFrom="page">
                  <wp:posOffset>6494780</wp:posOffset>
                </wp:positionV>
                <wp:extent cx="239395" cy="267970"/>
                <wp:effectExtent l="0" t="0" r="0" b="0"/>
                <wp:wrapNone/>
                <wp:docPr id="9" name="Shape 9"/>
                <a:graphic xmlns:a="http://schemas.openxmlformats.org/drawingml/2006/main">
                  <a:graphicData uri="http://schemas.microsoft.com/office/word/2010/wordprocessingShape">
                    <wps:wsp>
                      <wps:cNvSpPr/>
                      <wps:spPr>
                        <a:xfrm rot="5400000">
                          <a:off x="0" y="0"/>
                          <a:ext cx="239400" cy="267840"/>
                        </a:xfrm>
                        <a:prstGeom prst="rect">
                          <a:avLst/>
                        </a:prstGeom>
                        <a:noFill/>
                        <a:ln w="0">
                          <a:noFill/>
                        </a:ln>
                      </wps:spPr>
                      <wps:style>
                        <a:lnRef idx="0"/>
                        <a:fillRef idx="0"/>
                        <a:effectRef idx="0"/>
                        <a:fontRef idx="minor"/>
                      </wps:style>
                      <wps:txbx>
                        <w:txbxContent>
                          <w:p>
                            <w:pPr>
                              <w:pStyle w:val="FrameContentsuser"/>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119</w:t>
                            </w:r>
                          </w:p>
                        </w:txbxContent>
                      </wps:txbx>
                      <wps:bodyPr lIns="0" tIns="0" rIns="0" bIns="0" anchor="t">
                        <a:noAutofit/>
                      </wps:bodyPr>
                    </wps:wsp>
                  </a:graphicData>
                </a:graphic>
              </wp:anchor>
            </w:drawing>
          </mc:Choice>
          <mc:Fallback>
            <w:pict>
              <v:rect id="shape_0" stroked="f" o:allowincell="f" style="position:absolute;margin-left:22.15pt;margin-top:511.4pt;width:18.8pt;height:21.05pt;mso-wrap-style:square;v-text-anchor:top;rotation:90;mso-position-horizontal-relative:page;mso-position-vertical-relative:page">
                <v:fill o:detectmouseclick="t" on="false"/>
                <v:stroke color="#3465a4" joinstyle="round" endcap="flat"/>
                <v:textbox>
                  <w:txbxContent>
                    <w:p>
                      <w:pPr>
                        <w:pStyle w:val="FrameContentsuser"/>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119</w:t>
                      </w:r>
                    </w:p>
                  </w:txbxContent>
                </v:textbox>
                <w10:wrap type="none"/>
              </v:rect>
            </w:pict>
          </mc:Fallback>
        </mc:AlternateContent>
      </w:r>
    </w:p>
    <w:tbl>
      <w:tblPr>
        <w:tblStyle w:val="Table4"/>
        <w:tblW w:w="14295" w:type="dxa"/>
        <w:jc w:val="start"/>
        <w:tblInd w:w="128" w:type="dxa"/>
        <w:tblLayout w:type="fixed"/>
        <w:tblCellMar>
          <w:top w:w="0" w:type="dxa"/>
          <w:start w:w="108" w:type="dxa"/>
          <w:bottom w:w="0" w:type="dxa"/>
          <w:end w:w="108" w:type="dxa"/>
        </w:tblCellMar>
        <w:tblLook w:val="0000"/>
      </w:tblPr>
      <w:tblGrid>
        <w:gridCol w:w="547"/>
        <w:gridCol w:w="2283"/>
        <w:gridCol w:w="1843"/>
        <w:gridCol w:w="1629"/>
        <w:gridCol w:w="1677"/>
        <w:gridCol w:w="1997"/>
        <w:gridCol w:w="3059"/>
        <w:gridCol w:w="1260"/>
      </w:tblGrid>
      <w:tr>
        <w:trPr>
          <w:trHeight w:val="281" w:hRule="atLeast"/>
        </w:trPr>
        <w:tc>
          <w:tcPr>
            <w:tcW w:w="547" w:type="dxa"/>
            <w:vMerge w:val="restart"/>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50" w:before="145" w:after="0"/>
              <w:ind w:firstLine="12" w:start="155" w:end="143"/>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Mg Ke-</w:t>
            </w:r>
          </w:p>
        </w:tc>
        <w:tc>
          <w:tcPr>
            <w:tcW w:w="2283" w:type="dxa"/>
            <w:vMerge w:val="restart"/>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50" w:before="145" w:after="0"/>
              <w:ind w:firstLine="98" w:start="250" w:end="201"/>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 xml:space="preserve">Kemampuan akhir tiap tahapan belajar (CPMK) </w:t>
            </w:r>
          </w:p>
        </w:tc>
        <w:tc>
          <w:tcPr>
            <w:tcW w:w="3472" w:type="dxa"/>
            <w:gridSpan w:val="2"/>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7" w:after="0"/>
              <w:ind w:hanging="0" w:start="1359" w:end="1351"/>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Penilaian</w:t>
            </w:r>
          </w:p>
        </w:tc>
        <w:tc>
          <w:tcPr>
            <w:tcW w:w="3674" w:type="dxa"/>
            <w:gridSpan w:val="2"/>
            <w:vMerge w:val="restart"/>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7" w:after="0"/>
              <w:ind w:hanging="0" w:start="202" w:end="193"/>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Bantuk Pembelajaran;</w:t>
            </w:r>
          </w:p>
          <w:p>
            <w:pPr>
              <w:pStyle w:val="normal1"/>
              <w:keepNext w:val="false"/>
              <w:keepLines w:val="false"/>
              <w:widowControl w:val="false"/>
              <w:shd w:val="clear" w:fill="auto"/>
              <w:spacing w:lineRule="auto" w:line="250" w:before="9" w:after="0"/>
              <w:ind w:hanging="0" w:start="204" w:end="193"/>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 xml:space="preserve">Metode Pembelajaran; Penugasan Mahasiswa; </w:t>
            </w:r>
            <w:r>
              <w:rPr>
                <w:rFonts w:eastAsia="Arial" w:cs="Arial" w:ascii="Arial" w:hAnsi="Arial"/>
                <w:b/>
                <w:bCs/>
                <w:i w:val="false"/>
                <w:iCs w:val="false"/>
                <w:caps w:val="false"/>
                <w:smallCaps w:val="false"/>
                <w:strike w:val="false"/>
                <w:dstrike w:val="false"/>
                <w:color w:val="3A53A4"/>
                <w:position w:val="0"/>
                <w:sz w:val="18"/>
                <w:szCs w:val="18"/>
                <w:u w:val="none"/>
                <w:shd w:fill="auto" w:val="clear"/>
                <w:vertAlign w:val="baseline"/>
              </w:rPr>
              <w:t>[Estimasi Waktu]</w:t>
            </w:r>
          </w:p>
        </w:tc>
        <w:tc>
          <w:tcPr>
            <w:tcW w:w="3059" w:type="dxa"/>
            <w:vMerge w:val="restart"/>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50" w:before="37" w:after="0"/>
              <w:ind w:hanging="386" w:start="1195" w:end="19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 xml:space="preserve">Materi Pembelajaran </w:t>
            </w:r>
            <w:r>
              <w:rPr>
                <w:rFonts w:eastAsia="Arial" w:cs="Arial" w:ascii="Arial" w:hAnsi="Arial"/>
                <w:b/>
                <w:bCs/>
                <w:i w:val="false"/>
                <w:iCs w:val="false"/>
                <w:caps w:val="false"/>
                <w:smallCaps w:val="false"/>
                <w:strike w:val="false"/>
                <w:dstrike w:val="false"/>
                <w:color w:val="3A53A4"/>
                <w:position w:val="0"/>
                <w:sz w:val="18"/>
                <w:szCs w:val="18"/>
                <w:u w:val="none"/>
                <w:shd w:fill="auto" w:val="clear"/>
                <w:vertAlign w:val="baseline"/>
              </w:rPr>
              <w:t>[Pustaka]</w:t>
            </w:r>
          </w:p>
        </w:tc>
        <w:tc>
          <w:tcPr>
            <w:tcW w:w="1260" w:type="dxa"/>
            <w:vMerge w:val="restart"/>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50" w:before="145" w:after="0"/>
              <w:ind w:firstLine="246" w:start="171"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Bobot Penilaian (%)</w:t>
            </w:r>
          </w:p>
        </w:tc>
      </w:tr>
      <w:tr>
        <w:trPr>
          <w:trHeight w:val="421" w:hRule="atLeast"/>
        </w:trPr>
        <w:tc>
          <w:tcPr>
            <w:tcW w:w="547" w:type="dxa"/>
            <w:vMerge w:val="continue"/>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2283" w:type="dxa"/>
            <w:vMerge w:val="continue"/>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1843"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107" w:after="0"/>
              <w:ind w:hanging="0" w:start="558" w:end="550"/>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Indikator</w:t>
            </w:r>
          </w:p>
        </w:tc>
        <w:tc>
          <w:tcPr>
            <w:tcW w:w="1629"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107" w:after="0"/>
              <w:ind w:hanging="0" w:start="217" w:end="209"/>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Teknik &amp; Kriteria</w:t>
            </w:r>
          </w:p>
        </w:tc>
        <w:tc>
          <w:tcPr>
            <w:tcW w:w="3674" w:type="dxa"/>
            <w:gridSpan w:val="2"/>
            <w:vMerge w:val="continue"/>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3059" w:type="dxa"/>
            <w:vMerge w:val="continue"/>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1260" w:type="dxa"/>
            <w:vMerge w:val="continue"/>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r>
      <w:tr>
        <w:trPr>
          <w:trHeight w:val="281" w:hRule="atLeast"/>
        </w:trPr>
        <w:tc>
          <w:tcPr>
            <w:tcW w:w="547"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7"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(1)</w:t>
            </w:r>
          </w:p>
        </w:tc>
        <w:tc>
          <w:tcPr>
            <w:tcW w:w="2283"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7" w:after="0"/>
              <w:ind w:hanging="0" w:start="0" w:end="1012"/>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(2)</w:t>
            </w:r>
          </w:p>
        </w:tc>
        <w:tc>
          <w:tcPr>
            <w:tcW w:w="1843" w:type="dxa"/>
            <w:tcBorders>
              <w:top w:val="single" w:sz="4" w:space="0" w:color="231F20"/>
              <w:start w:val="single" w:sz="4" w:space="0" w:color="231F20"/>
              <w:bottom w:val="single" w:sz="4" w:space="0" w:color="000000"/>
              <w:end w:val="single" w:sz="4" w:space="0" w:color="231F20"/>
            </w:tcBorders>
            <w:shd w:fill="DBE5F1" w:val="clear"/>
          </w:tcPr>
          <w:p>
            <w:pPr>
              <w:pStyle w:val="normal1"/>
              <w:keepNext w:val="false"/>
              <w:keepLines w:val="false"/>
              <w:widowControl w:val="false"/>
              <w:shd w:val="clear" w:fill="auto"/>
              <w:spacing w:lineRule="auto" w:line="240" w:before="37" w:after="0"/>
              <w:ind w:hanging="0" w:start="558" w:end="550"/>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(3)</w:t>
            </w:r>
          </w:p>
        </w:tc>
        <w:tc>
          <w:tcPr>
            <w:tcW w:w="1629"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7" w:after="0"/>
              <w:ind w:hanging="0" w:start="217" w:end="209"/>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(4)</w:t>
            </w:r>
          </w:p>
        </w:tc>
        <w:tc>
          <w:tcPr>
            <w:tcW w:w="1677"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7" w:after="0"/>
              <w:ind w:hanging="0" w:start="497"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Luring (5)</w:t>
            </w:r>
          </w:p>
        </w:tc>
        <w:tc>
          <w:tcPr>
            <w:tcW w:w="1997"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7" w:after="0"/>
              <w:ind w:hanging="0" w:start="654"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Daring (6)</w:t>
            </w:r>
          </w:p>
        </w:tc>
        <w:tc>
          <w:tcPr>
            <w:tcW w:w="3059"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7" w:after="0"/>
              <w:ind w:hanging="0" w:start="1060" w:end="1050"/>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(7)</w:t>
            </w:r>
          </w:p>
        </w:tc>
        <w:tc>
          <w:tcPr>
            <w:tcW w:w="1260"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shd w:val="clear" w:fill="auto"/>
              <w:spacing w:lineRule="auto" w:line="240" w:before="37" w:after="0"/>
              <w:ind w:hanging="0" w:start="74" w:end="63"/>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(8)</w:t>
            </w:r>
          </w:p>
        </w:tc>
      </w:tr>
      <w:tr>
        <w:trPr/>
        <w:tc>
          <w:tcPr>
            <w:tcW w:w="547" w:type="dxa"/>
            <w:tcBorders/>
          </w:tcPr>
          <w:p>
            <w:pPr>
              <w:pStyle w:val="normal1"/>
              <w:spacing w:lineRule="auto" w:line="252" w:before="40" w:after="40"/>
              <w:jc w:val="center"/>
              <w:rPr/>
            </w:pPr>
            <w:r>
              <w:rPr>
                <w:rFonts w:ascii="Calibri" w:hAnsi="Calibri"/>
                <w:b/>
                <w:color w:val="000000"/>
                <w:sz w:val="17"/>
              </w:rPr>
              <w:t>1</w:t>
            </w:r>
          </w:p>
        </w:tc>
        <w:tc>
          <w:tcPr>
            <w:tcW w:w="2283" w:type="dxa"/>
            <w:tcBorders/>
          </w:tcPr>
          <w:p>
            <w:pPr>
              <w:pStyle w:val="normal1"/>
              <w:spacing w:lineRule="auto" w:line="252" w:before="40" w:after="40"/>
              <w:jc w:val="start"/>
              <w:rPr/>
            </w:pPr>
            <w:r>
              <w:rPr>
                <w:rFonts w:ascii="Calibri" w:hAnsi="Calibri"/>
                <w:b/>
                <w:color w:val="000000"/>
                <w:sz w:val="17"/>
              </w:rPr>
              <w:t>Sub-CPMK1: Mampu menjelaskan konsep dasar analisa multivariat, taksonomi metode dependence vs independence, representasi matriks data, vektor mean, dan matriks kovarians [C2]</w:t>
            </w:r>
          </w:p>
        </w:tc>
        <w:tc>
          <w:tcPr>
            <w:tcW w:w="1843" w:type="dxa"/>
            <w:tcBorders/>
          </w:tcPr>
          <w:p>
            <w:pPr>
              <w:pStyle w:val="normal1"/>
              <w:spacing w:lineRule="auto" w:line="252" w:before="40" w:after="40"/>
              <w:jc w:val="start"/>
              <w:rPr/>
            </w:pPr>
            <w:r>
              <w:rPr>
                <w:rFonts w:ascii="Calibri" w:hAnsi="Calibri"/>
                <w:b w:val="false"/>
                <w:color w:val="000000"/>
                <w:sz w:val="17"/>
              </w:rPr>
              <w:t>Ketepatan menjelaskan definisi analitik data multivariat, membedakan metode ketergantungan vs interdependensi, serta menyusun matriks data, menghitung vektor mean dan matriks kovarians/korelasi</w:t>
            </w:r>
          </w:p>
        </w:tc>
        <w:tc>
          <w:tcPr>
            <w:tcW w:w="1629" w:type="dxa"/>
            <w:tcBorders/>
          </w:tcPr>
          <w:p>
            <w:pPr>
              <w:pStyle w:val="normal1"/>
              <w:spacing w:lineRule="auto" w:line="252" w:before="40" w:after="40"/>
              <w:jc w:val="start"/>
              <w:rPr/>
            </w:pPr>
            <w:r>
              <w:rPr>
                <w:rFonts w:ascii="Calibri" w:hAnsi="Calibri"/>
                <w:b w:val="false"/>
                <w:color w:val="000000"/>
                <w:sz w:val="17"/>
              </w:rPr>
              <w:t>Kriteria: Ketepatan perhitungan matematis &amp; kejelasan konsep; Teknik: Kuis interaktif &amp; Lembar Kerja Eksplorasi Data</w:t>
            </w:r>
          </w:p>
        </w:tc>
        <w:tc>
          <w:tcPr>
            <w:tcW w:w="1677" w:type="dxa"/>
            <w:tcBorders/>
          </w:tcPr>
          <w:p>
            <w:pPr>
              <w:pStyle w:val="normal1"/>
              <w:spacing w:lineRule="auto" w:line="252" w:before="40" w:after="40"/>
              <w:jc w:val="start"/>
              <w:rPr/>
            </w:pPr>
            <w:r>
              <w:rPr>
                <w:rFonts w:ascii="Calibri" w:hAnsi="Calibri"/>
                <w:b w:val="false"/>
                <w:color w:val="000000"/>
                <w:sz w:val="17"/>
              </w:rPr>
              <w:t>Kuliah interaktif, Diskusi Kelompok, Praktik Dasar Pembuatan Matriks Data di Python/R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Mempelajari modul RPS-01, video tutorial NumPy/Pandas matriks, forum tanya-jawab di LMS UNIROW</w:t>
            </w:r>
          </w:p>
        </w:tc>
        <w:tc>
          <w:tcPr>
            <w:tcW w:w="3059" w:type="dxa"/>
            <w:tcBorders/>
          </w:tcPr>
          <w:p>
            <w:pPr>
              <w:pStyle w:val="normal1"/>
              <w:spacing w:lineRule="auto" w:line="252" w:before="40" w:after="40"/>
              <w:jc w:val="start"/>
              <w:rPr/>
            </w:pPr>
            <w:r>
              <w:rPr>
                <w:rFonts w:ascii="Calibri" w:hAnsi="Calibri"/>
                <w:b w:val="false"/>
                <w:color w:val="000000"/>
                <w:sz w:val="17"/>
              </w:rPr>
              <w:t>Pengenalan Analisis Multivariat, Taksonomi Hair et al., Aljabar Matriks Multivariat, Vektor Mean dan Matriks Kovarians (Pustaka Utama 1: Bab 1-2, Pustaka Utama 2: Bab 1)</w:t>
            </w:r>
          </w:p>
        </w:tc>
        <w:tc>
          <w:tcPr>
            <w:tcW w:w="1260" w:type="dxa"/>
            <w:tcBorders/>
          </w:tcPr>
          <w:p>
            <w:pPr>
              <w:pStyle w:val="normal1"/>
              <w:spacing w:lineRule="auto" w:line="252" w:before="40" w:after="40"/>
              <w:jc w:val="center"/>
              <w:rPr/>
            </w:pPr>
            <w:r>
              <w:rPr>
                <w:rFonts w:ascii="Calibri" w:hAnsi="Calibri"/>
                <w:b/>
                <w:color w:val="000000"/>
                <w:sz w:val="17"/>
              </w:rPr>
              <w:t>3%</w:t>
            </w:r>
          </w:p>
        </w:tc>
      </w:tr>
      <w:tr>
        <w:trPr/>
        <w:tc>
          <w:tcPr>
            <w:tcW w:w="547" w:type="dxa"/>
            <w:tcBorders/>
          </w:tcPr>
          <w:p>
            <w:pPr>
              <w:pStyle w:val="normal1"/>
              <w:spacing w:lineRule="auto" w:line="252" w:before="40" w:after="40"/>
              <w:jc w:val="center"/>
              <w:rPr/>
            </w:pPr>
            <w:r>
              <w:rPr>
                <w:rFonts w:ascii="Calibri" w:hAnsi="Calibri"/>
                <w:b/>
                <w:color w:val="000000"/>
                <w:sz w:val="17"/>
              </w:rPr>
              <w:t>2</w:t>
            </w:r>
          </w:p>
        </w:tc>
        <w:tc>
          <w:tcPr>
            <w:tcW w:w="2283" w:type="dxa"/>
            <w:tcBorders/>
          </w:tcPr>
          <w:p>
            <w:pPr>
              <w:pStyle w:val="normal1"/>
              <w:spacing w:lineRule="auto" w:line="252" w:before="40" w:after="40"/>
              <w:jc w:val="start"/>
              <w:rPr/>
            </w:pPr>
            <w:r>
              <w:rPr>
                <w:rFonts w:ascii="Calibri" w:hAnsi="Calibri"/>
                <w:b/>
                <w:color w:val="000000"/>
                <w:sz w:val="17"/>
              </w:rPr>
              <w:t>Sub-CPMK2: Mampu menerapkan pengujian asumsi distribusi normal multivariat dan deteksi outlier multivariat menggunakan Mahalanobis Distance [C3]</w:t>
            </w:r>
          </w:p>
        </w:tc>
        <w:tc>
          <w:tcPr>
            <w:tcW w:w="1843" w:type="dxa"/>
            <w:tcBorders/>
          </w:tcPr>
          <w:p>
            <w:pPr>
              <w:pStyle w:val="normal1"/>
              <w:spacing w:lineRule="auto" w:line="252" w:before="40" w:after="40"/>
              <w:jc w:val="start"/>
              <w:rPr/>
            </w:pPr>
            <w:r>
              <w:rPr>
                <w:rFonts w:ascii="Calibri" w:hAnsi="Calibri"/>
                <w:b w:val="false"/>
                <w:color w:val="000000"/>
                <w:sz w:val="17"/>
              </w:rPr>
              <w:t>Kemampuan melakukan uji kecocokan normalitas multivariat (Mardia's Skewness &amp; Kurtosis test, Chi-Square Q-Q plot) serta mendeteksi dan menangani pencilan multivariat berbasis jarak Mahalanobis</w:t>
            </w:r>
          </w:p>
        </w:tc>
        <w:tc>
          <w:tcPr>
            <w:tcW w:w="1629" w:type="dxa"/>
            <w:tcBorders/>
          </w:tcPr>
          <w:p>
            <w:pPr>
              <w:pStyle w:val="normal1"/>
              <w:spacing w:lineRule="auto" w:line="252" w:before="40" w:after="40"/>
              <w:jc w:val="start"/>
              <w:rPr/>
            </w:pPr>
            <w:r>
              <w:rPr>
                <w:rFonts w:ascii="Calibri" w:hAnsi="Calibri"/>
                <w:b w:val="false"/>
                <w:color w:val="000000"/>
                <w:sz w:val="17"/>
              </w:rPr>
              <w:t>Kriteria: Kebenaran diagnosa statistik &amp; interpretasi plot; Teknik: Penilaian Tugas Terstruktur Praktikum 1</w:t>
            </w:r>
          </w:p>
        </w:tc>
        <w:tc>
          <w:tcPr>
            <w:tcW w:w="1677" w:type="dxa"/>
            <w:tcBorders/>
          </w:tcPr>
          <w:p>
            <w:pPr>
              <w:pStyle w:val="normal1"/>
              <w:spacing w:lineRule="auto" w:line="252" w:before="40" w:after="40"/>
              <w:jc w:val="start"/>
              <w:rPr/>
            </w:pPr>
            <w:r>
              <w:rPr>
                <w:rFonts w:ascii="Calibri" w:hAnsi="Calibri"/>
                <w:b w:val="false"/>
                <w:color w:val="000000"/>
                <w:sz w:val="17"/>
              </w:rPr>
              <w:t>Kuliah Pengantar, Praktikum Komputasi di Lab: Implementasi Uji Normalitas Multivariat &amp; Mahalanobis Distance dengan Python (SciPy/Statsmodels)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Mengunduh dataset multivariat studi kasus finansial/kesehatan, submit notebook praktikum di LMS</w:t>
            </w:r>
          </w:p>
        </w:tc>
        <w:tc>
          <w:tcPr>
            <w:tcW w:w="3059" w:type="dxa"/>
            <w:tcBorders/>
          </w:tcPr>
          <w:p>
            <w:pPr>
              <w:pStyle w:val="normal1"/>
              <w:spacing w:lineRule="auto" w:line="252" w:before="40" w:after="40"/>
              <w:jc w:val="start"/>
              <w:rPr/>
            </w:pPr>
            <w:r>
              <w:rPr>
                <w:rFonts w:ascii="Calibri" w:hAnsi="Calibri"/>
                <w:b w:val="false"/>
                <w:color w:val="000000"/>
                <w:sz w:val="17"/>
              </w:rPr>
              <w:t>Distribusi Normal Multivariat, Sifat-sifat Elips Kontur, Diagnosa Outlier, Mahalanobis Distance vs Euclidean (Pustaka Utama 1: Bab 4-5)</w:t>
            </w:r>
          </w:p>
        </w:tc>
        <w:tc>
          <w:tcPr>
            <w:tcW w:w="1260" w:type="dxa"/>
            <w:tcBorders/>
          </w:tcPr>
          <w:p>
            <w:pPr>
              <w:pStyle w:val="normal1"/>
              <w:spacing w:lineRule="auto" w:line="252" w:before="40" w:after="40"/>
              <w:jc w:val="center"/>
              <w:rPr/>
            </w:pPr>
            <w:r>
              <w:rPr>
                <w:rFonts w:ascii="Calibri" w:hAnsi="Calibri"/>
                <w:b/>
                <w:color w:val="000000"/>
                <w:sz w:val="17"/>
              </w:rPr>
              <w:t>4%</w:t>
            </w:r>
          </w:p>
        </w:tc>
      </w:tr>
      <w:tr>
        <w:trPr/>
        <w:tc>
          <w:tcPr>
            <w:tcW w:w="547" w:type="dxa"/>
            <w:tcBorders/>
          </w:tcPr>
          <w:p>
            <w:pPr>
              <w:pStyle w:val="normal1"/>
              <w:spacing w:lineRule="auto" w:line="252" w:before="40" w:after="40"/>
              <w:jc w:val="center"/>
              <w:rPr/>
            </w:pPr>
            <w:r>
              <w:rPr>
                <w:rFonts w:ascii="Calibri" w:hAnsi="Calibri"/>
                <w:b/>
                <w:color w:val="000000"/>
                <w:sz w:val="17"/>
              </w:rPr>
              <w:t>3</w:t>
            </w:r>
          </w:p>
        </w:tc>
        <w:tc>
          <w:tcPr>
            <w:tcW w:w="2283" w:type="dxa"/>
            <w:tcBorders/>
          </w:tcPr>
          <w:p>
            <w:pPr>
              <w:pStyle w:val="normal1"/>
              <w:spacing w:lineRule="auto" w:line="252" w:before="40" w:after="40"/>
              <w:jc w:val="start"/>
              <w:rPr/>
            </w:pPr>
            <w:r>
              <w:rPr>
                <w:rFonts w:ascii="Calibri" w:hAnsi="Calibri"/>
                <w:b/>
                <w:color w:val="000000"/>
                <w:sz w:val="17"/>
              </w:rPr>
              <w:t>Sub-CPMK3: Mampu menghitung dan menganalisis reduksi dimensi variabel dengan Principal Component Analysis (PCA) berbasis nilai eigen dan vektor eigen serta interpretasi Scree Plot dan Biplot [C4]</w:t>
            </w:r>
          </w:p>
        </w:tc>
        <w:tc>
          <w:tcPr>
            <w:tcW w:w="1843" w:type="dxa"/>
            <w:tcBorders/>
          </w:tcPr>
          <w:p>
            <w:pPr>
              <w:pStyle w:val="normal1"/>
              <w:spacing w:lineRule="auto" w:line="252" w:before="40" w:after="40"/>
              <w:jc w:val="start"/>
              <w:rPr/>
            </w:pPr>
            <w:r>
              <w:rPr>
                <w:rFonts w:ascii="Calibri" w:hAnsi="Calibri"/>
                <w:b w:val="false"/>
                <w:color w:val="000000"/>
                <w:sz w:val="17"/>
              </w:rPr>
              <w:t>Ketepatan langkah dekomposisi nilai eigen dari matriks kovarians/korelasi, menentukan jumlah komponen utama optimal (Kaiser criterion, persentase varians kumulatif, Scree Plot), serta interpretasi visualisasi Biplot</w:t>
            </w:r>
          </w:p>
        </w:tc>
        <w:tc>
          <w:tcPr>
            <w:tcW w:w="1629" w:type="dxa"/>
            <w:tcBorders/>
          </w:tcPr>
          <w:p>
            <w:pPr>
              <w:pStyle w:val="normal1"/>
              <w:spacing w:lineRule="auto" w:line="252" w:before="40" w:after="40"/>
              <w:jc w:val="start"/>
              <w:rPr/>
            </w:pPr>
            <w:r>
              <w:rPr>
                <w:rFonts w:ascii="Calibri" w:hAnsi="Calibri"/>
                <w:b w:val="false"/>
                <w:color w:val="000000"/>
                <w:sz w:val="17"/>
              </w:rPr>
              <w:t>Kriteria: Ketajaman analisis reduksi varians; Teknik: Portofolio Analisis PCA di Python (Scikit-Learn)</w:t>
            </w:r>
          </w:p>
        </w:tc>
        <w:tc>
          <w:tcPr>
            <w:tcW w:w="1677" w:type="dxa"/>
            <w:tcBorders/>
          </w:tcPr>
          <w:p>
            <w:pPr>
              <w:pStyle w:val="normal1"/>
              <w:spacing w:lineRule="auto" w:line="252" w:before="40" w:after="40"/>
              <w:jc w:val="start"/>
              <w:rPr/>
            </w:pPr>
            <w:r>
              <w:rPr>
                <w:rFonts w:ascii="Calibri" w:hAnsi="Calibri"/>
                <w:b w:val="false"/>
                <w:color w:val="000000"/>
                <w:sz w:val="17"/>
              </w:rPr>
              <w:t>Kuliah Mimbar, Problem-Based Learning (PBL): Studi Kasus Reduksi Dimensi Data Citra/Sensor, Praktikum PCA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Mempelajari materi interaktif PCA, visualisasi 3D Komponen Utama melalui Jupyter Lab/Google Colab</w:t>
            </w:r>
          </w:p>
        </w:tc>
        <w:tc>
          <w:tcPr>
            <w:tcW w:w="3059" w:type="dxa"/>
            <w:tcBorders/>
          </w:tcPr>
          <w:p>
            <w:pPr>
              <w:pStyle w:val="normal1"/>
              <w:spacing w:lineRule="auto" w:line="252" w:before="40" w:after="40"/>
              <w:jc w:val="start"/>
              <w:rPr/>
            </w:pPr>
            <w:r>
              <w:rPr>
                <w:rFonts w:ascii="Calibri" w:hAnsi="Calibri"/>
                <w:b w:val="false"/>
                <w:color w:val="000000"/>
                <w:sz w:val="17"/>
              </w:rPr>
              <w:t>Principal Component Analysis (PCA), Dekomposisi Spektral, Nilai &amp; Vektor Eigen, Scree Plot, Biplot (Pustaka Utama 1: Bab 8, Pustaka Utama 2: Bab 3)</w:t>
            </w:r>
          </w:p>
        </w:tc>
        <w:tc>
          <w:tcPr>
            <w:tcW w:w="1260" w:type="dxa"/>
            <w:tcBorders/>
          </w:tcPr>
          <w:p>
            <w:pPr>
              <w:pStyle w:val="normal1"/>
              <w:spacing w:lineRule="auto" w:line="252" w:before="40" w:after="40"/>
              <w:jc w:val="center"/>
              <w:rPr/>
            </w:pPr>
            <w:r>
              <w:rPr>
                <w:rFonts w:ascii="Calibri" w:hAnsi="Calibri"/>
                <w:b/>
                <w:color w:val="000000"/>
                <w:sz w:val="17"/>
              </w:rPr>
              <w:t>7%</w:t>
            </w:r>
          </w:p>
        </w:tc>
      </w:tr>
      <w:tr>
        <w:trPr/>
        <w:tc>
          <w:tcPr>
            <w:tcW w:w="547" w:type="dxa"/>
            <w:tcBorders/>
          </w:tcPr>
          <w:p>
            <w:pPr>
              <w:pStyle w:val="normal1"/>
              <w:spacing w:lineRule="auto" w:line="252" w:before="40" w:after="40"/>
              <w:jc w:val="center"/>
              <w:rPr/>
            </w:pPr>
            <w:r>
              <w:rPr>
                <w:rFonts w:ascii="Calibri" w:hAnsi="Calibri"/>
                <w:b/>
                <w:color w:val="000000"/>
                <w:sz w:val="17"/>
              </w:rPr>
              <w:t>4</w:t>
            </w:r>
          </w:p>
        </w:tc>
        <w:tc>
          <w:tcPr>
            <w:tcW w:w="2283" w:type="dxa"/>
            <w:tcBorders/>
          </w:tcPr>
          <w:p>
            <w:pPr>
              <w:pStyle w:val="normal1"/>
              <w:spacing w:lineRule="auto" w:line="252" w:before="40" w:after="40"/>
              <w:jc w:val="start"/>
              <w:rPr/>
            </w:pPr>
            <w:r>
              <w:rPr>
                <w:rFonts w:ascii="Calibri" w:hAnsi="Calibri"/>
                <w:b/>
                <w:color w:val="000000"/>
                <w:sz w:val="17"/>
              </w:rPr>
              <w:t>Sub-CPMK4: Mampu menganalisis struktur faktor laten dengan Exploratory Factor Analysis (EFA) menggunakan rotasi orthogonal (Varimax) dan oblique (Promax), serta interpretasi loading faktor [C4]</w:t>
            </w:r>
          </w:p>
        </w:tc>
        <w:tc>
          <w:tcPr>
            <w:tcW w:w="1843" w:type="dxa"/>
            <w:tcBorders/>
          </w:tcPr>
          <w:p>
            <w:pPr>
              <w:pStyle w:val="normal1"/>
              <w:spacing w:lineRule="auto" w:line="252" w:before="40" w:after="40"/>
              <w:jc w:val="start"/>
              <w:rPr/>
            </w:pPr>
            <w:r>
              <w:rPr>
                <w:rFonts w:ascii="Calibri" w:hAnsi="Calibri"/>
                <w:b w:val="false"/>
                <w:color w:val="000000"/>
                <w:sz w:val="17"/>
              </w:rPr>
              <w:t>Kemampuan menguji kelayakan data (KMO &amp; Bartlett's Test of Sphericity), mengekstraksi faktor laten (Principal Axis Factoring / Maximum Likelihood), menerapkan rotasi Varimax/Promax, dan menamai faktor laten</w:t>
            </w:r>
          </w:p>
        </w:tc>
        <w:tc>
          <w:tcPr>
            <w:tcW w:w="1629" w:type="dxa"/>
            <w:tcBorders/>
          </w:tcPr>
          <w:p>
            <w:pPr>
              <w:pStyle w:val="normal1"/>
              <w:spacing w:lineRule="auto" w:line="252" w:before="40" w:after="40"/>
              <w:jc w:val="start"/>
              <w:rPr/>
            </w:pPr>
            <w:r>
              <w:rPr>
                <w:rFonts w:ascii="Calibri" w:hAnsi="Calibri"/>
                <w:b w:val="false"/>
                <w:color w:val="000000"/>
                <w:sz w:val="17"/>
              </w:rPr>
              <w:t>Kriteria: Logika interpretasi konstruk laten; Teknik: Tugas Analisis EFA pada Kuesioner/Survei Pengguna Sistem</w:t>
            </w:r>
          </w:p>
        </w:tc>
        <w:tc>
          <w:tcPr>
            <w:tcW w:w="1677" w:type="dxa"/>
            <w:tcBorders/>
          </w:tcPr>
          <w:p>
            <w:pPr>
              <w:pStyle w:val="normal1"/>
              <w:spacing w:lineRule="auto" w:line="252" w:before="40" w:after="40"/>
              <w:jc w:val="start"/>
              <w:rPr/>
            </w:pPr>
            <w:r>
              <w:rPr>
                <w:rFonts w:ascii="Calibri" w:hAnsi="Calibri"/>
                <w:b w:val="false"/>
                <w:color w:val="000000"/>
                <w:sz w:val="17"/>
              </w:rPr>
              <w:t>Kuliah Interaktif, Diskusi Studi Kasus Psikometri/Survei Informatika, Praktik EFA di R/Python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Mengerjakan kuis daring mengenai perbedaan mendasar PCA vs EFA di LMS UNIROW</w:t>
            </w:r>
          </w:p>
        </w:tc>
        <w:tc>
          <w:tcPr>
            <w:tcW w:w="3059" w:type="dxa"/>
            <w:tcBorders/>
          </w:tcPr>
          <w:p>
            <w:pPr>
              <w:pStyle w:val="normal1"/>
              <w:spacing w:lineRule="auto" w:line="252" w:before="40" w:after="40"/>
              <w:jc w:val="start"/>
              <w:rPr/>
            </w:pPr>
            <w:r>
              <w:rPr>
                <w:rFonts w:ascii="Calibri" w:hAnsi="Calibri"/>
                <w:b w:val="false"/>
                <w:color w:val="000000"/>
                <w:sz w:val="17"/>
              </w:rPr>
              <w:t>Exploratory Factor Analysis (EFA), KMO Test, Ekstraksi Faktor, Rotasi Ortogonal vs Oblik, Factor Score (Pustaka Utama 2: Bab 3, Pustaka Pendukung 2: Bab 13)</w:t>
            </w:r>
          </w:p>
        </w:tc>
        <w:tc>
          <w:tcPr>
            <w:tcW w:w="1260" w:type="dxa"/>
            <w:tcBorders/>
          </w:tcPr>
          <w:p>
            <w:pPr>
              <w:pStyle w:val="normal1"/>
              <w:spacing w:lineRule="auto" w:line="252" w:before="40" w:after="40"/>
              <w:jc w:val="center"/>
              <w:rPr/>
            </w:pPr>
            <w:r>
              <w:rPr>
                <w:rFonts w:ascii="Calibri" w:hAnsi="Calibri"/>
                <w:b/>
                <w:color w:val="000000"/>
                <w:sz w:val="17"/>
              </w:rPr>
              <w:t>6%</w:t>
            </w:r>
          </w:p>
        </w:tc>
      </w:tr>
      <w:tr>
        <w:trPr/>
        <w:tc>
          <w:tcPr>
            <w:tcW w:w="547" w:type="dxa"/>
            <w:tcBorders/>
          </w:tcPr>
          <w:p>
            <w:pPr>
              <w:pStyle w:val="normal1"/>
              <w:spacing w:lineRule="auto" w:line="252" w:before="40" w:after="40"/>
              <w:jc w:val="center"/>
              <w:rPr/>
            </w:pPr>
            <w:r>
              <w:rPr>
                <w:rFonts w:ascii="Calibri" w:hAnsi="Calibri"/>
                <w:b/>
                <w:color w:val="000000"/>
                <w:sz w:val="17"/>
              </w:rPr>
              <w:t>5</w:t>
            </w:r>
          </w:p>
        </w:tc>
        <w:tc>
          <w:tcPr>
            <w:tcW w:w="2283" w:type="dxa"/>
            <w:tcBorders/>
          </w:tcPr>
          <w:p>
            <w:pPr>
              <w:pStyle w:val="normal1"/>
              <w:spacing w:lineRule="auto" w:line="252" w:before="40" w:after="40"/>
              <w:jc w:val="start"/>
              <w:rPr/>
            </w:pPr>
            <w:r>
              <w:rPr>
                <w:rFonts w:ascii="Calibri" w:hAnsi="Calibri"/>
                <w:b/>
                <w:color w:val="000000"/>
                <w:sz w:val="17"/>
              </w:rPr>
              <w:t>Sub-CPMK5: Mampu menganalisis model Regresi Linier Berganda multivariat, diagnosa multikolinieritas (VIF), heteroskedastisitas, dan autokorelasi [C4]</w:t>
            </w:r>
          </w:p>
        </w:tc>
        <w:tc>
          <w:tcPr>
            <w:tcW w:w="1843" w:type="dxa"/>
            <w:tcBorders/>
          </w:tcPr>
          <w:p>
            <w:pPr>
              <w:pStyle w:val="normal1"/>
              <w:spacing w:lineRule="auto" w:line="252" w:before="40" w:after="40"/>
              <w:jc w:val="start"/>
              <w:rPr/>
            </w:pPr>
            <w:r>
              <w:rPr>
                <w:rFonts w:ascii="Calibri" w:hAnsi="Calibri"/>
                <w:b w:val="false"/>
                <w:color w:val="000000"/>
                <w:sz w:val="17"/>
              </w:rPr>
              <w:t>Keahlian menyusun estimasi OLS matriks, menghitung koefisien determinasi multivariat (R² dan Adjusted R²), menguji signifikansi simultan (F-test) dan parsial (t-test), serta validasi asumsi Gauss-Markov</w:t>
            </w:r>
          </w:p>
        </w:tc>
        <w:tc>
          <w:tcPr>
            <w:tcW w:w="1629" w:type="dxa"/>
            <w:tcBorders/>
          </w:tcPr>
          <w:p>
            <w:pPr>
              <w:pStyle w:val="normal1"/>
              <w:spacing w:lineRule="auto" w:line="252" w:before="40" w:after="40"/>
              <w:jc w:val="start"/>
              <w:rPr/>
            </w:pPr>
            <w:r>
              <w:rPr>
                <w:rFonts w:ascii="Calibri" w:hAnsi="Calibri"/>
                <w:b w:val="false"/>
                <w:color w:val="000000"/>
                <w:sz w:val="17"/>
              </w:rPr>
              <w:t>Kriteria: Ketepatan perumusan model &amp; evaluasi diagnostik residual; Teknik: Tugas Terstruktur Analisis Regresi</w:t>
            </w:r>
          </w:p>
        </w:tc>
        <w:tc>
          <w:tcPr>
            <w:tcW w:w="1677" w:type="dxa"/>
            <w:tcBorders/>
          </w:tcPr>
          <w:p>
            <w:pPr>
              <w:pStyle w:val="normal1"/>
              <w:spacing w:lineRule="auto" w:line="252" w:before="40" w:after="40"/>
              <w:jc w:val="start"/>
              <w:rPr/>
            </w:pPr>
            <w:r>
              <w:rPr>
                <w:rFonts w:ascii="Calibri" w:hAnsi="Calibri"/>
                <w:b w:val="false"/>
                <w:color w:val="000000"/>
                <w:sz w:val="17"/>
              </w:rPr>
              <w:t>Ceramah, Diskusi Pemodelan Multivariat, Simulasi Perhitungan Matriks Regresi di Python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Submit laporan regresi dataset harga properti/performa server di LMS UNIROW</w:t>
            </w:r>
          </w:p>
        </w:tc>
        <w:tc>
          <w:tcPr>
            <w:tcW w:w="3059" w:type="dxa"/>
            <w:tcBorders/>
          </w:tcPr>
          <w:p>
            <w:pPr>
              <w:pStyle w:val="normal1"/>
              <w:spacing w:lineRule="auto" w:line="252" w:before="40" w:after="40"/>
              <w:jc w:val="start"/>
              <w:rPr/>
            </w:pPr>
            <w:r>
              <w:rPr>
                <w:rFonts w:ascii="Calibri" w:hAnsi="Calibri"/>
                <w:b w:val="false"/>
                <w:color w:val="000000"/>
                <w:sz w:val="17"/>
              </w:rPr>
              <w:t>Multiple Linear Regression dalam Notasi Matriks, Uji Simultan &amp; Parsial, Multikolinearitas (VIF), Diagnosa Residual (Pustaka Utama 1: Bab 7, Pustaka Utama 2: Bab 4)</w:t>
            </w:r>
          </w:p>
        </w:tc>
        <w:tc>
          <w:tcPr>
            <w:tcW w:w="1260" w:type="dxa"/>
            <w:tcBorders/>
          </w:tcPr>
          <w:p>
            <w:pPr>
              <w:pStyle w:val="normal1"/>
              <w:spacing w:lineRule="auto" w:line="252" w:before="40" w:after="40"/>
              <w:jc w:val="center"/>
              <w:rPr/>
            </w:pPr>
            <w:r>
              <w:rPr>
                <w:rFonts w:ascii="Calibri" w:hAnsi="Calibri"/>
                <w:b/>
                <w:color w:val="000000"/>
                <w:sz w:val="17"/>
              </w:rPr>
              <w:t>5%</w:t>
            </w:r>
          </w:p>
        </w:tc>
      </w:tr>
      <w:tr>
        <w:trPr/>
        <w:tc>
          <w:tcPr>
            <w:tcW w:w="547" w:type="dxa"/>
            <w:tcBorders/>
          </w:tcPr>
          <w:p>
            <w:pPr>
              <w:pStyle w:val="normal1"/>
              <w:spacing w:lineRule="auto" w:line="252" w:before="40" w:after="40"/>
              <w:jc w:val="center"/>
              <w:rPr/>
            </w:pPr>
            <w:r>
              <w:rPr>
                <w:rFonts w:ascii="Calibri" w:hAnsi="Calibri"/>
                <w:b/>
                <w:color w:val="000000"/>
                <w:sz w:val="17"/>
              </w:rPr>
              <w:t>6</w:t>
            </w:r>
          </w:p>
        </w:tc>
        <w:tc>
          <w:tcPr>
            <w:tcW w:w="2283" w:type="dxa"/>
            <w:tcBorders/>
          </w:tcPr>
          <w:p>
            <w:pPr>
              <w:pStyle w:val="normal1"/>
              <w:spacing w:lineRule="auto" w:line="252" w:before="40" w:after="40"/>
              <w:jc w:val="start"/>
              <w:rPr/>
            </w:pPr>
            <w:r>
              <w:rPr>
                <w:rFonts w:ascii="Calibri" w:hAnsi="Calibri"/>
                <w:b/>
                <w:color w:val="000000"/>
                <w:sz w:val="17"/>
              </w:rPr>
              <w:t>Sub-CPMK6: Mampu menerapkan dan menganalisis model Regresi Logistik Biner dan Multinomial untuk variabel respon kategorik multivariat [C4]</w:t>
            </w:r>
          </w:p>
        </w:tc>
        <w:tc>
          <w:tcPr>
            <w:tcW w:w="1843" w:type="dxa"/>
            <w:tcBorders/>
          </w:tcPr>
          <w:p>
            <w:pPr>
              <w:pStyle w:val="normal1"/>
              <w:spacing w:lineRule="auto" w:line="252" w:before="40" w:after="40"/>
              <w:jc w:val="start"/>
              <w:rPr/>
            </w:pPr>
            <w:r>
              <w:rPr>
                <w:rFonts w:ascii="Calibri" w:hAnsi="Calibri"/>
                <w:b w:val="false"/>
                <w:color w:val="000000"/>
                <w:sz w:val="17"/>
              </w:rPr>
              <w:t>Ketepatan estimasi parameter Maximum Likelihood (MLE), menghitung Odds Ratio, interpretasi nilai deviance, Pseudo R², Hosmer-Lemeshow goodness of fit, dan matriks konfusi</w:t>
            </w:r>
          </w:p>
        </w:tc>
        <w:tc>
          <w:tcPr>
            <w:tcW w:w="1629" w:type="dxa"/>
            <w:tcBorders/>
          </w:tcPr>
          <w:p>
            <w:pPr>
              <w:pStyle w:val="normal1"/>
              <w:spacing w:lineRule="auto" w:line="252" w:before="40" w:after="40"/>
              <w:jc w:val="start"/>
              <w:rPr/>
            </w:pPr>
            <w:r>
              <w:rPr>
                <w:rFonts w:ascii="Calibri" w:hAnsi="Calibri"/>
                <w:b w:val="false"/>
                <w:color w:val="000000"/>
                <w:sz w:val="17"/>
              </w:rPr>
              <w:t>Kriteria: Ketepatan interpretasi rasio odds &amp; metrik performa klasifikasi; Teknik: Penilaian Praktikum Lab</w:t>
            </w:r>
          </w:p>
        </w:tc>
        <w:tc>
          <w:tcPr>
            <w:tcW w:w="1677" w:type="dxa"/>
            <w:tcBorders/>
          </w:tcPr>
          <w:p>
            <w:pPr>
              <w:pStyle w:val="normal1"/>
              <w:spacing w:lineRule="auto" w:line="252" w:before="40" w:after="40"/>
              <w:jc w:val="start"/>
              <w:rPr/>
            </w:pPr>
            <w:r>
              <w:rPr>
                <w:rFonts w:ascii="Calibri" w:hAnsi="Calibri"/>
                <w:b w:val="false"/>
                <w:color w:val="000000"/>
                <w:sz w:val="17"/>
              </w:rPr>
              <w:t>Kuliah Pengantar, Praktik Komputasi Kasus Deteksi Churn Nasabah / Spam Classification dengan Regresi Logistik di Python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Diskusi asinkron penanganan data imbalanced pada regresi logistik melalui LMS UNIROW</w:t>
            </w:r>
          </w:p>
        </w:tc>
        <w:tc>
          <w:tcPr>
            <w:tcW w:w="3059" w:type="dxa"/>
            <w:tcBorders/>
          </w:tcPr>
          <w:p>
            <w:pPr>
              <w:pStyle w:val="normal1"/>
              <w:spacing w:lineRule="auto" w:line="252" w:before="40" w:after="40"/>
              <w:jc w:val="start"/>
              <w:rPr/>
            </w:pPr>
            <w:r>
              <w:rPr>
                <w:rFonts w:ascii="Calibri" w:hAnsi="Calibri"/>
                <w:b w:val="false"/>
                <w:color w:val="000000"/>
                <w:sz w:val="17"/>
              </w:rPr>
              <w:t>Regresi Logistik Biner dan Multinomial, Fungsi Logit, Odds Ratio, Uji Hosmer-Lemeshow, Confusion Matrix (Pustaka Utama 2: Bab 5, Pustaka Pendukung 1: Bab 4)</w:t>
            </w:r>
          </w:p>
        </w:tc>
        <w:tc>
          <w:tcPr>
            <w:tcW w:w="1260" w:type="dxa"/>
            <w:tcBorders/>
          </w:tcPr>
          <w:p>
            <w:pPr>
              <w:pStyle w:val="normal1"/>
              <w:spacing w:lineRule="auto" w:line="252" w:before="40" w:after="40"/>
              <w:jc w:val="center"/>
              <w:rPr/>
            </w:pPr>
            <w:r>
              <w:rPr>
                <w:rFonts w:ascii="Calibri" w:hAnsi="Calibri"/>
                <w:b/>
                <w:color w:val="000000"/>
                <w:sz w:val="17"/>
              </w:rPr>
              <w:t>5%</w:t>
            </w:r>
          </w:p>
        </w:tc>
      </w:tr>
      <w:tr>
        <w:trPr/>
        <w:tc>
          <w:tcPr>
            <w:tcW w:w="547" w:type="dxa"/>
            <w:tcBorders/>
          </w:tcPr>
          <w:p>
            <w:pPr>
              <w:pStyle w:val="normal1"/>
              <w:spacing w:lineRule="auto" w:line="252" w:before="40" w:after="40"/>
              <w:jc w:val="center"/>
              <w:rPr/>
            </w:pPr>
            <w:r>
              <w:rPr>
                <w:rFonts w:ascii="Calibri" w:hAnsi="Calibri"/>
                <w:b/>
                <w:color w:val="000000"/>
                <w:sz w:val="17"/>
              </w:rPr>
              <w:t>7</w:t>
            </w:r>
          </w:p>
        </w:tc>
        <w:tc>
          <w:tcPr>
            <w:tcW w:w="2283" w:type="dxa"/>
            <w:tcBorders/>
          </w:tcPr>
          <w:p>
            <w:pPr>
              <w:pStyle w:val="normal1"/>
              <w:spacing w:lineRule="auto" w:line="252" w:before="40" w:after="40"/>
              <w:jc w:val="start"/>
              <w:rPr/>
            </w:pPr>
            <w:r>
              <w:rPr>
                <w:rFonts w:ascii="Calibri" w:hAnsi="Calibri"/>
                <w:b/>
                <w:color w:val="000000"/>
                <w:sz w:val="17"/>
              </w:rPr>
              <w:t>Sub-CPMK7: Mampu mengevaluasi perbedaan rata-rata multivariat antar kelompok perlakuan menggunakan MANOVA (Wilks' Lambda, Pillai's Trace, Hotelling's Trace, Roy's Largest Root) [C4, C5]</w:t>
            </w:r>
          </w:p>
        </w:tc>
        <w:tc>
          <w:tcPr>
            <w:tcW w:w="1843" w:type="dxa"/>
            <w:tcBorders/>
          </w:tcPr>
          <w:p>
            <w:pPr>
              <w:pStyle w:val="normal1"/>
              <w:spacing w:lineRule="auto" w:line="252" w:before="40" w:after="40"/>
              <w:jc w:val="start"/>
              <w:rPr/>
            </w:pPr>
            <w:r>
              <w:rPr>
                <w:rFonts w:ascii="Calibri" w:hAnsi="Calibri"/>
                <w:b w:val="false"/>
                <w:color w:val="000000"/>
                <w:sz w:val="17"/>
              </w:rPr>
              <w:t>Kemampuan merumuskan hipotesis nol kesamaan vektor mean, memeriksa asumsi homogenitas matriks kovarians (Box's M test), dan menginterpretasikan empat statistik uji MANOVA serta analisis post-hoc</w:t>
            </w:r>
          </w:p>
        </w:tc>
        <w:tc>
          <w:tcPr>
            <w:tcW w:w="1629" w:type="dxa"/>
            <w:tcBorders/>
          </w:tcPr>
          <w:p>
            <w:pPr>
              <w:pStyle w:val="normal1"/>
              <w:spacing w:lineRule="auto" w:line="252" w:before="40" w:after="40"/>
              <w:jc w:val="start"/>
              <w:rPr/>
            </w:pPr>
            <w:r>
              <w:rPr>
                <w:rFonts w:ascii="Calibri" w:hAnsi="Calibri"/>
                <w:b w:val="false"/>
                <w:color w:val="000000"/>
                <w:sz w:val="17"/>
              </w:rPr>
              <w:t>Kriteria: Kedalaman analisis varians multivariat; Teknik: Presentasi Singkat Studi Kasus A/B Testing Sistem UI/UX</w:t>
            </w:r>
          </w:p>
        </w:tc>
        <w:tc>
          <w:tcPr>
            <w:tcW w:w="1677" w:type="dxa"/>
            <w:tcBorders/>
          </w:tcPr>
          <w:p>
            <w:pPr>
              <w:pStyle w:val="normal1"/>
              <w:spacing w:lineRule="auto" w:line="252" w:before="40" w:after="40"/>
              <w:jc w:val="start"/>
              <w:rPr/>
            </w:pPr>
            <w:r>
              <w:rPr>
                <w:rFonts w:ascii="Calibri" w:hAnsi="Calibri"/>
                <w:b w:val="false"/>
                <w:color w:val="000000"/>
                <w:sz w:val="17"/>
              </w:rPr>
              <w:t>Kuliah Diskusi, Praktik Komputasi Uji MANOVA di Python/R, Evaluasi Hasil Box's M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Review materi persiapan Ujian Tengah Semester (UTS) di LMS UNIROW</w:t>
            </w:r>
          </w:p>
        </w:tc>
        <w:tc>
          <w:tcPr>
            <w:tcW w:w="3059" w:type="dxa"/>
            <w:tcBorders/>
          </w:tcPr>
          <w:p>
            <w:pPr>
              <w:pStyle w:val="normal1"/>
              <w:spacing w:lineRule="auto" w:line="252" w:before="40" w:after="40"/>
              <w:jc w:val="start"/>
              <w:rPr/>
            </w:pPr>
            <w:r>
              <w:rPr>
                <w:rFonts w:ascii="Calibri" w:hAnsi="Calibri"/>
                <w:b w:val="false"/>
                <w:color w:val="000000"/>
                <w:sz w:val="17"/>
              </w:rPr>
              <w:t>Perbandingan Vektor Mean Multivariat, Hotelling's Two-Sample T², One-Way &amp; Two-Way MANOVA, Box's M Test (Pustaka Utama 1: Bab 6, Pustaka Utama 2: Bab 6)</w:t>
            </w:r>
          </w:p>
        </w:tc>
        <w:tc>
          <w:tcPr>
            <w:tcW w:w="1260" w:type="dxa"/>
            <w:tcBorders/>
          </w:tcPr>
          <w:p>
            <w:pPr>
              <w:pStyle w:val="normal1"/>
              <w:spacing w:lineRule="auto" w:line="252" w:before="40" w:after="40"/>
              <w:jc w:val="center"/>
              <w:rPr/>
            </w:pPr>
            <w:r>
              <w:rPr>
                <w:rFonts w:ascii="Calibri" w:hAnsi="Calibri"/>
                <w:b/>
                <w:color w:val="000000"/>
                <w:sz w:val="17"/>
              </w:rPr>
              <w:t>5%</w:t>
            </w:r>
          </w:p>
        </w:tc>
      </w:tr>
      <w:tr>
        <w:trPr/>
        <w:tc>
          <w:tcPr>
            <w:tcW w:w="547" w:type="dxa"/>
            <w:tcBorders/>
            <w:shd w:fill="FFF2CC" w:val="clear"/>
          </w:tcPr>
          <w:p>
            <w:pPr>
              <w:pStyle w:val="normal1"/>
              <w:spacing w:lineRule="auto" w:line="252" w:before="40" w:after="40"/>
              <w:jc w:val="center"/>
              <w:rPr/>
            </w:pPr>
            <w:r>
              <w:rPr>
                <w:rFonts w:ascii="Calibri" w:hAnsi="Calibri"/>
                <w:b/>
                <w:color w:val="000000"/>
                <w:sz w:val="17"/>
              </w:rPr>
              <w:t>8</w:t>
            </w:r>
          </w:p>
        </w:tc>
        <w:tc>
          <w:tcPr>
            <w:tcW w:w="2283" w:type="dxa"/>
            <w:tcBorders/>
            <w:shd w:fill="FFF2CC" w:val="clear"/>
          </w:tcPr>
          <w:p>
            <w:pPr>
              <w:pStyle w:val="normal1"/>
              <w:spacing w:lineRule="auto" w:line="252" w:before="40" w:after="40"/>
              <w:jc w:val="start"/>
              <w:rPr/>
            </w:pPr>
            <w:r>
              <w:rPr>
                <w:rFonts w:ascii="Calibri" w:hAnsi="Calibri"/>
                <w:b/>
                <w:color w:val="000000"/>
                <w:sz w:val="17"/>
              </w:rPr>
              <w:t>Evaluasi Tengah Semester (UTS): Mengukur ketercapaian CPMK1, CPMK2, dan CPMK3 (Sub-CPMK 1 s.d. 7)</w:t>
            </w:r>
          </w:p>
        </w:tc>
        <w:tc>
          <w:tcPr>
            <w:tcW w:w="1843" w:type="dxa"/>
            <w:tcBorders/>
            <w:shd w:fill="FFF2CC" w:val="clear"/>
          </w:tcPr>
          <w:p>
            <w:pPr>
              <w:pStyle w:val="normal1"/>
              <w:spacing w:lineRule="auto" w:line="252" w:before="40" w:after="40"/>
              <w:jc w:val="start"/>
              <w:rPr/>
            </w:pPr>
            <w:r>
              <w:rPr>
                <w:rFonts w:ascii="Calibri" w:hAnsi="Calibri"/>
                <w:b w:val="false"/>
                <w:color w:val="000000"/>
                <w:sz w:val="17"/>
              </w:rPr>
              <w:t>Ketuntasan, ketelitian, dan ketepatan mahasiswa dalam menyelesaikan soal analisis teoritis dan komputasi multivariat (Eksplorasi, Normalitas, PCA, EFA, Regresi, MANOVA)</w:t>
            </w:r>
          </w:p>
        </w:tc>
        <w:tc>
          <w:tcPr>
            <w:tcW w:w="1629" w:type="dxa"/>
            <w:tcBorders/>
            <w:shd w:fill="FFF2CC" w:val="clear"/>
          </w:tcPr>
          <w:p>
            <w:pPr>
              <w:pStyle w:val="normal1"/>
              <w:spacing w:lineRule="auto" w:line="252" w:before="40" w:after="40"/>
              <w:jc w:val="start"/>
              <w:rPr/>
            </w:pPr>
            <w:r>
              <w:rPr>
                <w:rFonts w:ascii="Calibri" w:hAnsi="Calibri"/>
                <w:b w:val="false"/>
                <w:color w:val="000000"/>
                <w:sz w:val="17"/>
              </w:rPr>
              <w:t>Kriteria: Rubrik Ujian Tertulis &amp; Pemecahan Kasus Komputasi (Skala 1-100); Teknik: Tes Tulis &amp; Ujian Praktik Mandiri</w:t>
            </w:r>
          </w:p>
        </w:tc>
        <w:tc>
          <w:tcPr>
            <w:tcW w:w="1677" w:type="dxa"/>
            <w:tcBorders/>
            <w:shd w:fill="FFF2CC" w:val="clear"/>
          </w:tcPr>
          <w:p>
            <w:pPr>
              <w:pStyle w:val="normal1"/>
              <w:spacing w:lineRule="auto" w:line="252" w:before="40" w:after="40"/>
              <w:jc w:val="start"/>
              <w:rPr/>
            </w:pPr>
            <w:r>
              <w:rPr>
                <w:rFonts w:ascii="Calibri" w:hAnsi="Calibri"/>
                <w:b w:val="false"/>
                <w:color w:val="000000"/>
                <w:sz w:val="17"/>
              </w:rPr>
              <w:t>Ujian Tengah Semester Tertulis &amp; Ujian Lab Komputasi Terjadwal (150 Menit)</w:t>
            </w:r>
          </w:p>
        </w:tc>
        <w:tc>
          <w:tcPr>
            <w:tcW w:w="1997" w:type="dxa"/>
            <w:tcBorders/>
            <w:shd w:fill="FFF2CC" w:val="clear"/>
          </w:tcPr>
          <w:p>
            <w:pPr>
              <w:pStyle w:val="normal1"/>
              <w:spacing w:lineRule="auto" w:line="252" w:before="40" w:after="40"/>
              <w:jc w:val="start"/>
              <w:rPr/>
            </w:pPr>
            <w:r>
              <w:rPr>
                <w:rFonts w:ascii="Calibri" w:hAnsi="Calibri"/>
                <w:b w:val="false"/>
                <w:color w:val="000000"/>
                <w:sz w:val="17"/>
              </w:rPr>
              <w:t>Pengumpulan berkas jawaban dan script analisis UTS melalui portal ujian LMS UNIROW</w:t>
            </w:r>
          </w:p>
        </w:tc>
        <w:tc>
          <w:tcPr>
            <w:tcW w:w="3059" w:type="dxa"/>
            <w:tcBorders/>
            <w:shd w:fill="FFF2CC" w:val="clear"/>
          </w:tcPr>
          <w:p>
            <w:pPr>
              <w:pStyle w:val="normal1"/>
              <w:spacing w:lineRule="auto" w:line="252" w:before="40" w:after="40"/>
              <w:jc w:val="start"/>
              <w:rPr/>
            </w:pPr>
            <w:r>
              <w:rPr>
                <w:rFonts w:ascii="Calibri" w:hAnsi="Calibri"/>
                <w:b w:val="false"/>
                <w:color w:val="000000"/>
                <w:sz w:val="17"/>
              </w:rPr>
              <w:t>Materi Perkuliahan Minggu 1 sampai Minggu 7</w:t>
            </w:r>
          </w:p>
        </w:tc>
        <w:tc>
          <w:tcPr>
            <w:tcW w:w="1260" w:type="dxa"/>
            <w:tcBorders/>
            <w:shd w:fill="FFF2CC" w:val="clear"/>
          </w:tcPr>
          <w:p>
            <w:pPr>
              <w:pStyle w:val="normal1"/>
              <w:spacing w:lineRule="auto" w:line="252" w:before="40" w:after="40"/>
              <w:jc w:val="center"/>
              <w:rPr/>
            </w:pPr>
            <w:r>
              <w:rPr>
                <w:rFonts w:ascii="Calibri" w:hAnsi="Calibri"/>
                <w:b/>
                <w:color w:val="000000"/>
                <w:sz w:val="17"/>
              </w:rPr>
              <w:t>15%</w:t>
            </w:r>
          </w:p>
        </w:tc>
      </w:tr>
      <w:tr>
        <w:trPr/>
        <w:tc>
          <w:tcPr>
            <w:tcW w:w="547" w:type="dxa"/>
            <w:tcBorders/>
          </w:tcPr>
          <w:p>
            <w:pPr>
              <w:pStyle w:val="normal1"/>
              <w:spacing w:lineRule="auto" w:line="252" w:before="40" w:after="40"/>
              <w:jc w:val="center"/>
              <w:rPr/>
            </w:pPr>
            <w:r>
              <w:rPr>
                <w:rFonts w:ascii="Calibri" w:hAnsi="Calibri"/>
                <w:b/>
                <w:color w:val="000000"/>
                <w:sz w:val="17"/>
              </w:rPr>
              <w:t>9</w:t>
            </w:r>
          </w:p>
        </w:tc>
        <w:tc>
          <w:tcPr>
            <w:tcW w:w="2283" w:type="dxa"/>
            <w:tcBorders/>
          </w:tcPr>
          <w:p>
            <w:pPr>
              <w:pStyle w:val="normal1"/>
              <w:spacing w:lineRule="auto" w:line="252" w:before="40" w:after="40"/>
              <w:jc w:val="start"/>
              <w:rPr/>
            </w:pPr>
            <w:r>
              <w:rPr>
                <w:rFonts w:ascii="Calibri" w:hAnsi="Calibri"/>
                <w:b/>
                <w:color w:val="000000"/>
                <w:sz w:val="17"/>
              </w:rPr>
              <w:t>Sub-CPMK8: Mampu merancang fungsi pembeda dan mengklasifikasikan observasi baru dengan Analisis Diskriminan Linier (LDA) dan Kuadratik (QDA) [C5]</w:t>
            </w:r>
          </w:p>
        </w:tc>
        <w:tc>
          <w:tcPr>
            <w:tcW w:w="1843" w:type="dxa"/>
            <w:tcBorders/>
          </w:tcPr>
          <w:p>
            <w:pPr>
              <w:pStyle w:val="normal1"/>
              <w:spacing w:lineRule="auto" w:line="252" w:before="40" w:after="40"/>
              <w:jc w:val="start"/>
              <w:rPr/>
            </w:pPr>
            <w:r>
              <w:rPr>
                <w:rFonts w:ascii="Calibri" w:hAnsi="Calibri"/>
                <w:b w:val="false"/>
                <w:color w:val="000000"/>
                <w:sz w:val="17"/>
              </w:rPr>
              <w:t>Ketepatan menghitung fungsi diskriminan Fisher, mengevaluasi Wilk's Lambda diskriminan, menguji asumsi homogenitas kovarians untuk memilih LDA vs QDA, serta menghitung error rate klasifikasi</w:t>
            </w:r>
          </w:p>
        </w:tc>
        <w:tc>
          <w:tcPr>
            <w:tcW w:w="1629" w:type="dxa"/>
            <w:tcBorders/>
          </w:tcPr>
          <w:p>
            <w:pPr>
              <w:pStyle w:val="normal1"/>
              <w:spacing w:lineRule="auto" w:line="252" w:before="40" w:after="40"/>
              <w:jc w:val="start"/>
              <w:rPr/>
            </w:pPr>
            <w:r>
              <w:rPr>
                <w:rFonts w:ascii="Calibri" w:hAnsi="Calibri"/>
                <w:b w:val="false"/>
                <w:color w:val="000000"/>
                <w:sz w:val="17"/>
              </w:rPr>
              <w:t>Kriteria: Akurasi pemodelan klasifikasi &amp; evaluasi batas keputusan; Teknik: Tugas Proyek Mandiri 1</w:t>
            </w:r>
          </w:p>
        </w:tc>
        <w:tc>
          <w:tcPr>
            <w:tcW w:w="1677" w:type="dxa"/>
            <w:tcBorders/>
          </w:tcPr>
          <w:p>
            <w:pPr>
              <w:pStyle w:val="normal1"/>
              <w:spacing w:lineRule="auto" w:line="252" w:before="40" w:after="40"/>
              <w:jc w:val="start"/>
              <w:rPr/>
            </w:pPr>
            <w:r>
              <w:rPr>
                <w:rFonts w:ascii="Calibri" w:hAnsi="Calibri"/>
                <w:b w:val="false"/>
                <w:color w:val="000000"/>
                <w:sz w:val="17"/>
              </w:rPr>
              <w:t>Kuliah Pengantar, Case-Based Learning: Klasifikasi Kelayakan Kredit Nasabah / Pengenalan Pola Teks, Praktikum LDA/QDA di Python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Akses tutorial interaktif perbandingan batas keputusan linier vs kuadratik di LMS UNIROW</w:t>
            </w:r>
          </w:p>
        </w:tc>
        <w:tc>
          <w:tcPr>
            <w:tcW w:w="3059" w:type="dxa"/>
            <w:tcBorders/>
          </w:tcPr>
          <w:p>
            <w:pPr>
              <w:pStyle w:val="normal1"/>
              <w:spacing w:lineRule="auto" w:line="252" w:before="40" w:after="40"/>
              <w:jc w:val="start"/>
              <w:rPr/>
            </w:pPr>
            <w:r>
              <w:rPr>
                <w:rFonts w:ascii="Calibri" w:hAnsi="Calibri"/>
                <w:b w:val="false"/>
                <w:color w:val="000000"/>
                <w:sz w:val="17"/>
              </w:rPr>
              <w:t>Discriminant Analysis, Two-Group &amp; Multi-Group LDA, QDA, Batas Keputusan Bayesian (Pustaka Utama 1: Bab 11, Pustaka Utama 2: Bab 5)</w:t>
            </w:r>
          </w:p>
        </w:tc>
        <w:tc>
          <w:tcPr>
            <w:tcW w:w="1260" w:type="dxa"/>
            <w:tcBorders/>
          </w:tcPr>
          <w:p>
            <w:pPr>
              <w:pStyle w:val="normal1"/>
              <w:spacing w:lineRule="auto" w:line="252" w:before="40" w:after="40"/>
              <w:jc w:val="center"/>
              <w:rPr/>
            </w:pPr>
            <w:r>
              <w:rPr>
                <w:rFonts w:ascii="Calibri" w:hAnsi="Calibri"/>
                <w:b/>
                <w:color w:val="000000"/>
                <w:sz w:val="17"/>
              </w:rPr>
              <w:t>5%</w:t>
            </w:r>
          </w:p>
        </w:tc>
      </w:tr>
      <w:tr>
        <w:trPr/>
        <w:tc>
          <w:tcPr>
            <w:tcW w:w="547" w:type="dxa"/>
            <w:tcBorders/>
          </w:tcPr>
          <w:p>
            <w:pPr>
              <w:pStyle w:val="normal1"/>
              <w:spacing w:lineRule="auto" w:line="252" w:before="40" w:after="40"/>
              <w:jc w:val="center"/>
              <w:rPr/>
            </w:pPr>
            <w:r>
              <w:rPr>
                <w:rFonts w:ascii="Calibri" w:hAnsi="Calibri"/>
                <w:b/>
                <w:color w:val="000000"/>
                <w:sz w:val="17"/>
              </w:rPr>
              <w:t>10</w:t>
            </w:r>
          </w:p>
        </w:tc>
        <w:tc>
          <w:tcPr>
            <w:tcW w:w="2283" w:type="dxa"/>
            <w:tcBorders/>
          </w:tcPr>
          <w:p>
            <w:pPr>
              <w:pStyle w:val="normal1"/>
              <w:spacing w:lineRule="auto" w:line="252" w:before="40" w:after="40"/>
              <w:jc w:val="start"/>
              <w:rPr/>
            </w:pPr>
            <w:r>
              <w:rPr>
                <w:rFonts w:ascii="Calibri" w:hAnsi="Calibri"/>
                <w:b/>
                <w:color w:val="000000"/>
                <w:sz w:val="17"/>
              </w:rPr>
              <w:t>Sub-CPMK9: Mampu merancang dan mengevaluasi segmentasi data observasi multivariat menggunakan teknik Hierarchical Clustering (Agglomerative) [C5]</w:t>
            </w:r>
          </w:p>
        </w:tc>
        <w:tc>
          <w:tcPr>
            <w:tcW w:w="1843" w:type="dxa"/>
            <w:tcBorders/>
          </w:tcPr>
          <w:p>
            <w:pPr>
              <w:pStyle w:val="normal1"/>
              <w:spacing w:lineRule="auto" w:line="252" w:before="40" w:after="40"/>
              <w:jc w:val="start"/>
              <w:rPr/>
            </w:pPr>
            <w:r>
              <w:rPr>
                <w:rFonts w:ascii="Calibri" w:hAnsi="Calibri"/>
                <w:b w:val="false"/>
                <w:color w:val="000000"/>
                <w:sz w:val="17"/>
              </w:rPr>
              <w:t>Ketepatan menghitung matriks jarak multivariat (Euclidean, Manhattan), membandingkan metode linkage (Single, Complete, Average, Centroid, Ward's method), dan menginterpretasikan grafik Dendrogram</w:t>
            </w:r>
          </w:p>
        </w:tc>
        <w:tc>
          <w:tcPr>
            <w:tcW w:w="1629" w:type="dxa"/>
            <w:tcBorders/>
          </w:tcPr>
          <w:p>
            <w:pPr>
              <w:pStyle w:val="normal1"/>
              <w:spacing w:lineRule="auto" w:line="252" w:before="40" w:after="40"/>
              <w:jc w:val="start"/>
              <w:rPr/>
            </w:pPr>
            <w:r>
              <w:rPr>
                <w:rFonts w:ascii="Calibri" w:hAnsi="Calibri"/>
                <w:b w:val="false"/>
                <w:color w:val="000000"/>
                <w:sz w:val="17"/>
              </w:rPr>
              <w:t>Kriteria: Ketepatan pemotongan dendrogram &amp; validitas klaster; Teknik: Lembar Kerja Praktikum Klastering</w:t>
            </w:r>
          </w:p>
        </w:tc>
        <w:tc>
          <w:tcPr>
            <w:tcW w:w="1677" w:type="dxa"/>
            <w:tcBorders/>
          </w:tcPr>
          <w:p>
            <w:pPr>
              <w:pStyle w:val="normal1"/>
              <w:spacing w:lineRule="auto" w:line="252" w:before="40" w:after="40"/>
              <w:jc w:val="start"/>
              <w:rPr/>
            </w:pPr>
            <w:r>
              <w:rPr>
                <w:rFonts w:ascii="Calibri" w:hAnsi="Calibri"/>
                <w:b w:val="false"/>
                <w:color w:val="000000"/>
                <w:sz w:val="17"/>
              </w:rPr>
              <w:t>Kuliah Mimbar, Praktikum Pembuatan Dendrogram dan Analisis Segmentasi Profil Pelanggan di Lab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Diskusi kelompok pemilihan metrik jarak pada data campuran di forum LMS UNIROW</w:t>
            </w:r>
          </w:p>
        </w:tc>
        <w:tc>
          <w:tcPr>
            <w:tcW w:w="3059" w:type="dxa"/>
            <w:tcBorders/>
          </w:tcPr>
          <w:p>
            <w:pPr>
              <w:pStyle w:val="normal1"/>
              <w:spacing w:lineRule="auto" w:line="252" w:before="40" w:after="40"/>
              <w:jc w:val="start"/>
              <w:rPr/>
            </w:pPr>
            <w:r>
              <w:rPr>
                <w:rFonts w:ascii="Calibri" w:hAnsi="Calibri"/>
                <w:b w:val="false"/>
                <w:color w:val="000000"/>
                <w:sz w:val="17"/>
              </w:rPr>
              <w:t>Cluster Analysis, Matriks Kedekatan (Proximity Matrix), Hierarchical Agglomerative Methods, Interpretasi Dendrogram (Pustaka Utama 1: Bab 12, Pustaka Utama 2: Bab 7)</w:t>
            </w:r>
          </w:p>
        </w:tc>
        <w:tc>
          <w:tcPr>
            <w:tcW w:w="1260" w:type="dxa"/>
            <w:tcBorders/>
          </w:tcPr>
          <w:p>
            <w:pPr>
              <w:pStyle w:val="normal1"/>
              <w:spacing w:lineRule="auto" w:line="252" w:before="40" w:after="40"/>
              <w:jc w:val="center"/>
              <w:rPr/>
            </w:pPr>
            <w:r>
              <w:rPr>
                <w:rFonts w:ascii="Calibri" w:hAnsi="Calibri"/>
                <w:b/>
                <w:color w:val="000000"/>
                <w:sz w:val="17"/>
              </w:rPr>
              <w:t>5%</w:t>
            </w:r>
          </w:p>
        </w:tc>
      </w:tr>
      <w:tr>
        <w:trPr/>
        <w:tc>
          <w:tcPr>
            <w:tcW w:w="547" w:type="dxa"/>
            <w:tcBorders/>
          </w:tcPr>
          <w:p>
            <w:pPr>
              <w:pStyle w:val="normal1"/>
              <w:spacing w:lineRule="auto" w:line="252" w:before="40" w:after="40"/>
              <w:jc w:val="center"/>
              <w:rPr/>
            </w:pPr>
            <w:r>
              <w:rPr>
                <w:rFonts w:ascii="Calibri" w:hAnsi="Calibri"/>
                <w:b/>
                <w:color w:val="000000"/>
                <w:sz w:val="17"/>
              </w:rPr>
              <w:t>11</w:t>
            </w:r>
          </w:p>
        </w:tc>
        <w:tc>
          <w:tcPr>
            <w:tcW w:w="2283" w:type="dxa"/>
            <w:tcBorders/>
          </w:tcPr>
          <w:p>
            <w:pPr>
              <w:pStyle w:val="normal1"/>
              <w:spacing w:lineRule="auto" w:line="252" w:before="40" w:after="40"/>
              <w:jc w:val="start"/>
              <w:rPr/>
            </w:pPr>
            <w:r>
              <w:rPr>
                <w:rFonts w:ascii="Calibri" w:hAnsi="Calibri"/>
                <w:b/>
                <w:color w:val="000000"/>
                <w:sz w:val="17"/>
              </w:rPr>
              <w:t>Sub-CPMK9: Mampu merancang dan mengevaluasi segmentasi data observasi multivariat menggunakan K-Means Clustering dan validasi koefisien Silhouette [C5, C6]</w:t>
            </w:r>
          </w:p>
        </w:tc>
        <w:tc>
          <w:tcPr>
            <w:tcW w:w="1843" w:type="dxa"/>
            <w:tcBorders/>
          </w:tcPr>
          <w:p>
            <w:pPr>
              <w:pStyle w:val="normal1"/>
              <w:spacing w:lineRule="auto" w:line="252" w:before="40" w:after="40"/>
              <w:jc w:val="start"/>
              <w:rPr/>
            </w:pPr>
            <w:r>
              <w:rPr>
                <w:rFonts w:ascii="Calibri" w:hAnsi="Calibri"/>
                <w:b w:val="false"/>
                <w:color w:val="000000"/>
                <w:sz w:val="17"/>
              </w:rPr>
              <w:t>Keahlian menerapkan algoritma Lloyd/K-Means, menentukan jumlah klaster k optimal dengan metode Elbow dan Silhouette Coefficient, serta menganalisis stabilitas klaster</w:t>
            </w:r>
          </w:p>
        </w:tc>
        <w:tc>
          <w:tcPr>
            <w:tcW w:w="1629" w:type="dxa"/>
            <w:tcBorders/>
          </w:tcPr>
          <w:p>
            <w:pPr>
              <w:pStyle w:val="normal1"/>
              <w:spacing w:lineRule="auto" w:line="252" w:before="40" w:after="40"/>
              <w:jc w:val="start"/>
              <w:rPr/>
            </w:pPr>
            <w:r>
              <w:rPr>
                <w:rFonts w:ascii="Calibri" w:hAnsi="Calibri"/>
                <w:b w:val="false"/>
                <w:color w:val="000000"/>
                <w:sz w:val="17"/>
              </w:rPr>
              <w:t>Kriteria: Ketajaman interpretasi profil klaster &amp; metrik validasi; Teknik: Portofolio Pemrograman Machine Learning Tanpa Supervisi</w:t>
            </w:r>
          </w:p>
        </w:tc>
        <w:tc>
          <w:tcPr>
            <w:tcW w:w="1677" w:type="dxa"/>
            <w:tcBorders/>
          </w:tcPr>
          <w:p>
            <w:pPr>
              <w:pStyle w:val="normal1"/>
              <w:spacing w:lineRule="auto" w:line="252" w:before="40" w:after="40"/>
              <w:jc w:val="start"/>
              <w:rPr/>
            </w:pPr>
            <w:r>
              <w:rPr>
                <w:rFonts w:ascii="Calibri" w:hAnsi="Calibri"/>
                <w:b w:val="false"/>
                <w:color w:val="000000"/>
                <w:sz w:val="17"/>
              </w:rPr>
              <w:t>Kuliah Interaktif, Diskusi Kelompok Penerapan K-Means pada Big Data, Praktikum K-Means &amp; Profiling Karakter Klaster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Eksplorasi visualisasi Klaster 3D interaktif menggunakan Plotly di LMS UNIROW</w:t>
            </w:r>
          </w:p>
        </w:tc>
        <w:tc>
          <w:tcPr>
            <w:tcW w:w="3059" w:type="dxa"/>
            <w:tcBorders/>
          </w:tcPr>
          <w:p>
            <w:pPr>
              <w:pStyle w:val="normal1"/>
              <w:spacing w:lineRule="auto" w:line="252" w:before="40" w:after="40"/>
              <w:jc w:val="start"/>
              <w:rPr/>
            </w:pPr>
            <w:r>
              <w:rPr>
                <w:rFonts w:ascii="Calibri" w:hAnsi="Calibri"/>
                <w:b w:val="false"/>
                <w:color w:val="000000"/>
                <w:sz w:val="17"/>
              </w:rPr>
              <w:t>Non-Hierarchical Clustering (K-Means, K-Medoids), Optimasi Inersia, Elbow Curve, Silhouette Analysis (Pustaka Utama 2: Bab 7, Pustaka Pendukung 1: Bab 10)</w:t>
            </w:r>
          </w:p>
        </w:tc>
        <w:tc>
          <w:tcPr>
            <w:tcW w:w="1260" w:type="dxa"/>
            <w:tcBorders/>
          </w:tcPr>
          <w:p>
            <w:pPr>
              <w:pStyle w:val="normal1"/>
              <w:spacing w:lineRule="auto" w:line="252" w:before="40" w:after="40"/>
              <w:jc w:val="center"/>
              <w:rPr/>
            </w:pPr>
            <w:r>
              <w:rPr>
                <w:rFonts w:ascii="Calibri" w:hAnsi="Calibri"/>
                <w:b/>
                <w:color w:val="000000"/>
                <w:sz w:val="17"/>
              </w:rPr>
              <w:t>5%</w:t>
            </w:r>
          </w:p>
        </w:tc>
      </w:tr>
      <w:tr>
        <w:trPr/>
        <w:tc>
          <w:tcPr>
            <w:tcW w:w="547" w:type="dxa"/>
            <w:tcBorders/>
          </w:tcPr>
          <w:p>
            <w:pPr>
              <w:pStyle w:val="normal1"/>
              <w:spacing w:lineRule="auto" w:line="252" w:before="40" w:after="40"/>
              <w:jc w:val="center"/>
              <w:rPr/>
            </w:pPr>
            <w:r>
              <w:rPr>
                <w:rFonts w:ascii="Calibri" w:hAnsi="Calibri"/>
                <w:b/>
                <w:color w:val="000000"/>
                <w:sz w:val="17"/>
              </w:rPr>
              <w:t>12</w:t>
            </w:r>
          </w:p>
        </w:tc>
        <w:tc>
          <w:tcPr>
            <w:tcW w:w="2283" w:type="dxa"/>
            <w:tcBorders/>
          </w:tcPr>
          <w:p>
            <w:pPr>
              <w:pStyle w:val="normal1"/>
              <w:spacing w:lineRule="auto" w:line="252" w:before="40" w:after="40"/>
              <w:jc w:val="start"/>
              <w:rPr/>
            </w:pPr>
            <w:r>
              <w:rPr>
                <w:rFonts w:ascii="Calibri" w:hAnsi="Calibri"/>
                <w:b/>
                <w:color w:val="000000"/>
                <w:sz w:val="17"/>
              </w:rPr>
              <w:t>Sub-CPMK10: Mampu merancang visualisasi persepsi posisi objek spasial multivariat menggunakan Multidimensional Scaling (MDS) [C5]</w:t>
            </w:r>
          </w:p>
        </w:tc>
        <w:tc>
          <w:tcPr>
            <w:tcW w:w="1843" w:type="dxa"/>
            <w:tcBorders/>
          </w:tcPr>
          <w:p>
            <w:pPr>
              <w:pStyle w:val="normal1"/>
              <w:spacing w:lineRule="auto" w:line="252" w:before="40" w:after="40"/>
              <w:jc w:val="start"/>
              <w:rPr/>
            </w:pPr>
            <w:r>
              <w:rPr>
                <w:rFonts w:ascii="Calibri" w:hAnsi="Calibri"/>
                <w:b w:val="false"/>
                <w:color w:val="000000"/>
                <w:sz w:val="17"/>
              </w:rPr>
              <w:t>Ketepatan merekonstruksi konfigurasi geometris berdimensi rendah dari matriks dissimilaritas objek, mengevaluasi nilai STRESS (Kruskal's Stress), dan menginterpretasikan perceptual map posisi kompetitor</w:t>
            </w:r>
          </w:p>
        </w:tc>
        <w:tc>
          <w:tcPr>
            <w:tcW w:w="1629" w:type="dxa"/>
            <w:tcBorders/>
          </w:tcPr>
          <w:p>
            <w:pPr>
              <w:pStyle w:val="normal1"/>
              <w:spacing w:lineRule="auto" w:line="252" w:before="40" w:after="40"/>
              <w:jc w:val="start"/>
              <w:rPr/>
            </w:pPr>
            <w:r>
              <w:rPr>
                <w:rFonts w:ascii="Calibri" w:hAnsi="Calibri"/>
                <w:b w:val="false"/>
                <w:color w:val="000000"/>
                <w:sz w:val="17"/>
              </w:rPr>
              <w:t>Kriteria: Kebenaran interpretasi perceptual mapping; Teknik: Tugas Analisis Brand Positioning Industri TI</w:t>
            </w:r>
          </w:p>
        </w:tc>
        <w:tc>
          <w:tcPr>
            <w:tcW w:w="1677" w:type="dxa"/>
            <w:tcBorders/>
          </w:tcPr>
          <w:p>
            <w:pPr>
              <w:pStyle w:val="normal1"/>
              <w:spacing w:lineRule="auto" w:line="252" w:before="40" w:after="40"/>
              <w:jc w:val="start"/>
              <w:rPr/>
            </w:pPr>
            <w:r>
              <w:rPr>
                <w:rFonts w:ascii="Calibri" w:hAnsi="Calibri"/>
                <w:b w:val="false"/>
                <w:color w:val="000000"/>
                <w:sz w:val="17"/>
              </w:rPr>
              <w:t>Kuliah Diskusi, Demonstrasi Perhitungan Classical Metric MDS dan Non-Metric MDS di R/Python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Mengunduh modul studi kasus perceptual map e-commerce di LMS UNIROW</w:t>
            </w:r>
          </w:p>
        </w:tc>
        <w:tc>
          <w:tcPr>
            <w:tcW w:w="3059" w:type="dxa"/>
            <w:tcBorders/>
          </w:tcPr>
          <w:p>
            <w:pPr>
              <w:pStyle w:val="normal1"/>
              <w:spacing w:lineRule="auto" w:line="252" w:before="40" w:after="40"/>
              <w:jc w:val="start"/>
              <w:rPr/>
            </w:pPr>
            <w:r>
              <w:rPr>
                <w:rFonts w:ascii="Calibri" w:hAnsi="Calibri"/>
                <w:b w:val="false"/>
                <w:color w:val="000000"/>
                <w:sz w:val="17"/>
              </w:rPr>
              <w:t>Multidimensional Scaling (MDS), Matriks Dissimilaritas, Metrik vs Non-Metrik MDS, Nilai Stress &amp; Shepard Diagram (Pustaka Utama 1: Bab 12, Pustaka Utama 2: Bab 8)</w:t>
            </w:r>
          </w:p>
        </w:tc>
        <w:tc>
          <w:tcPr>
            <w:tcW w:w="1260" w:type="dxa"/>
            <w:tcBorders/>
          </w:tcPr>
          <w:p>
            <w:pPr>
              <w:pStyle w:val="normal1"/>
              <w:spacing w:lineRule="auto" w:line="252" w:before="40" w:after="40"/>
              <w:jc w:val="center"/>
              <w:rPr/>
            </w:pPr>
            <w:r>
              <w:rPr>
                <w:rFonts w:ascii="Calibri" w:hAnsi="Calibri"/>
                <w:b/>
                <w:color w:val="000000"/>
                <w:sz w:val="17"/>
              </w:rPr>
              <w:t>4%</w:t>
            </w:r>
          </w:p>
        </w:tc>
      </w:tr>
      <w:tr>
        <w:trPr/>
        <w:tc>
          <w:tcPr>
            <w:tcW w:w="547" w:type="dxa"/>
            <w:tcBorders/>
          </w:tcPr>
          <w:p>
            <w:pPr>
              <w:pStyle w:val="normal1"/>
              <w:spacing w:lineRule="auto" w:line="252" w:before="40" w:after="40"/>
              <w:jc w:val="center"/>
              <w:rPr/>
            </w:pPr>
            <w:r>
              <w:rPr>
                <w:rFonts w:ascii="Calibri" w:hAnsi="Calibri"/>
                <w:b/>
                <w:color w:val="000000"/>
                <w:sz w:val="17"/>
              </w:rPr>
              <w:t>13</w:t>
            </w:r>
          </w:p>
        </w:tc>
        <w:tc>
          <w:tcPr>
            <w:tcW w:w="2283" w:type="dxa"/>
            <w:tcBorders/>
          </w:tcPr>
          <w:p>
            <w:pPr>
              <w:pStyle w:val="normal1"/>
              <w:spacing w:lineRule="auto" w:line="252" w:before="40" w:after="40"/>
              <w:jc w:val="start"/>
              <w:rPr/>
            </w:pPr>
            <w:r>
              <w:rPr>
                <w:rFonts w:ascii="Calibri" w:hAnsi="Calibri"/>
                <w:b/>
                <w:color w:val="000000"/>
                <w:sz w:val="17"/>
              </w:rPr>
              <w:t>Sub-CPMK10: Mampu merancang pemetaan visual asosiasi antar variabel kategori menggunakan Analisis Korespondensi (Correspondence Analysis) [C5]</w:t>
            </w:r>
          </w:p>
        </w:tc>
        <w:tc>
          <w:tcPr>
            <w:tcW w:w="1843" w:type="dxa"/>
            <w:tcBorders/>
          </w:tcPr>
          <w:p>
            <w:pPr>
              <w:pStyle w:val="normal1"/>
              <w:spacing w:lineRule="auto" w:line="252" w:before="40" w:after="40"/>
              <w:jc w:val="start"/>
              <w:rPr/>
            </w:pPr>
            <w:r>
              <w:rPr>
                <w:rFonts w:ascii="Calibri" w:hAnsi="Calibri"/>
                <w:b w:val="false"/>
                <w:color w:val="000000"/>
                <w:sz w:val="17"/>
              </w:rPr>
              <w:t>Kemampuan menyusun tabel kontingensi multivariat, menghitung profil baris dan kolom, melakukan dekomposisi nilai singular (SVD) pada matriks inersia, dan memvisualisasikan peta korespondensi 2D</w:t>
            </w:r>
          </w:p>
        </w:tc>
        <w:tc>
          <w:tcPr>
            <w:tcW w:w="1629" w:type="dxa"/>
            <w:tcBorders/>
          </w:tcPr>
          <w:p>
            <w:pPr>
              <w:pStyle w:val="normal1"/>
              <w:spacing w:lineRule="auto" w:line="252" w:before="40" w:after="40"/>
              <w:jc w:val="start"/>
              <w:rPr/>
            </w:pPr>
            <w:r>
              <w:rPr>
                <w:rFonts w:ascii="Calibri" w:hAnsi="Calibri"/>
                <w:b w:val="false"/>
                <w:color w:val="000000"/>
                <w:sz w:val="17"/>
              </w:rPr>
              <w:t>Kriteria: Ketepatan interpretasi asosiasi silang; Teknik: Tugas Analisis Asosiasi Fitur Perangkat Lunak</w:t>
            </w:r>
          </w:p>
        </w:tc>
        <w:tc>
          <w:tcPr>
            <w:tcW w:w="1677" w:type="dxa"/>
            <w:tcBorders/>
          </w:tcPr>
          <w:p>
            <w:pPr>
              <w:pStyle w:val="normal1"/>
              <w:spacing w:lineRule="auto" w:line="252" w:before="40" w:after="40"/>
              <w:jc w:val="start"/>
              <w:rPr/>
            </w:pPr>
            <w:r>
              <w:rPr>
                <w:rFonts w:ascii="Calibri" w:hAnsi="Calibri"/>
                <w:b w:val="false"/>
                <w:color w:val="000000"/>
                <w:sz w:val="17"/>
              </w:rPr>
              <w:t>Kuliah Mimbar, Praktikum Simple &amp; Multiple Correspondence Analysis (MCA) di Python/R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Aktivitas kuis interaktif mengenai penentuan inersia total di LMS UNIROW</w:t>
            </w:r>
          </w:p>
        </w:tc>
        <w:tc>
          <w:tcPr>
            <w:tcW w:w="3059" w:type="dxa"/>
            <w:tcBorders/>
          </w:tcPr>
          <w:p>
            <w:pPr>
              <w:pStyle w:val="normal1"/>
              <w:spacing w:lineRule="auto" w:line="252" w:before="40" w:after="40"/>
              <w:jc w:val="start"/>
              <w:rPr/>
            </w:pPr>
            <w:r>
              <w:rPr>
                <w:rFonts w:ascii="Calibri" w:hAnsi="Calibri"/>
                <w:b w:val="false"/>
                <w:color w:val="000000"/>
                <w:sz w:val="17"/>
              </w:rPr>
              <w:t>Simple Correspondence Analysis (CA), Multiple Correspondence Analysis (MCA), Matriks Kontingensi, Inersia &amp; Chi-Square Metric (Pustaka Utama 2: Bab 8, Pustaka Utama 3: Bab 5)</w:t>
            </w:r>
          </w:p>
        </w:tc>
        <w:tc>
          <w:tcPr>
            <w:tcW w:w="1260" w:type="dxa"/>
            <w:tcBorders/>
          </w:tcPr>
          <w:p>
            <w:pPr>
              <w:pStyle w:val="normal1"/>
              <w:spacing w:lineRule="auto" w:line="252" w:before="40" w:after="40"/>
              <w:jc w:val="center"/>
              <w:rPr/>
            </w:pPr>
            <w:r>
              <w:rPr>
                <w:rFonts w:ascii="Calibri" w:hAnsi="Calibri"/>
                <w:b/>
                <w:color w:val="000000"/>
                <w:sz w:val="17"/>
              </w:rPr>
              <w:t>4%</w:t>
            </w:r>
          </w:p>
        </w:tc>
      </w:tr>
      <w:tr>
        <w:trPr/>
        <w:tc>
          <w:tcPr>
            <w:tcW w:w="547" w:type="dxa"/>
            <w:tcBorders/>
          </w:tcPr>
          <w:p>
            <w:pPr>
              <w:pStyle w:val="normal1"/>
              <w:spacing w:lineRule="auto" w:line="252" w:before="40" w:after="40"/>
              <w:jc w:val="center"/>
              <w:rPr/>
            </w:pPr>
            <w:r>
              <w:rPr>
                <w:rFonts w:ascii="Calibri" w:hAnsi="Calibri"/>
                <w:b/>
                <w:color w:val="000000"/>
                <w:sz w:val="17"/>
              </w:rPr>
              <w:t>14</w:t>
            </w:r>
          </w:p>
        </w:tc>
        <w:tc>
          <w:tcPr>
            <w:tcW w:w="2283" w:type="dxa"/>
            <w:tcBorders/>
          </w:tcPr>
          <w:p>
            <w:pPr>
              <w:pStyle w:val="normal1"/>
              <w:spacing w:lineRule="auto" w:line="252" w:before="40" w:after="40"/>
              <w:jc w:val="start"/>
              <w:rPr/>
            </w:pPr>
            <w:r>
              <w:rPr>
                <w:rFonts w:ascii="Calibri" w:hAnsi="Calibri"/>
                <w:b/>
                <w:color w:val="000000"/>
                <w:sz w:val="17"/>
              </w:rPr>
              <w:t>Sub-CPMK11: Mampu merancang dan mengintegrasikan alur kerja analitik data multivariat (end-to-end pipeline) pada studi kasus data riil [C5, C6]</w:t>
            </w:r>
          </w:p>
        </w:tc>
        <w:tc>
          <w:tcPr>
            <w:tcW w:w="1843" w:type="dxa"/>
            <w:tcBorders/>
          </w:tcPr>
          <w:p>
            <w:pPr>
              <w:pStyle w:val="normal1"/>
              <w:spacing w:lineRule="auto" w:line="252" w:before="40" w:after="40"/>
              <w:jc w:val="start"/>
              <w:rPr/>
            </w:pPr>
            <w:r>
              <w:rPr>
                <w:rFonts w:ascii="Calibri" w:hAnsi="Calibri"/>
                <w:b w:val="false"/>
                <w:color w:val="000000"/>
                <w:sz w:val="17"/>
              </w:rPr>
              <w:t>Kemampuan menggabungkan teknik reduksi dimensi, pengelompokan/klasifikasi, dan pemodelan statistik dalam satu pipeline komputasi terstruktur untuk menyelesaikan problem analitik kompleks</w:t>
            </w:r>
          </w:p>
        </w:tc>
        <w:tc>
          <w:tcPr>
            <w:tcW w:w="1629" w:type="dxa"/>
            <w:tcBorders/>
          </w:tcPr>
          <w:p>
            <w:pPr>
              <w:pStyle w:val="normal1"/>
              <w:spacing w:lineRule="auto" w:line="252" w:before="40" w:after="40"/>
              <w:jc w:val="start"/>
              <w:rPr/>
            </w:pPr>
            <w:r>
              <w:rPr>
                <w:rFonts w:ascii="Calibri" w:hAnsi="Calibri"/>
                <w:b w:val="false"/>
                <w:color w:val="000000"/>
                <w:sz w:val="17"/>
              </w:rPr>
              <w:t>Kriteria: Kematangan metodologi &amp; efisiensi script kode; Teknik: Asesmen Progres Proyek Besar &amp; Review Kode</w:t>
            </w:r>
          </w:p>
        </w:tc>
        <w:tc>
          <w:tcPr>
            <w:tcW w:w="1677" w:type="dxa"/>
            <w:tcBorders/>
          </w:tcPr>
          <w:p>
            <w:pPr>
              <w:pStyle w:val="normal1"/>
              <w:spacing w:lineRule="auto" w:line="252" w:before="40" w:after="40"/>
              <w:jc w:val="start"/>
              <w:rPr/>
            </w:pPr>
            <w:r>
              <w:rPr>
                <w:rFonts w:ascii="Calibri" w:hAnsi="Calibri"/>
                <w:b w:val="false"/>
                <w:color w:val="000000"/>
                <w:sz w:val="17"/>
              </w:rPr>
              <w:t>Project-Based Learning (PjBL) Workshop: Asistensi, Debugging, dan Review Pipeline Data Multivariat Mahasiswa di Lab Komputer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Upload draf naskah laporan proyek &amp; repositori kode (GitHub/GitLab) ke LMS UNIROW</w:t>
            </w:r>
          </w:p>
        </w:tc>
        <w:tc>
          <w:tcPr>
            <w:tcW w:w="3059" w:type="dxa"/>
            <w:tcBorders/>
          </w:tcPr>
          <w:p>
            <w:pPr>
              <w:pStyle w:val="normal1"/>
              <w:spacing w:lineRule="auto" w:line="252" w:before="40" w:after="40"/>
              <w:jc w:val="start"/>
              <w:rPr/>
            </w:pPr>
            <w:r>
              <w:rPr>
                <w:rFonts w:ascii="Calibri" w:hAnsi="Calibri"/>
                <w:b w:val="false"/>
                <w:color w:val="000000"/>
                <w:sz w:val="17"/>
              </w:rPr>
              <w:t>Integrasi Metodologi Analitik Multivariat, Data Preprocessing Pipeline, Feature Engineering, Interpretasi Bisnis &amp; Saintifik (Pustaka Utama 1 &amp; 2)</w:t>
            </w:r>
          </w:p>
        </w:tc>
        <w:tc>
          <w:tcPr>
            <w:tcW w:w="1260" w:type="dxa"/>
            <w:tcBorders/>
          </w:tcPr>
          <w:p>
            <w:pPr>
              <w:pStyle w:val="normal1"/>
              <w:spacing w:lineRule="auto" w:line="252" w:before="40" w:after="40"/>
              <w:jc w:val="center"/>
              <w:rPr/>
            </w:pPr>
            <w:r>
              <w:rPr>
                <w:rFonts w:ascii="Calibri" w:hAnsi="Calibri"/>
                <w:b/>
                <w:color w:val="000000"/>
                <w:sz w:val="17"/>
              </w:rPr>
              <w:t>5%</w:t>
            </w:r>
          </w:p>
        </w:tc>
      </w:tr>
      <w:tr>
        <w:trPr/>
        <w:tc>
          <w:tcPr>
            <w:tcW w:w="547" w:type="dxa"/>
            <w:tcBorders/>
          </w:tcPr>
          <w:p>
            <w:pPr>
              <w:pStyle w:val="normal1"/>
              <w:spacing w:lineRule="auto" w:line="252" w:before="40" w:after="40"/>
              <w:jc w:val="center"/>
              <w:rPr/>
            </w:pPr>
            <w:r>
              <w:rPr>
                <w:rFonts w:ascii="Calibri" w:hAnsi="Calibri"/>
                <w:b/>
                <w:color w:val="000000"/>
                <w:sz w:val="17"/>
              </w:rPr>
              <w:t>15</w:t>
            </w:r>
          </w:p>
        </w:tc>
        <w:tc>
          <w:tcPr>
            <w:tcW w:w="2283" w:type="dxa"/>
            <w:tcBorders/>
          </w:tcPr>
          <w:p>
            <w:pPr>
              <w:pStyle w:val="normal1"/>
              <w:spacing w:lineRule="auto" w:line="252" w:before="40" w:after="40"/>
              <w:jc w:val="start"/>
              <w:rPr/>
            </w:pPr>
            <w:r>
              <w:rPr>
                <w:rFonts w:ascii="Calibri" w:hAnsi="Calibri"/>
                <w:b/>
                <w:color w:val="000000"/>
                <w:sz w:val="17"/>
              </w:rPr>
              <w:t>Sub-CPMK11: Mampu mempresentasikan dan mempertahankan hasil temuan proyek analitik multivariat dengan visualisasi interaktif dan saintifik [C5, C6]</w:t>
            </w:r>
          </w:p>
        </w:tc>
        <w:tc>
          <w:tcPr>
            <w:tcW w:w="1843" w:type="dxa"/>
            <w:tcBorders/>
          </w:tcPr>
          <w:p>
            <w:pPr>
              <w:pStyle w:val="normal1"/>
              <w:spacing w:lineRule="auto" w:line="252" w:before="40" w:after="40"/>
              <w:jc w:val="start"/>
              <w:rPr/>
            </w:pPr>
            <w:r>
              <w:rPr>
                <w:rFonts w:ascii="Calibri" w:hAnsi="Calibri"/>
                <w:b w:val="false"/>
                <w:color w:val="000000"/>
                <w:sz w:val="17"/>
              </w:rPr>
              <w:t>Kemampuan menyajikan temuan analitis secara terstruktur, menjawab pertanyaan kritis tim penguji/dosen, serta menyajikan visualisasi data yang komunikatif dan berwawasan mendalam</w:t>
            </w:r>
          </w:p>
        </w:tc>
        <w:tc>
          <w:tcPr>
            <w:tcW w:w="1629" w:type="dxa"/>
            <w:tcBorders/>
          </w:tcPr>
          <w:p>
            <w:pPr>
              <w:pStyle w:val="normal1"/>
              <w:spacing w:lineRule="auto" w:line="252" w:before="40" w:after="40"/>
              <w:jc w:val="start"/>
              <w:rPr/>
            </w:pPr>
            <w:r>
              <w:rPr>
                <w:rFonts w:ascii="Calibri" w:hAnsi="Calibri"/>
                <w:b w:val="false"/>
                <w:color w:val="000000"/>
                <w:sz w:val="17"/>
              </w:rPr>
              <w:t>Kriteria: Rubrik Penilaian Presentasi &amp; Komunikasi Ilmiah (Skala 1-5); Teknik: Penilaian Presentasi Kelompok &amp; Tanya Jawab</w:t>
            </w:r>
          </w:p>
        </w:tc>
        <w:tc>
          <w:tcPr>
            <w:tcW w:w="1677" w:type="dxa"/>
            <w:tcBorders/>
          </w:tcPr>
          <w:p>
            <w:pPr>
              <w:pStyle w:val="normal1"/>
              <w:spacing w:lineRule="auto" w:line="252" w:before="40" w:after="40"/>
              <w:jc w:val="start"/>
              <w:rPr/>
            </w:pPr>
            <w:r>
              <w:rPr>
                <w:rFonts w:ascii="Calibri" w:hAnsi="Calibri"/>
                <w:b w:val="false"/>
                <w:color w:val="000000"/>
                <w:sz w:val="17"/>
              </w:rPr>
              <w:t>Seminar Kelas Presentasi Proyek Akhir Analisa Data Multivariat, Sesi Tanya Jawab Kritis &amp; Peer-Review Antar Kelompok (PB: 3x50'; PT: 3x60'; BM: 3x60')</w:t>
            </w:r>
          </w:p>
        </w:tc>
        <w:tc>
          <w:tcPr>
            <w:tcW w:w="1997" w:type="dxa"/>
            <w:tcBorders/>
          </w:tcPr>
          <w:p>
            <w:pPr>
              <w:pStyle w:val="normal1"/>
              <w:spacing w:lineRule="auto" w:line="252" w:before="40" w:after="40"/>
              <w:jc w:val="start"/>
              <w:rPr/>
            </w:pPr>
            <w:r>
              <w:rPr>
                <w:rFonts w:ascii="Calibri" w:hAnsi="Calibri"/>
                <w:b w:val="false"/>
                <w:color w:val="000000"/>
                <w:sz w:val="17"/>
              </w:rPr>
              <w:t>Feedback peer-review tertulis antar mahasiswa melalui LMS UNIROW</w:t>
            </w:r>
          </w:p>
        </w:tc>
        <w:tc>
          <w:tcPr>
            <w:tcW w:w="3059" w:type="dxa"/>
            <w:tcBorders/>
          </w:tcPr>
          <w:p>
            <w:pPr>
              <w:pStyle w:val="normal1"/>
              <w:spacing w:lineRule="auto" w:line="252" w:before="40" w:after="40"/>
              <w:jc w:val="start"/>
              <w:rPr/>
            </w:pPr>
            <w:r>
              <w:rPr>
                <w:rFonts w:ascii="Calibri" w:hAnsi="Calibri"/>
                <w:b w:val="false"/>
                <w:color w:val="000000"/>
                <w:sz w:val="17"/>
              </w:rPr>
              <w:t>Diseminasi Ilmiah Data Science, Standar Penulisan Laporan Teknis/Saintifik, Storytelling with Multivariate Data</w:t>
            </w:r>
          </w:p>
        </w:tc>
        <w:tc>
          <w:tcPr>
            <w:tcW w:w="1260" w:type="dxa"/>
            <w:tcBorders/>
          </w:tcPr>
          <w:p>
            <w:pPr>
              <w:pStyle w:val="normal1"/>
              <w:spacing w:lineRule="auto" w:line="252" w:before="40" w:after="40"/>
              <w:jc w:val="center"/>
              <w:rPr/>
            </w:pPr>
            <w:r>
              <w:rPr>
                <w:rFonts w:ascii="Calibri" w:hAnsi="Calibri"/>
                <w:b/>
                <w:color w:val="000000"/>
                <w:sz w:val="17"/>
              </w:rPr>
              <w:t>7%</w:t>
            </w:r>
          </w:p>
        </w:tc>
      </w:tr>
      <w:tr>
        <w:trPr/>
        <w:tc>
          <w:tcPr>
            <w:tcW w:w="547" w:type="dxa"/>
            <w:tcBorders/>
            <w:shd w:fill="FFF2CC" w:val="clear"/>
          </w:tcPr>
          <w:p>
            <w:pPr>
              <w:pStyle w:val="normal1"/>
              <w:spacing w:lineRule="auto" w:line="252" w:before="40" w:after="40"/>
              <w:jc w:val="center"/>
              <w:rPr/>
            </w:pPr>
            <w:r>
              <w:rPr>
                <w:rFonts w:ascii="Calibri" w:hAnsi="Calibri"/>
                <w:b/>
                <w:color w:val="000000"/>
                <w:sz w:val="17"/>
              </w:rPr>
              <w:t>16</w:t>
            </w:r>
          </w:p>
        </w:tc>
        <w:tc>
          <w:tcPr>
            <w:tcW w:w="2283" w:type="dxa"/>
            <w:tcBorders/>
            <w:shd w:fill="FFF2CC" w:val="clear"/>
          </w:tcPr>
          <w:p>
            <w:pPr>
              <w:pStyle w:val="normal1"/>
              <w:spacing w:lineRule="auto" w:line="252" w:before="40" w:after="40"/>
              <w:jc w:val="start"/>
              <w:rPr/>
            </w:pPr>
            <w:r>
              <w:rPr>
                <w:rFonts w:ascii="Calibri" w:hAnsi="Calibri"/>
                <w:b/>
                <w:color w:val="000000"/>
                <w:sz w:val="17"/>
              </w:rPr>
              <w:t>Evaluasi Akhir Semester (UAS): Mengukur ketercapaian CPMK3 dan CPMK4 (Sub-CPMK 8 s.d. 11) berbasis Proyek Analitik Komprehensif</w:t>
            </w:r>
          </w:p>
        </w:tc>
        <w:tc>
          <w:tcPr>
            <w:tcW w:w="1843" w:type="dxa"/>
            <w:tcBorders/>
            <w:shd w:fill="FFF2CC" w:val="clear"/>
          </w:tcPr>
          <w:p>
            <w:pPr>
              <w:pStyle w:val="normal1"/>
              <w:spacing w:lineRule="auto" w:line="252" w:before="40" w:after="40"/>
              <w:jc w:val="start"/>
              <w:rPr/>
            </w:pPr>
            <w:r>
              <w:rPr>
                <w:rFonts w:ascii="Calibri" w:hAnsi="Calibri"/>
                <w:b w:val="false"/>
                <w:color w:val="000000"/>
                <w:sz w:val="17"/>
              </w:rPr>
              <w:t>Kualitas final report, kebaruan dan kompleksitas dataset yang dianalisis, ketepatan metode multivariat yang diterapkan, kecanggihan visualisasi, dan reliabilitas kode komputasi</w:t>
            </w:r>
          </w:p>
        </w:tc>
        <w:tc>
          <w:tcPr>
            <w:tcW w:w="1629" w:type="dxa"/>
            <w:tcBorders/>
            <w:shd w:fill="FFF2CC" w:val="clear"/>
          </w:tcPr>
          <w:p>
            <w:pPr>
              <w:pStyle w:val="normal1"/>
              <w:spacing w:lineRule="auto" w:line="252" w:before="40" w:after="40"/>
              <w:jc w:val="start"/>
              <w:rPr/>
            </w:pPr>
            <w:r>
              <w:rPr>
                <w:rFonts w:ascii="Calibri" w:hAnsi="Calibri"/>
                <w:b w:val="false"/>
                <w:color w:val="000000"/>
                <w:sz w:val="17"/>
              </w:rPr>
              <w:t>Kriteria: Rubrik Holistik Laporan Proyek Akhir &amp; Repositori Source Code (Skala 1-100); Teknik: Penilaian Laporan Proyek &amp; Deliverables</w:t>
            </w:r>
          </w:p>
        </w:tc>
        <w:tc>
          <w:tcPr>
            <w:tcW w:w="1677" w:type="dxa"/>
            <w:tcBorders/>
            <w:shd w:fill="FFF2CC" w:val="clear"/>
          </w:tcPr>
          <w:p>
            <w:pPr>
              <w:pStyle w:val="normal1"/>
              <w:spacing w:lineRule="auto" w:line="252" w:before="40" w:after="40"/>
              <w:jc w:val="start"/>
              <w:rPr/>
            </w:pPr>
            <w:r>
              <w:rPr>
                <w:rFonts w:ascii="Calibri" w:hAnsi="Calibri"/>
                <w:b w:val="false"/>
                <w:color w:val="000000"/>
                <w:sz w:val="17"/>
              </w:rPr>
              <w:t>Pengumpulan Akhir Laporan Hardcopy &amp; Sidang Evaluasi Akhir Hasil Proyek Terjadwal</w:t>
            </w:r>
          </w:p>
        </w:tc>
        <w:tc>
          <w:tcPr>
            <w:tcW w:w="1997" w:type="dxa"/>
            <w:tcBorders/>
            <w:shd w:fill="FFF2CC" w:val="clear"/>
          </w:tcPr>
          <w:p>
            <w:pPr>
              <w:pStyle w:val="normal1"/>
              <w:spacing w:lineRule="auto" w:line="252" w:before="40" w:after="40"/>
              <w:jc w:val="start"/>
              <w:rPr/>
            </w:pPr>
            <w:r>
              <w:rPr>
                <w:rFonts w:ascii="Calibri" w:hAnsi="Calibri"/>
                <w:b w:val="false"/>
                <w:color w:val="000000"/>
                <w:sz w:val="17"/>
              </w:rPr>
              <w:t>Final submission bundle (Laporan PDF, Jupyter Notebook / R script, file presentasi) di LMS UNIROW</w:t>
            </w:r>
          </w:p>
        </w:tc>
        <w:tc>
          <w:tcPr>
            <w:tcW w:w="3059" w:type="dxa"/>
            <w:tcBorders/>
            <w:shd w:fill="FFF2CC" w:val="clear"/>
          </w:tcPr>
          <w:p>
            <w:pPr>
              <w:pStyle w:val="normal1"/>
              <w:spacing w:lineRule="auto" w:line="252" w:before="40" w:after="40"/>
              <w:jc w:val="start"/>
              <w:rPr/>
            </w:pPr>
            <w:r>
              <w:rPr>
                <w:rFonts w:ascii="Calibri" w:hAnsi="Calibri"/>
                <w:b w:val="false"/>
                <w:color w:val="000000"/>
                <w:sz w:val="17"/>
              </w:rPr>
              <w:t>Seluruh Bahan Kajian Analisa Data Multivariat (Minggu 1 s.d. 15)</w:t>
            </w:r>
          </w:p>
        </w:tc>
        <w:tc>
          <w:tcPr>
            <w:tcW w:w="1260" w:type="dxa"/>
            <w:tcBorders/>
            <w:shd w:fill="FFF2CC" w:val="clear"/>
          </w:tcPr>
          <w:p>
            <w:pPr>
              <w:pStyle w:val="normal1"/>
              <w:spacing w:lineRule="auto" w:line="252" w:before="40" w:after="40"/>
              <w:jc w:val="center"/>
              <w:rPr/>
            </w:pPr>
            <w:r>
              <w:rPr>
                <w:rFonts w:ascii="Calibri" w:hAnsi="Calibri"/>
                <w:b/>
                <w:color w:val="000000"/>
                <w:sz w:val="17"/>
              </w:rPr>
              <w:t>15%</w:t>
            </w:r>
          </w:p>
        </w:tc>
      </w:tr>
      <w:tr>
        <w:trPr/>
        <w:tc>
          <w:tcPr>
            <w:tcW w:w="2830" w:type="dxa"/>
            <w:gridSpan w:val="2"/>
            <w:tcBorders/>
            <w:shd w:fill="D9E1F2" w:val="clear"/>
          </w:tcPr>
          <w:p>
            <w:pPr>
              <w:pStyle w:val="normal1"/>
              <w:spacing w:lineRule="auto" w:line="252" w:before="40" w:after="40"/>
              <w:jc w:val="end"/>
              <w:rPr/>
            </w:pPr>
            <w:r>
              <w:rPr>
                <w:rFonts w:ascii="Calibri" w:hAnsi="Calibri"/>
                <w:b/>
                <w:color w:val="000000"/>
                <w:sz w:val="18"/>
              </w:rPr>
              <w:t>Total Bobot Penilaian</w:t>
            </w:r>
          </w:p>
        </w:tc>
        <w:tc>
          <w:tcPr>
            <w:tcW w:w="1843" w:type="dxa"/>
            <w:tcBorders/>
            <w:shd w:fill="D9E1F2" w:val="clear"/>
          </w:tcPr>
          <w:p>
            <w:pPr>
              <w:pStyle w:val="normal1"/>
              <w:rPr/>
            </w:pPr>
            <w:r>
              <w:rPr/>
            </w:r>
          </w:p>
        </w:tc>
        <w:tc>
          <w:tcPr>
            <w:tcW w:w="1629" w:type="dxa"/>
            <w:tcBorders/>
            <w:shd w:fill="D9E1F2" w:val="clear"/>
          </w:tcPr>
          <w:p>
            <w:pPr>
              <w:pStyle w:val="normal1"/>
              <w:rPr/>
            </w:pPr>
            <w:r>
              <w:rPr/>
            </w:r>
          </w:p>
        </w:tc>
        <w:tc>
          <w:tcPr>
            <w:tcW w:w="1677" w:type="dxa"/>
            <w:tcBorders/>
            <w:shd w:fill="D9E1F2" w:val="clear"/>
          </w:tcPr>
          <w:p>
            <w:pPr>
              <w:pStyle w:val="normal1"/>
              <w:rPr/>
            </w:pPr>
            <w:r>
              <w:rPr/>
            </w:r>
          </w:p>
        </w:tc>
        <w:tc>
          <w:tcPr>
            <w:tcW w:w="1997" w:type="dxa"/>
            <w:tcBorders/>
            <w:shd w:fill="D9E1F2" w:val="clear"/>
          </w:tcPr>
          <w:p>
            <w:pPr>
              <w:pStyle w:val="normal1"/>
              <w:rPr/>
            </w:pPr>
            <w:r>
              <w:rPr/>
            </w:r>
          </w:p>
        </w:tc>
        <w:tc>
          <w:tcPr>
            <w:tcW w:w="3059" w:type="dxa"/>
            <w:tcBorders/>
            <w:shd w:fill="D9E1F2" w:val="clear"/>
          </w:tcPr>
          <w:p>
            <w:pPr>
              <w:pStyle w:val="normal1"/>
              <w:rPr/>
            </w:pPr>
            <w:r>
              <w:rPr/>
            </w:r>
          </w:p>
        </w:tc>
        <w:tc>
          <w:tcPr>
            <w:tcW w:w="1260" w:type="dxa"/>
            <w:tcBorders/>
            <w:shd w:fill="D9E1F2" w:val="clear"/>
          </w:tcPr>
          <w:p>
            <w:pPr>
              <w:pStyle w:val="normal1"/>
              <w:spacing w:lineRule="auto" w:line="252" w:before="40" w:after="40"/>
              <w:jc w:val="center"/>
              <w:rPr/>
            </w:pPr>
            <w:r>
              <w:rPr>
                <w:rFonts w:ascii="Calibri" w:hAnsi="Calibri"/>
                <w:b/>
                <w:color w:val="000000"/>
                <w:sz w:val="18"/>
              </w:rPr>
              <w:t>100%</w:t>
            </w:r>
          </w:p>
        </w:tc>
      </w:tr>
    </w:tbl>
    <w:p>
      <w:pPr>
        <w:sectPr>
          <w:footerReference w:type="even" r:id="rId10"/>
          <w:footerReference w:type="default" r:id="rId11"/>
          <w:footerReference w:type="first" r:id="rId12"/>
          <w:type w:val="nextPage"/>
          <w:pgSz w:orient="landscape" w:w="16838" w:h="11906"/>
          <w:pgMar w:left="1020" w:right="1280" w:gutter="0" w:header="0" w:top="1100" w:footer="0" w:bottom="280"/>
          <w:pgNumType w:fmt="decimal"/>
          <w:formProt w:val="false"/>
          <w:textDirection w:val="lrTb"/>
          <w:docGrid w:type="default" w:linePitch="100" w:charSpace="0"/>
        </w:sectPr>
      </w:pPr>
      <w:r>
        <w:br w:type="page"/>
      </w:r>
    </w:p>
    <w:p>
      <w:pPr>
        <w:pStyle w:val="normal1"/>
        <w:keepNext w:val="false"/>
        <w:keepLines w:val="false"/>
        <w:widowControl w:val="false"/>
        <w:numPr>
          <w:ilvl w:val="0"/>
          <w:numId w:val="1"/>
        </w:numPr>
        <w:shd w:val="clear" w:fill="auto"/>
        <w:tabs>
          <w:tab w:val="clear" w:pos="720"/>
          <w:tab w:val="left" w:pos="1079" w:leader="none"/>
        </w:tabs>
        <w:spacing w:lineRule="auto" w:line="250" w:before="0" w:after="0"/>
        <w:ind w:hanging="284" w:start="1078" w:end="33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Capaian Pembelajaran Lulusan PRODI (CPL-PRODI)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kemampuan yang dimiliki oleh setiap lulusan PRODI yang merupakan internalisasi dari sikap, penguasaan pengetahuan dan ketrampilan sesuai dengan jenjang prodinya yang diperoleh melalui proses pembelajaran.</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50" w:before="3" w:after="0"/>
        <w:ind w:hanging="284" w:start="1078" w:end="675"/>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CPL yang dibebankan pada mata kuliah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beberapa capaian pembelajaran lulusan program studi (CPL- PRODI) yang digunakan untuk pembentukan/pengembangan sebuah mata kuliah yang terdiri dari aspek sikap, ketrampulan umum, ketrampilan khusus dan pengetahuan.</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50" w:before="2" w:after="0"/>
        <w:ind w:hanging="284" w:start="1078" w:end="37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CP Mata kuliah (CPMK)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kemampuan yang dijabarkan secara spesifik dari CPL yang dibebankan pada mata kuliah, dan bersifat spesifik terhadap bahan kajian atau materi pembelajaran mata kuliah tersebut.</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50" w:before="2" w:after="0"/>
        <w:ind w:hanging="284" w:start="1078" w:end="61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Indikator penilaian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kemampuan dalam proses maupun hasil belajar mahasiswa adalah pernyataan spesifik dan terukur yang mengidentifikasi kemampuan atau kinerja hasil belajar mahasiswa yang disertai bukti-bukti.</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50" w:before="1" w:after="0"/>
        <w:ind w:hanging="284" w:start="1078" w:end="22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Kriteria Penilaian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patokan yang digunakan sebagai ukuran atau tolok ukur ketercapaian pembelajaran dalam penilaian berdasarkan indikator-indikator yang telah ditetapkan. Kreteria penilaian merupakan pedoman bagi penilai agar penilaian konsisten dan tidak bias. Kreteria dapat berupa kuantitatif ataupun kualitatif.</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40" w:before="3" w:after="0"/>
        <w:ind w:hanging="285" w:start="1078" w:end="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Teknik penilaian</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tes dan non-tes.</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50" w:before="10" w:after="0"/>
        <w:ind w:hanging="284" w:start="1078" w:end="57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Bentuk pembelajaran</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Kuliah, Responsi, Tutorial, Seminar atau yang setara, Praktikum, Praktik Studio, Praktik Bengkel, Praktik Lapangan, Penelitian, Pengabdian Kepada Masyarakat dan/atau bentuk pembelajaran lain yang setara.</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50" w:before="2" w:after="0"/>
        <w:ind w:hanging="284" w:start="1078" w:end="203"/>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Metode Pembelajaran</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Small Group Discussion, Role-Play &amp; Simulation, Discovery Learning, Self-Directed Learning, Cooperative Learning, Collaborative Learning, Contextual Learning, Project Based Learning, dan metode lainnya yang setara.</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50" w:before="3" w:after="0"/>
        <w:ind w:hanging="284" w:start="1078" w:end="169"/>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Materi Pembelajaran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rincian atau uraian dari bahan kajian yang dapat disajikan dalam bentuk beberapa pokok dan sub-pokok bahasan.</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50" w:before="1" w:after="0"/>
        <w:ind w:hanging="284" w:start="1078" w:end="59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Bobot penilaian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prosentasi penilaian terhadap setiap pencapaian sub-CPMK yang besarnya proposional dengan tingkat kesulitan pencapaian sub-CPMK tsb., dan totalnya 100%.</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40" w:before="2" w:after="0"/>
        <w:ind w:hanging="285" w:start="1078" w:end="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PB</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xml:space="preserve">=Proses Belajar, </w:t>
      </w: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PT</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xml:space="preserve">=Penugasan Terstruktur, </w:t>
      </w: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KM</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=Kegiatan Mandiri.</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50" w:before="10" w:after="0"/>
        <w:ind w:hanging="284" w:start="1078" w:end="59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Bobot penilaian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prosentasi penilaian terhadap setiap pencapaian sub-CPMK yang besarnya proposional dengan tingkat kesulitan pencapaian sub-CPMK tsb., dan totalnya 100%.</w:t>
      </w:r>
    </w:p>
    <w:p>
      <w:pPr>
        <w:pStyle w:val="normal1"/>
        <w:keepNext w:val="false"/>
        <w:keepLines w:val="false"/>
        <w:pageBreakBefore w:val="false"/>
        <w:widowControl w:val="false"/>
        <w:numPr>
          <w:ilvl w:val="0"/>
          <w:numId w:val="1"/>
        </w:numPr>
        <w:shd w:val="clear" w:fill="auto"/>
        <w:tabs>
          <w:tab w:val="clear" w:pos="720"/>
          <w:tab w:val="left" w:pos="1079" w:leader="none"/>
        </w:tabs>
        <w:spacing w:lineRule="auto" w:line="240" w:before="2" w:after="0"/>
        <w:ind w:hanging="285" w:start="1078" w:end="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PB</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xml:space="preserve">= Kegiatan Belajar Terbimbing, </w:t>
      </w: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PT</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xml:space="preserve">=Kegiatan Penugasan Terstuktur, </w:t>
      </w: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KM</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=Kegiatan Mandiri.</w:t>
      </w:r>
    </w:p>
    <w:p>
      <w:pPr>
        <w:pStyle w:val="normal1"/>
        <w:jc w:val="both"/>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jc w:val="center"/>
        <w:rPr>
          <w:rFonts w:ascii="Arial" w:hAnsi="Arial" w:eastAsia="Arial" w:cs="Arial"/>
          <w:sz w:val="20"/>
          <w:szCs w:val="20"/>
        </w:rPr>
      </w:pPr>
      <w:r>
        <w:rPr>
          <w:b/>
        </w:rPr>
        <w:t>RPS ini telah divalidasi pada tanggal 25 Agustus 2025</w:t>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t>Ketua Program Studi</w:t>
        <w:tab/>
        <w:tab/>
        <w:tab/>
        <w:tab/>
        <w:tab/>
        <w:tab/>
        <w:tab/>
        <w:t>UJM Program Studi</w:t>
      </w:r>
    </w:p>
    <w:p>
      <w:pPr>
        <w:pStyle w:val="normal1"/>
        <w:rPr>
          <w:rFonts w:ascii="Arial" w:hAnsi="Arial" w:eastAsia="Arial" w:cs="Arial"/>
          <w:sz w:val="20"/>
          <w:szCs w:val="20"/>
        </w:rPr>
      </w:pPr>
      <w:r>
        <w:rPr/>
        <w:t>PROGRAM STUDI S1 INFORMATIKA</w:t>
        <w:tab/>
        <w:tab/>
        <w:tab/>
        <w:tab/>
        <w:tab/>
        <w:t>PROGRAM STUDI S1 INFORMATIKA</w:t>
      </w:r>
    </w:p>
    <w:p>
      <w:pPr>
        <w:pStyle w:val="normal1"/>
        <w:rPr>
          <w:rFonts w:ascii="Arial" w:hAnsi="Arial" w:eastAsia="Arial" w:cs="Arial"/>
          <w:sz w:val="20"/>
          <w:szCs w:val="20"/>
        </w:rPr>
      </w:pPr>
      <w:r>
        <w:rPr/>
        <w:drawing>
          <wp:inline distT="0" distB="0" distL="0" distR="0">
            <wp:extent cx="738505" cy="662940"/>
            <wp:effectExtent l="0" t="0" r="0" b="0"/>
            <wp:docPr id="10"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a:picLocks noChangeAspect="1" noChangeArrowheads="1"/>
                    </pic:cNvPicPr>
                  </pic:nvPicPr>
                  <pic:blipFill>
                    <a:blip r:embed="rId13"/>
                    <a:stretch>
                      <a:fillRect/>
                    </a:stretch>
                  </pic:blipFill>
                  <pic:spPr bwMode="auto">
                    <a:xfrm>
                      <a:off x="0" y="0"/>
                      <a:ext cx="738505" cy="662940"/>
                    </a:xfrm>
                    <a:prstGeom prst="rect">
                      <a:avLst/>
                    </a:prstGeom>
                    <a:noFill/>
                  </pic:spPr>
                </pic:pic>
              </a:graphicData>
            </a:graphic>
          </wp:inline>
        </w:drawing>
      </w:r>
      <w:r>
        <w:rPr>
          <w:rFonts w:eastAsia="Arial" w:cs="Arial" w:ascii="Arial" w:hAnsi="Arial"/>
          <w:sz w:val="20"/>
          <w:szCs w:val="20"/>
        </w:rPr>
        <w:tab/>
        <w:tab/>
        <w:tab/>
        <w:tab/>
        <w:tab/>
        <w:tab/>
        <w:tab/>
        <w:tab/>
      </w:r>
      <w:r>
        <w:rPr/>
        <w:drawing>
          <wp:inline distT="0" distB="0" distL="0" distR="0">
            <wp:extent cx="738505" cy="662940"/>
            <wp:effectExtent l="0" t="0" r="0" b="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4"/>
                    <a:stretch>
                      <a:fillRect/>
                    </a:stretch>
                  </pic:blipFill>
                  <pic:spPr bwMode="auto">
                    <a:xfrm>
                      <a:off x="0" y="0"/>
                      <a:ext cx="738505" cy="662940"/>
                    </a:xfrm>
                    <a:prstGeom prst="rect">
                      <a:avLst/>
                    </a:prstGeom>
                    <a:noFill/>
                  </pic:spPr>
                </pic:pic>
              </a:graphicData>
            </a:graphic>
          </wp:inline>
        </w:drawing>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b/>
          <w:u w:val="single"/>
        </w:rPr>
        <w:t>AMALUDIN ARIFIA, M.Kom.</w:t>
        <w:tab/>
        <w:tab/>
        <w:tab/>
        <w:tab/>
        <w:tab/>
        <w:t>UJM Program Studi Informatika</w:t>
      </w:r>
    </w:p>
    <w:p>
      <w:pPr>
        <w:pStyle w:val="normal1"/>
        <w:rPr>
          <w:rFonts w:ascii="Arial" w:hAnsi="Arial" w:eastAsia="Arial" w:cs="Arial"/>
          <w:sz w:val="20"/>
          <w:szCs w:val="20"/>
        </w:rPr>
      </w:pPr>
      <w:r>
        <w:rPr/>
        <w:t>NIDN: 07xxxxxxxx</w:t>
        <w:tab/>
        <w:tab/>
        <w:tab/>
        <w:tab/>
        <w:tab/>
        <w:t>NIDN: 07xxxxxxxx</w:t>
      </w:r>
    </w:p>
    <w:p>
      <w:pPr>
        <w:pStyle w:val="normal1"/>
        <w:rPr>
          <w:rFonts w:ascii="Arial" w:hAnsi="Arial" w:eastAsia="Arial" w:cs="Arial"/>
          <w:sz w:val="20"/>
          <w:szCs w:val="20"/>
        </w:rPr>
      </w:pPr>
      <w:r>
        <w:rPr>
          <w:rFonts w:eastAsia="Arial" w:cs="Arial" w:ascii="Arial" w:hAnsi="Arial"/>
          <w:sz w:val="20"/>
          <w:szCs w:val="20"/>
        </w:rPr>
      </w:r>
    </w:p>
    <w:p>
      <w:pPr>
        <w:pStyle w:val="normal1"/>
        <w:jc w:val="end"/>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keepNext w:val="false"/>
        <w:keepLines w:val="false"/>
        <w:pageBreakBefore w:val="false"/>
        <w:widowControl w:val="false"/>
        <w:shd w:val="clear" w:fill="auto"/>
        <w:spacing w:lineRule="auto" w:line="240" w:before="0" w:after="0"/>
        <w:ind w:hanging="0" w:start="0" w:end="0"/>
        <w:jc w:val="start"/>
        <w:rPr>
          <w:rFonts w:ascii="Roboto" w:hAnsi="Roboto" w:eastAsia="Roboto" w:cs="Roboto"/>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Roboto" w:cs="Roboto" w:ascii="Roboto" w:hAnsi="Roboto"/>
          <w:b w:val="false"/>
          <w:bCs w:val="false"/>
          <w:i w:val="false"/>
          <w:iCs w:val="false"/>
          <w:caps w:val="false"/>
          <w:smallCaps w:val="false"/>
          <w:strike w:val="false"/>
          <w:dstrike w:val="false"/>
          <w:color w:val="000000"/>
          <w:position w:val="0"/>
          <w:sz w:val="18"/>
          <w:szCs w:val="18"/>
          <w:u w:val="none"/>
          <w:shd w:fill="auto" w:val="clear"/>
          <w:vertAlign w:val="baseline"/>
        </w:rPr>
      </w:r>
    </w:p>
    <w:p>
      <w:pPr>
        <w:pStyle w:val="normal1"/>
        <w:rPr/>
      </w:pPr>
      <w:r>
        <w:rPr/>
      </w:r>
      <w:r>
        <w:br w:type="page"/>
      </w:r>
    </w:p>
    <w:p>
      <w:pPr>
        <w:pStyle w:val="Heading1"/>
        <w:spacing w:before="0" w:after="0"/>
        <w:jc w:val="center"/>
        <w:rPr/>
      </w:pPr>
      <w:r>
        <w:rPr/>
        <w:t>RANCANGAN TUGAS TERSTRUKTUR MAHASISWA</w:t>
      </w:r>
    </w:p>
    <w:p>
      <w:pPr>
        <w:pStyle w:val="normal1"/>
        <w:rPr/>
      </w:pPr>
      <w:r>
        <w:rPr>
          <w:b/>
          <w:sz w:val="22"/>
        </w:rPr>
        <w:t xml:space="preserve">TUGAS 1: </w:t>
      </w:r>
    </w:p>
    <w:tbl>
      <w:tblPr>
        <w:tblW w:w="986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33"/>
        <w:gridCol w:w="4933"/>
      </w:tblGrid>
      <w:tr>
        <w:trPr/>
        <w:tc>
          <w:tcPr>
            <w:tcW w:w="4933" w:type="dxa"/>
            <w:tcBorders/>
            <w:shd w:fill="F2F2F2" w:val="clear"/>
          </w:tcPr>
          <w:p>
            <w:pPr>
              <w:pStyle w:val="normal1"/>
              <w:spacing w:lineRule="auto" w:line="252" w:before="40" w:after="40"/>
              <w:jc w:val="start"/>
              <w:rPr/>
            </w:pPr>
            <w:r>
              <w:rPr>
                <w:rFonts w:ascii="Calibri" w:hAnsi="Calibri"/>
                <w:b/>
                <w:color w:val="000000"/>
                <w:sz w:val="19"/>
              </w:rPr>
              <w:t>Mata Kuliah / SKS</w:t>
            </w:r>
          </w:p>
        </w:tc>
        <w:tc>
          <w:tcPr>
            <w:tcW w:w="4933" w:type="dxa"/>
            <w:tcBorders/>
          </w:tcPr>
          <w:p>
            <w:pPr>
              <w:pStyle w:val="normal1"/>
              <w:spacing w:lineRule="auto" w:line="252" w:before="40" w:after="40"/>
              <w:jc w:val="start"/>
              <w:rPr/>
            </w:pPr>
            <w:r>
              <w:rPr>
                <w:rFonts w:ascii="Calibri" w:hAnsi="Calibri"/>
                <w:b w:val="false"/>
                <w:color w:val="000000"/>
                <w:sz w:val="19"/>
              </w:rPr>
              <w:t>Analisa Data Multivariat / 3 SKS</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Sub-CPMK yang Disasar</w:t>
            </w:r>
          </w:p>
        </w:tc>
        <w:tc>
          <w:tcPr>
            <w:tcW w:w="4933" w:type="dxa"/>
            <w:tcBorders/>
          </w:tcPr>
          <w:p>
            <w:pPr>
              <w:pStyle w:val="normal1"/>
              <w:spacing w:lineRule="auto" w:line="252" w:before="40" w:after="40"/>
              <w:jc w:val="start"/>
              <w:rPr/>
            </w:pPr>
            <w:r>
              <w:rPr>
                <w:rFonts w:ascii="Calibri" w:hAnsi="Calibri"/>
                <w:b w:val="false"/>
                <w:color w:val="000000"/>
                <w:sz w:val="19"/>
              </w:rPr>
              <w:t>Sub-CPMK1, Sub-CPMK2</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Bentuk Tugas / Alokasi</w:t>
            </w:r>
          </w:p>
        </w:tc>
        <w:tc>
          <w:tcPr>
            <w:tcW w:w="4933" w:type="dxa"/>
            <w:tcBorders/>
          </w:tcPr>
          <w:p>
            <w:pPr>
              <w:pStyle w:val="normal1"/>
              <w:spacing w:lineRule="auto" w:line="252" w:before="40" w:after="40"/>
              <w:jc w:val="start"/>
              <w:rPr/>
            </w:pPr>
            <w:r>
              <w:rPr>
                <w:rFonts w:ascii="Calibri" w:hAnsi="Calibri"/>
                <w:b w:val="false"/>
                <w:color w:val="000000"/>
                <w:sz w:val="19"/>
              </w:rPr>
              <w:t>Kelompok | Waktu: 2 Minggu</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Deskripsi Pengerjaan</w:t>
            </w:r>
          </w:p>
        </w:tc>
        <w:tc>
          <w:tcPr>
            <w:tcW w:w="4933" w:type="dxa"/>
            <w:tcBorders/>
          </w:tcPr>
          <w:p>
            <w:pPr>
              <w:pStyle w:val="normal1"/>
              <w:spacing w:lineRule="auto" w:line="252" w:before="40" w:after="40"/>
              <w:jc w:val="start"/>
              <w:rPr/>
            </w:pPr>
            <w:r>
              <w:rPr>
                <w:rFonts w:ascii="Calibri" w:hAnsi="Calibri"/>
                <w:b w:val="false"/>
                <w:color w:val="000000"/>
                <w:sz w:val="19"/>
              </w:rPr>
              <w:t>Mahasiswa diberikan dataset berdimensi tinggi (minimal 6 variabel kontinu, n &gt;= 150 observasi). Mahasiswa diwajibkan menyusun matriks varians-kovarians dan matriks korelasi, melakukan pengujian normalitas multivariat (Mardia test, Chi-square Q-Q plot), menghitung Mahalanobis Distance untuk mendeteksi outlier multivariat, dan membuat interpretasi komparatif.</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Indikator Penilaian</w:t>
            </w:r>
          </w:p>
        </w:tc>
        <w:tc>
          <w:tcPr>
            <w:tcW w:w="4933" w:type="dxa"/>
            <w:tcBorders/>
          </w:tcPr>
          <w:p>
            <w:pPr>
              <w:pStyle w:val="normal1"/>
              <w:spacing w:lineRule="auto" w:line="252" w:before="40" w:after="40"/>
              <w:jc w:val="start"/>
              <w:rPr/>
            </w:pPr>
            <w:r>
              <w:rPr/>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Bentuk &amp; Format Luaran</w:t>
            </w:r>
          </w:p>
        </w:tc>
        <w:tc>
          <w:tcPr>
            <w:tcW w:w="4933" w:type="dxa"/>
            <w:tcBorders/>
          </w:tcPr>
          <w:p>
            <w:pPr>
              <w:pStyle w:val="normal1"/>
              <w:spacing w:lineRule="auto" w:line="252" w:before="40" w:after="40"/>
              <w:jc w:val="start"/>
              <w:rPr/>
            </w:pPr>
            <w:r>
              <w:rPr>
                <w:rFonts w:ascii="Calibri" w:hAnsi="Calibri"/>
                <w:b w:val="false"/>
                <w:color w:val="000000"/>
                <w:sz w:val="19"/>
              </w:rPr>
              <w:t>Laporan tertulis format IEEE 4-6 halaman disertai lampiran kode Python/R yang dapat direproduksi (reproducible notebook). (Bobot: %)</w:t>
            </w:r>
          </w:p>
        </w:tc>
      </w:tr>
    </w:tbl>
    <w:p>
      <w:pPr>
        <w:pStyle w:val="normal1"/>
        <w:rPr/>
      </w:pPr>
      <w:r>
        <w:rPr/>
      </w:r>
    </w:p>
    <w:p>
      <w:pPr>
        <w:pStyle w:val="normal1"/>
        <w:rPr/>
      </w:pPr>
      <w:r>
        <w:rPr>
          <w:b/>
          <w:sz w:val="22"/>
        </w:rPr>
        <w:t xml:space="preserve">TUGAS 2: </w:t>
      </w:r>
    </w:p>
    <w:tbl>
      <w:tblPr>
        <w:tblW w:w="986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33"/>
        <w:gridCol w:w="4933"/>
      </w:tblGrid>
      <w:tr>
        <w:trPr/>
        <w:tc>
          <w:tcPr>
            <w:tcW w:w="4933" w:type="dxa"/>
            <w:tcBorders/>
            <w:shd w:fill="F2F2F2" w:val="clear"/>
          </w:tcPr>
          <w:p>
            <w:pPr>
              <w:pStyle w:val="normal1"/>
              <w:spacing w:lineRule="auto" w:line="252" w:before="40" w:after="40"/>
              <w:jc w:val="start"/>
              <w:rPr/>
            </w:pPr>
            <w:r>
              <w:rPr>
                <w:rFonts w:ascii="Calibri" w:hAnsi="Calibri"/>
                <w:b/>
                <w:color w:val="000000"/>
                <w:sz w:val="19"/>
              </w:rPr>
              <w:t>Mata Kuliah / SKS</w:t>
            </w:r>
          </w:p>
        </w:tc>
        <w:tc>
          <w:tcPr>
            <w:tcW w:w="4933" w:type="dxa"/>
            <w:tcBorders/>
          </w:tcPr>
          <w:p>
            <w:pPr>
              <w:pStyle w:val="normal1"/>
              <w:spacing w:lineRule="auto" w:line="252" w:before="40" w:after="40"/>
              <w:jc w:val="start"/>
              <w:rPr/>
            </w:pPr>
            <w:r>
              <w:rPr>
                <w:rFonts w:ascii="Calibri" w:hAnsi="Calibri"/>
                <w:b w:val="false"/>
                <w:color w:val="000000"/>
                <w:sz w:val="19"/>
              </w:rPr>
              <w:t>Analisa Data Multivariat / 3 SKS</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Sub-CPMK yang Disasar</w:t>
            </w:r>
          </w:p>
        </w:tc>
        <w:tc>
          <w:tcPr>
            <w:tcW w:w="4933" w:type="dxa"/>
            <w:tcBorders/>
          </w:tcPr>
          <w:p>
            <w:pPr>
              <w:pStyle w:val="normal1"/>
              <w:spacing w:lineRule="auto" w:line="252" w:before="40" w:after="40"/>
              <w:jc w:val="start"/>
              <w:rPr/>
            </w:pPr>
            <w:r>
              <w:rPr>
                <w:rFonts w:ascii="Calibri" w:hAnsi="Calibri"/>
                <w:b w:val="false"/>
                <w:color w:val="000000"/>
                <w:sz w:val="19"/>
              </w:rPr>
              <w:t>Sub-CPMK3, Sub-CPMK4</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Bentuk Tugas / Alokasi</w:t>
            </w:r>
          </w:p>
        </w:tc>
        <w:tc>
          <w:tcPr>
            <w:tcW w:w="4933" w:type="dxa"/>
            <w:tcBorders/>
          </w:tcPr>
          <w:p>
            <w:pPr>
              <w:pStyle w:val="normal1"/>
              <w:spacing w:lineRule="auto" w:line="252" w:before="40" w:after="40"/>
              <w:jc w:val="start"/>
              <w:rPr/>
            </w:pPr>
            <w:r>
              <w:rPr>
                <w:rFonts w:ascii="Calibri" w:hAnsi="Calibri"/>
                <w:b w:val="false"/>
                <w:color w:val="000000"/>
                <w:sz w:val="19"/>
              </w:rPr>
              <w:t>Kelompok | Waktu: 2 Minggu</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Deskripsi Pengerjaan</w:t>
            </w:r>
          </w:p>
        </w:tc>
        <w:tc>
          <w:tcPr>
            <w:tcW w:w="4933" w:type="dxa"/>
            <w:tcBorders/>
          </w:tcPr>
          <w:p>
            <w:pPr>
              <w:pStyle w:val="normal1"/>
              <w:spacing w:lineRule="auto" w:line="252" w:before="40" w:after="40"/>
              <w:jc w:val="start"/>
              <w:rPr/>
            </w:pPr>
            <w:r>
              <w:rPr>
                <w:rFonts w:ascii="Calibri" w:hAnsi="Calibri"/>
                <w:b w:val="false"/>
                <w:color w:val="000000"/>
                <w:sz w:val="19"/>
              </w:rPr>
              <w:t>Mahasiswa melakukan analisis reduksi dimensi pada dataset survei persepsi adopsi teknologi informasi. Melakukan PCA untuk mereduksi variabel dengan scree plot dan biplot, dilanjutkan dengan EFA menggunakan rotasi Varimax untuk menemukan faktor laten, lalu membandingkan hasil kedua metode secara kritis.</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Indikator Penilaian</w:t>
            </w:r>
          </w:p>
        </w:tc>
        <w:tc>
          <w:tcPr>
            <w:tcW w:w="4933" w:type="dxa"/>
            <w:tcBorders/>
          </w:tcPr>
          <w:p>
            <w:pPr>
              <w:pStyle w:val="normal1"/>
              <w:spacing w:lineRule="auto" w:line="252" w:before="40" w:after="40"/>
              <w:jc w:val="start"/>
              <w:rPr/>
            </w:pPr>
            <w:r>
              <w:rPr/>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Bentuk &amp; Format Luaran</w:t>
            </w:r>
          </w:p>
        </w:tc>
        <w:tc>
          <w:tcPr>
            <w:tcW w:w="4933" w:type="dxa"/>
            <w:tcBorders/>
          </w:tcPr>
          <w:p>
            <w:pPr>
              <w:pStyle w:val="normal1"/>
              <w:spacing w:lineRule="auto" w:line="252" w:before="40" w:after="40"/>
              <w:jc w:val="start"/>
              <w:rPr/>
            </w:pPr>
            <w:r>
              <w:rPr>
                <w:rFonts w:ascii="Calibri" w:hAnsi="Calibri"/>
                <w:b w:val="false"/>
                <w:color w:val="000000"/>
                <w:sz w:val="19"/>
              </w:rPr>
              <w:t>Makalah analisis komparatif beserta visualisasi biplot dan matriks loading faktor yang terinterpretasikan dengan baik. (Bobot: %)</w:t>
            </w:r>
          </w:p>
        </w:tc>
      </w:tr>
    </w:tbl>
    <w:p>
      <w:pPr>
        <w:pStyle w:val="normal1"/>
        <w:rPr/>
      </w:pPr>
      <w:r>
        <w:rPr/>
      </w:r>
    </w:p>
    <w:p>
      <w:pPr>
        <w:pStyle w:val="normal1"/>
        <w:rPr/>
      </w:pPr>
      <w:r>
        <w:rPr>
          <w:b/>
          <w:sz w:val="22"/>
        </w:rPr>
        <w:t xml:space="preserve">TUGAS 3: </w:t>
      </w:r>
    </w:p>
    <w:tbl>
      <w:tblPr>
        <w:tblW w:w="986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33"/>
        <w:gridCol w:w="4933"/>
      </w:tblGrid>
      <w:tr>
        <w:trPr/>
        <w:tc>
          <w:tcPr>
            <w:tcW w:w="4933" w:type="dxa"/>
            <w:tcBorders/>
            <w:shd w:fill="F2F2F2" w:val="clear"/>
          </w:tcPr>
          <w:p>
            <w:pPr>
              <w:pStyle w:val="normal1"/>
              <w:spacing w:lineRule="auto" w:line="252" w:before="40" w:after="40"/>
              <w:jc w:val="start"/>
              <w:rPr/>
            </w:pPr>
            <w:r>
              <w:rPr>
                <w:rFonts w:ascii="Calibri" w:hAnsi="Calibri"/>
                <w:b/>
                <w:color w:val="000000"/>
                <w:sz w:val="19"/>
              </w:rPr>
              <w:t>Mata Kuliah / SKS</w:t>
            </w:r>
          </w:p>
        </w:tc>
        <w:tc>
          <w:tcPr>
            <w:tcW w:w="4933" w:type="dxa"/>
            <w:tcBorders/>
          </w:tcPr>
          <w:p>
            <w:pPr>
              <w:pStyle w:val="normal1"/>
              <w:spacing w:lineRule="auto" w:line="252" w:before="40" w:after="40"/>
              <w:jc w:val="start"/>
              <w:rPr/>
            </w:pPr>
            <w:r>
              <w:rPr>
                <w:rFonts w:ascii="Calibri" w:hAnsi="Calibri"/>
                <w:b w:val="false"/>
                <w:color w:val="000000"/>
                <w:sz w:val="19"/>
              </w:rPr>
              <w:t>Analisa Data Multivariat / 3 SKS</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Sub-CPMK yang Disasar</w:t>
            </w:r>
          </w:p>
        </w:tc>
        <w:tc>
          <w:tcPr>
            <w:tcW w:w="4933" w:type="dxa"/>
            <w:tcBorders/>
          </w:tcPr>
          <w:p>
            <w:pPr>
              <w:pStyle w:val="normal1"/>
              <w:spacing w:lineRule="auto" w:line="252" w:before="40" w:after="40"/>
              <w:jc w:val="start"/>
              <w:rPr/>
            </w:pPr>
            <w:r>
              <w:rPr>
                <w:rFonts w:ascii="Calibri" w:hAnsi="Calibri"/>
                <w:b w:val="false"/>
                <w:color w:val="000000"/>
                <w:sz w:val="19"/>
              </w:rPr>
              <w:t>Sub-CPMK5, Sub-CPMK6, Sub-CPMK7</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Bentuk Tugas / Alokasi</w:t>
            </w:r>
          </w:p>
        </w:tc>
        <w:tc>
          <w:tcPr>
            <w:tcW w:w="4933" w:type="dxa"/>
            <w:tcBorders/>
          </w:tcPr>
          <w:p>
            <w:pPr>
              <w:pStyle w:val="normal1"/>
              <w:spacing w:lineRule="auto" w:line="252" w:before="40" w:after="40"/>
              <w:jc w:val="start"/>
              <w:rPr/>
            </w:pPr>
            <w:r>
              <w:rPr>
                <w:rFonts w:ascii="Calibri" w:hAnsi="Calibri"/>
                <w:b w:val="false"/>
                <w:color w:val="000000"/>
                <w:sz w:val="19"/>
              </w:rPr>
              <w:t>Kelompok | Waktu: 2 Minggu</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Deskripsi Pengerjaan</w:t>
            </w:r>
          </w:p>
        </w:tc>
        <w:tc>
          <w:tcPr>
            <w:tcW w:w="4933" w:type="dxa"/>
            <w:tcBorders/>
          </w:tcPr>
          <w:p>
            <w:pPr>
              <w:pStyle w:val="normal1"/>
              <w:spacing w:lineRule="auto" w:line="252" w:before="40" w:after="40"/>
              <w:jc w:val="start"/>
              <w:rPr/>
            </w:pPr>
            <w:r>
              <w:rPr>
                <w:rFonts w:ascii="Calibri" w:hAnsi="Calibri"/>
                <w:b w:val="false"/>
                <w:color w:val="000000"/>
                <w:sz w:val="19"/>
              </w:rPr>
              <w:t>Mahasiswa melakukan pemodelan klasifikasi respon biner/multinomial dengan mengevaluasi nilai odds ratio dan uji kelayakan model, serta merancang eksperimen uji beda multivariat dengan MANOVA untuk menguji efek perlakuan interface terhadap metrik keterlibatan pengguna (multi-response).</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Indikator Penilaian</w:t>
            </w:r>
          </w:p>
        </w:tc>
        <w:tc>
          <w:tcPr>
            <w:tcW w:w="4933" w:type="dxa"/>
            <w:tcBorders/>
          </w:tcPr>
          <w:p>
            <w:pPr>
              <w:pStyle w:val="normal1"/>
              <w:spacing w:lineRule="auto" w:line="252" w:before="40" w:after="40"/>
              <w:jc w:val="start"/>
              <w:rPr/>
            </w:pPr>
            <w:r>
              <w:rPr/>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Bentuk &amp; Format Luaran</w:t>
            </w:r>
          </w:p>
        </w:tc>
        <w:tc>
          <w:tcPr>
            <w:tcW w:w="4933" w:type="dxa"/>
            <w:tcBorders/>
          </w:tcPr>
          <w:p>
            <w:pPr>
              <w:pStyle w:val="normal1"/>
              <w:spacing w:lineRule="auto" w:line="252" w:before="40" w:after="40"/>
              <w:jc w:val="start"/>
              <w:rPr/>
            </w:pPr>
            <w:r>
              <w:rPr>
                <w:rFonts w:ascii="Calibri" w:hAnsi="Calibri"/>
                <w:b w:val="false"/>
                <w:color w:val="000000"/>
                <w:sz w:val="19"/>
              </w:rPr>
              <w:t>Laporan teknis hasil uji signifikansi multivariat dan script kode evaluasi model statistik. (Bobot: %)</w:t>
            </w:r>
          </w:p>
        </w:tc>
      </w:tr>
    </w:tbl>
    <w:p>
      <w:pPr>
        <w:pStyle w:val="normal1"/>
        <w:rPr/>
      </w:pPr>
      <w:r>
        <w:rPr/>
      </w:r>
    </w:p>
    <w:p>
      <w:pPr>
        <w:pStyle w:val="normal1"/>
        <w:rPr/>
      </w:pPr>
      <w:r>
        <w:rPr>
          <w:b/>
          <w:sz w:val="22"/>
        </w:rPr>
        <w:t xml:space="preserve">TUGAS 4: </w:t>
      </w:r>
    </w:p>
    <w:tbl>
      <w:tblPr>
        <w:tblW w:w="9866"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933"/>
        <w:gridCol w:w="4933"/>
      </w:tblGrid>
      <w:tr>
        <w:trPr/>
        <w:tc>
          <w:tcPr>
            <w:tcW w:w="4933" w:type="dxa"/>
            <w:tcBorders/>
            <w:shd w:fill="F2F2F2" w:val="clear"/>
          </w:tcPr>
          <w:p>
            <w:pPr>
              <w:pStyle w:val="normal1"/>
              <w:spacing w:lineRule="auto" w:line="252" w:before="40" w:after="40"/>
              <w:jc w:val="start"/>
              <w:rPr/>
            </w:pPr>
            <w:r>
              <w:rPr>
                <w:rFonts w:ascii="Calibri" w:hAnsi="Calibri"/>
                <w:b/>
                <w:color w:val="000000"/>
                <w:sz w:val="19"/>
              </w:rPr>
              <w:t>Mata Kuliah / SKS</w:t>
            </w:r>
          </w:p>
        </w:tc>
        <w:tc>
          <w:tcPr>
            <w:tcW w:w="4933" w:type="dxa"/>
            <w:tcBorders/>
          </w:tcPr>
          <w:p>
            <w:pPr>
              <w:pStyle w:val="normal1"/>
              <w:spacing w:lineRule="auto" w:line="252" w:before="40" w:after="40"/>
              <w:jc w:val="start"/>
              <w:rPr/>
            </w:pPr>
            <w:r>
              <w:rPr>
                <w:rFonts w:ascii="Calibri" w:hAnsi="Calibri"/>
                <w:b w:val="false"/>
                <w:color w:val="000000"/>
                <w:sz w:val="19"/>
              </w:rPr>
              <w:t>Analisa Data Multivariat / 3 SKS</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Sub-CPMK yang Disasar</w:t>
            </w:r>
          </w:p>
        </w:tc>
        <w:tc>
          <w:tcPr>
            <w:tcW w:w="4933" w:type="dxa"/>
            <w:tcBorders/>
          </w:tcPr>
          <w:p>
            <w:pPr>
              <w:pStyle w:val="normal1"/>
              <w:spacing w:lineRule="auto" w:line="252" w:before="40" w:after="40"/>
              <w:jc w:val="start"/>
              <w:rPr/>
            </w:pPr>
            <w:r>
              <w:rPr>
                <w:rFonts w:ascii="Calibri" w:hAnsi="Calibri"/>
                <w:b w:val="false"/>
                <w:color w:val="000000"/>
                <w:sz w:val="19"/>
              </w:rPr>
              <w:t>Sub-CPMK8, Sub-CPMK9, Sub-CPMK10, Sub-CPMK11</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Bentuk Tugas / Alokasi</w:t>
            </w:r>
          </w:p>
        </w:tc>
        <w:tc>
          <w:tcPr>
            <w:tcW w:w="4933" w:type="dxa"/>
            <w:tcBorders/>
          </w:tcPr>
          <w:p>
            <w:pPr>
              <w:pStyle w:val="normal1"/>
              <w:spacing w:lineRule="auto" w:line="252" w:before="40" w:after="40"/>
              <w:jc w:val="start"/>
              <w:rPr/>
            </w:pPr>
            <w:r>
              <w:rPr>
                <w:rFonts w:ascii="Calibri" w:hAnsi="Calibri"/>
                <w:b w:val="false"/>
                <w:color w:val="000000"/>
                <w:sz w:val="19"/>
              </w:rPr>
              <w:t>Kelompok | Waktu: 2 Minggu</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Deskripsi Pengerjaan</w:t>
            </w:r>
          </w:p>
        </w:tc>
        <w:tc>
          <w:tcPr>
            <w:tcW w:w="4933" w:type="dxa"/>
            <w:tcBorders/>
          </w:tcPr>
          <w:p>
            <w:pPr>
              <w:pStyle w:val="normal1"/>
              <w:spacing w:lineRule="auto" w:line="252" w:before="40" w:after="40"/>
              <w:jc w:val="start"/>
              <w:rPr/>
            </w:pPr>
            <w:r>
              <w:rPr>
                <w:rFonts w:ascii="Calibri" w:hAnsi="Calibri"/>
                <w:b w:val="false"/>
                <w:color w:val="000000"/>
                <w:sz w:val="19"/>
              </w:rPr>
              <w:t>Proyek Capstone berskala industri di mana kelompok mahasiswa (2-3 orang) memilih satu domain persoalan (finansial, e-commerce, kesehatan, smart city). Menerapkan minimal 3 teknik multivariat (misal: PCA + K-Means + Analisis Diskriminan atau MANOVA + Klaster Hierarki + MDS), memvalidasi klaster dengan koefisien Silhouette, dan menyajikan dashboard visualisasi interaktif.</w:t>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Indikator Penilaian</w:t>
            </w:r>
          </w:p>
        </w:tc>
        <w:tc>
          <w:tcPr>
            <w:tcW w:w="4933" w:type="dxa"/>
            <w:tcBorders/>
          </w:tcPr>
          <w:p>
            <w:pPr>
              <w:pStyle w:val="normal1"/>
              <w:spacing w:lineRule="auto" w:line="252" w:before="40" w:after="40"/>
              <w:jc w:val="start"/>
              <w:rPr/>
            </w:pPr>
            <w:r>
              <w:rPr/>
            </w:r>
          </w:p>
        </w:tc>
      </w:tr>
      <w:tr>
        <w:trPr/>
        <w:tc>
          <w:tcPr>
            <w:tcW w:w="4933" w:type="dxa"/>
            <w:tcBorders/>
            <w:shd w:fill="F2F2F2" w:val="clear"/>
          </w:tcPr>
          <w:p>
            <w:pPr>
              <w:pStyle w:val="normal1"/>
              <w:spacing w:lineRule="auto" w:line="252" w:before="40" w:after="40"/>
              <w:jc w:val="start"/>
              <w:rPr/>
            </w:pPr>
            <w:r>
              <w:rPr>
                <w:rFonts w:ascii="Calibri" w:hAnsi="Calibri"/>
                <w:b/>
                <w:color w:val="000000"/>
                <w:sz w:val="19"/>
              </w:rPr>
              <w:t>Bentuk &amp; Format Luaran</w:t>
            </w:r>
          </w:p>
        </w:tc>
        <w:tc>
          <w:tcPr>
            <w:tcW w:w="4933" w:type="dxa"/>
            <w:tcBorders/>
          </w:tcPr>
          <w:p>
            <w:pPr>
              <w:pStyle w:val="normal1"/>
              <w:spacing w:lineRule="auto" w:line="252" w:before="40" w:after="40"/>
              <w:jc w:val="start"/>
              <w:rPr/>
            </w:pPr>
            <w:r>
              <w:rPr>
                <w:rFonts w:ascii="Calibri" w:hAnsi="Calibri"/>
                <w:b w:val="false"/>
                <w:color w:val="000000"/>
                <w:sz w:val="19"/>
              </w:rPr>
              <w:t>Laporan Proyek Final standar publikasi ilmiah, repositori GitHub publik berisi kode rapi dan dokumentasi Readme lengkap, serta materi presentasi slide interaktif. (Bobot: %)</w:t>
            </w:r>
          </w:p>
        </w:tc>
      </w:tr>
    </w:tbl>
    <w:p>
      <w:pPr>
        <w:pStyle w:val="normal1"/>
        <w:rPr/>
      </w:pPr>
      <w:r>
        <w:rPr/>
      </w:r>
    </w:p>
    <w:p>
      <w:pPr>
        <w:pStyle w:val="Heading2"/>
        <w:rPr/>
      </w:pPr>
      <w:r>
        <w:rPr/>
        <w:t>RUBRIK PENILAIAN OBE SKALA 1–5 (STANDAR APTIKOM &amp; UNIROW)</w:t>
      </w:r>
    </w:p>
    <w:tbl>
      <w:tblPr>
        <w:tblW w:w="986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466"/>
        <w:gridCol w:w="2466"/>
        <w:gridCol w:w="2466"/>
        <w:gridCol w:w="2466"/>
      </w:tblGrid>
      <w:tr>
        <w:trPr/>
        <w:tc>
          <w:tcPr>
            <w:tcW w:w="2466" w:type="dxa"/>
            <w:tcBorders/>
            <w:shd w:fill="D9E1F2" w:val="clear"/>
          </w:tcPr>
          <w:p>
            <w:pPr>
              <w:pStyle w:val="normal1"/>
              <w:spacing w:lineRule="auto" w:line="252" w:before="40" w:after="40"/>
              <w:jc w:val="center"/>
              <w:rPr/>
            </w:pPr>
            <w:r>
              <w:rPr>
                <w:rFonts w:ascii="Calibri" w:hAnsi="Calibri"/>
                <w:b/>
                <w:color w:val="000000"/>
                <w:sz w:val="18"/>
              </w:rPr>
              <w:t>Skala</w:t>
            </w:r>
          </w:p>
        </w:tc>
        <w:tc>
          <w:tcPr>
            <w:tcW w:w="2466" w:type="dxa"/>
            <w:tcBorders/>
            <w:shd w:fill="D9E1F2" w:val="clear"/>
          </w:tcPr>
          <w:p>
            <w:pPr>
              <w:pStyle w:val="normal1"/>
              <w:spacing w:lineRule="auto" w:line="252" w:before="40" w:after="40"/>
              <w:jc w:val="center"/>
              <w:rPr/>
            </w:pPr>
            <w:r>
              <w:rPr>
                <w:rFonts w:ascii="Calibri" w:hAnsi="Calibri"/>
                <w:b/>
                <w:color w:val="000000"/>
                <w:sz w:val="18"/>
              </w:rPr>
              <w:t>Kategori Mutu</w:t>
            </w:r>
          </w:p>
        </w:tc>
        <w:tc>
          <w:tcPr>
            <w:tcW w:w="2466" w:type="dxa"/>
            <w:tcBorders/>
            <w:shd w:fill="D9E1F2" w:val="clear"/>
          </w:tcPr>
          <w:p>
            <w:pPr>
              <w:pStyle w:val="normal1"/>
              <w:spacing w:lineRule="auto" w:line="252" w:before="40" w:after="40"/>
              <w:jc w:val="center"/>
              <w:rPr/>
            </w:pPr>
            <w:r>
              <w:rPr>
                <w:rFonts w:ascii="Calibri" w:hAnsi="Calibri"/>
                <w:b/>
                <w:color w:val="000000"/>
                <w:sz w:val="18"/>
              </w:rPr>
              <w:t>Rentang Skor</w:t>
            </w:r>
          </w:p>
        </w:tc>
        <w:tc>
          <w:tcPr>
            <w:tcW w:w="2466" w:type="dxa"/>
            <w:tcBorders/>
            <w:shd w:fill="D9E1F2" w:val="clear"/>
          </w:tcPr>
          <w:p>
            <w:pPr>
              <w:pStyle w:val="normal1"/>
              <w:spacing w:lineRule="auto" w:line="252" w:before="40" w:after="40"/>
              <w:jc w:val="center"/>
              <w:rPr/>
            </w:pPr>
            <w:r>
              <w:rPr>
                <w:rFonts w:ascii="Calibri" w:hAnsi="Calibri"/>
                <w:b/>
                <w:color w:val="000000"/>
                <w:sz w:val="18"/>
              </w:rPr>
              <w:t>Deskripsi Kinerja Ketercapaian</w:t>
            </w:r>
          </w:p>
        </w:tc>
      </w:tr>
      <w:tr>
        <w:trPr/>
        <w:tc>
          <w:tcPr>
            <w:tcW w:w="2466" w:type="dxa"/>
            <w:tcBorders/>
          </w:tcPr>
          <w:p>
            <w:pPr>
              <w:pStyle w:val="normal1"/>
              <w:spacing w:lineRule="auto" w:line="252" w:before="40" w:after="40"/>
              <w:jc w:val="center"/>
              <w:rPr/>
            </w:pPr>
            <w:r>
              <w:rPr>
                <w:rFonts w:ascii="Calibri" w:hAnsi="Calibri"/>
                <w:b/>
                <w:color w:val="000000"/>
                <w:sz w:val="17"/>
              </w:rPr>
              <w:t>-</w:t>
            </w:r>
          </w:p>
        </w:tc>
        <w:tc>
          <w:tcPr>
            <w:tcW w:w="2466" w:type="dxa"/>
            <w:tcBorders/>
          </w:tcPr>
          <w:p>
            <w:pPr>
              <w:pStyle w:val="normal1"/>
              <w:spacing w:lineRule="auto" w:line="252" w:before="40" w:after="40"/>
              <w:jc w:val="center"/>
              <w:rPr/>
            </w:pPr>
            <w:r>
              <w:rPr>
                <w:rFonts w:ascii="Calibri" w:hAnsi="Calibri"/>
                <w:b/>
                <w:color w:val="000000"/>
                <w:sz w:val="17"/>
              </w:rPr>
              <w:t>Pemahaman Konsep &amp; Teori Aljabar Multivariat (Kognitif C2-C3)</w:t>
            </w:r>
          </w:p>
        </w:tc>
        <w:tc>
          <w:tcPr>
            <w:tcW w:w="2466" w:type="dxa"/>
            <w:tcBorders/>
          </w:tcPr>
          <w:p>
            <w:pPr>
              <w:pStyle w:val="normal1"/>
              <w:spacing w:lineRule="auto" w:line="252" w:before="40" w:after="40"/>
              <w:jc w:val="center"/>
              <w:rPr/>
            </w:pPr>
            <w:r>
              <w:rPr>
                <w:rFonts w:ascii="Calibri" w:hAnsi="Calibri"/>
                <w:b w:val="false"/>
                <w:color w:val="000000"/>
                <w:sz w:val="17"/>
              </w:rPr>
              <w:t>Skala 1-5</w:t>
            </w:r>
          </w:p>
        </w:tc>
        <w:tc>
          <w:tcPr>
            <w:tcW w:w="2466" w:type="dxa"/>
            <w:tcBorders/>
          </w:tcPr>
          <w:p>
            <w:pPr>
              <w:pStyle w:val="normal1"/>
              <w:spacing w:lineRule="auto" w:line="252" w:before="40" w:after="40"/>
              <w:jc w:val="start"/>
              <w:rPr/>
            </w:pPr>
            <w:r>
              <w:rPr>
                <w:rFonts w:ascii="Calibri" w:hAnsi="Calibri"/>
                <w:b w:val="false"/>
                <w:color w:val="000000"/>
                <w:sz w:val="17"/>
              </w:rPr>
              <w:t>Sangat Baik: Menguasai konsep teori secara sempurna, mampu membuktikan relasi matematis dan mengaitkannya ke data riil (85-100)</w:t>
              <w:br/>
              <w:t>Cukup: Memahami konsep matriks multivariat dengan cukup baik, perhitungan benar dengan sedikit koreksi (60-69)</w:t>
              <w:br/>
              <w:t>Kurang: Gagal memahami matriks data multivariat, salah dalam formulasi mean vektor dan kovarians (&lt; 50)</w:t>
            </w:r>
          </w:p>
        </w:tc>
      </w:tr>
      <w:tr>
        <w:trPr/>
        <w:tc>
          <w:tcPr>
            <w:tcW w:w="2466" w:type="dxa"/>
            <w:tcBorders/>
          </w:tcPr>
          <w:p>
            <w:pPr>
              <w:pStyle w:val="normal1"/>
              <w:spacing w:lineRule="auto" w:line="252" w:before="40" w:after="40"/>
              <w:jc w:val="center"/>
              <w:rPr/>
            </w:pPr>
            <w:r>
              <w:rPr>
                <w:rFonts w:ascii="Calibri" w:hAnsi="Calibri"/>
                <w:b/>
                <w:color w:val="000000"/>
                <w:sz w:val="17"/>
              </w:rPr>
              <w:t>-</w:t>
            </w:r>
          </w:p>
        </w:tc>
        <w:tc>
          <w:tcPr>
            <w:tcW w:w="2466" w:type="dxa"/>
            <w:tcBorders/>
          </w:tcPr>
          <w:p>
            <w:pPr>
              <w:pStyle w:val="normal1"/>
              <w:spacing w:lineRule="auto" w:line="252" w:before="40" w:after="40"/>
              <w:jc w:val="center"/>
              <w:rPr/>
            </w:pPr>
            <w:r>
              <w:rPr>
                <w:rFonts w:ascii="Calibri" w:hAnsi="Calibri"/>
                <w:b/>
                <w:color w:val="000000"/>
                <w:sz w:val="17"/>
              </w:rPr>
              <w:t>Keterampilan Reduksi Dimensi &amp; Ekstraksi Fitur (Analitik C4)</w:t>
            </w:r>
          </w:p>
        </w:tc>
        <w:tc>
          <w:tcPr>
            <w:tcW w:w="2466" w:type="dxa"/>
            <w:tcBorders/>
          </w:tcPr>
          <w:p>
            <w:pPr>
              <w:pStyle w:val="normal1"/>
              <w:spacing w:lineRule="auto" w:line="252" w:before="40" w:after="40"/>
              <w:jc w:val="center"/>
              <w:rPr/>
            </w:pPr>
            <w:r>
              <w:rPr>
                <w:rFonts w:ascii="Calibri" w:hAnsi="Calibri"/>
                <w:b w:val="false"/>
                <w:color w:val="000000"/>
                <w:sz w:val="17"/>
              </w:rPr>
              <w:t>Skala 1-5</w:t>
            </w:r>
          </w:p>
        </w:tc>
        <w:tc>
          <w:tcPr>
            <w:tcW w:w="2466" w:type="dxa"/>
            <w:tcBorders/>
          </w:tcPr>
          <w:p>
            <w:pPr>
              <w:pStyle w:val="normal1"/>
              <w:spacing w:lineRule="auto" w:line="252" w:before="40" w:after="40"/>
              <w:jc w:val="start"/>
              <w:rPr/>
            </w:pPr>
            <w:r>
              <w:rPr>
                <w:rFonts w:ascii="Calibri" w:hAnsi="Calibri"/>
                <w:b w:val="false"/>
                <w:color w:val="000000"/>
                <w:sz w:val="17"/>
              </w:rPr>
              <w:t>Sangat Baik: Analisis reduksi dimensi sangat mendalam, memberikan sintesis penamaan faktor laten yang inovatif dan teruji (85-100)</w:t>
              <w:br/>
              <w:t>Cukup: Mampu mengekstraksi komponen dengan kriteria Kaiser, interpretasi scree plot cukup memadai (60-69)</w:t>
              <w:br/>
              <w:t>Kurang: Tidak mampu menerapkan PCA maupun EFA, tidak memahami konsep nilai eigen dan varians (&lt; 50)</w:t>
            </w:r>
          </w:p>
        </w:tc>
      </w:tr>
      <w:tr>
        <w:trPr/>
        <w:tc>
          <w:tcPr>
            <w:tcW w:w="2466" w:type="dxa"/>
            <w:tcBorders/>
          </w:tcPr>
          <w:p>
            <w:pPr>
              <w:pStyle w:val="normal1"/>
              <w:spacing w:lineRule="auto" w:line="252" w:before="40" w:after="40"/>
              <w:jc w:val="center"/>
              <w:rPr/>
            </w:pPr>
            <w:r>
              <w:rPr>
                <w:rFonts w:ascii="Calibri" w:hAnsi="Calibri"/>
                <w:b/>
                <w:color w:val="000000"/>
                <w:sz w:val="17"/>
              </w:rPr>
              <w:t>-</w:t>
            </w:r>
          </w:p>
        </w:tc>
        <w:tc>
          <w:tcPr>
            <w:tcW w:w="2466" w:type="dxa"/>
            <w:tcBorders/>
          </w:tcPr>
          <w:p>
            <w:pPr>
              <w:pStyle w:val="normal1"/>
              <w:spacing w:lineRule="auto" w:line="252" w:before="40" w:after="40"/>
              <w:jc w:val="center"/>
              <w:rPr/>
            </w:pPr>
            <w:r>
              <w:rPr>
                <w:rFonts w:ascii="Calibri" w:hAnsi="Calibri"/>
                <w:b/>
                <w:color w:val="000000"/>
                <w:sz w:val="17"/>
              </w:rPr>
              <w:t>Pemodelan Dependensi &amp; Uji Hipotesis Multivariat (Analisis &amp; Evaluasi C4-C5)</w:t>
            </w:r>
          </w:p>
        </w:tc>
        <w:tc>
          <w:tcPr>
            <w:tcW w:w="2466" w:type="dxa"/>
            <w:tcBorders/>
          </w:tcPr>
          <w:p>
            <w:pPr>
              <w:pStyle w:val="normal1"/>
              <w:spacing w:lineRule="auto" w:line="252" w:before="40" w:after="40"/>
              <w:jc w:val="center"/>
              <w:rPr/>
            </w:pPr>
            <w:r>
              <w:rPr>
                <w:rFonts w:ascii="Calibri" w:hAnsi="Calibri"/>
                <w:b w:val="false"/>
                <w:color w:val="000000"/>
                <w:sz w:val="17"/>
              </w:rPr>
              <w:t>Skala 1-5</w:t>
            </w:r>
          </w:p>
        </w:tc>
        <w:tc>
          <w:tcPr>
            <w:tcW w:w="2466" w:type="dxa"/>
            <w:tcBorders/>
          </w:tcPr>
          <w:p>
            <w:pPr>
              <w:pStyle w:val="normal1"/>
              <w:spacing w:lineRule="auto" w:line="252" w:before="40" w:after="40"/>
              <w:jc w:val="start"/>
              <w:rPr/>
            </w:pPr>
            <w:r>
              <w:rPr>
                <w:rFonts w:ascii="Calibri" w:hAnsi="Calibri"/>
                <w:b w:val="false"/>
                <w:color w:val="000000"/>
                <w:sz w:val="17"/>
              </w:rPr>
              <w:t>Sangat Baik: Pemodelan sangat komprehensif, evaluasi goodness of fit mendalam, solusi alternatif atas pelanggaran asumsi terbukti efektif (85-100)</w:t>
              <w:br/>
              <w:t>Cukup: Menerapkan pengujian dependensi dengan benar, diagnosa asumsi dilakukan secara standar (60-69)</w:t>
              <w:br/>
              <w:t>Kurang: Keliru dalam memilih uji multivariat, mengabaikan pelanggaran asumsi statistik dasar (&lt; 50)</w:t>
            </w:r>
          </w:p>
        </w:tc>
      </w:tr>
      <w:tr>
        <w:trPr/>
        <w:tc>
          <w:tcPr>
            <w:tcW w:w="2466" w:type="dxa"/>
            <w:tcBorders/>
          </w:tcPr>
          <w:p>
            <w:pPr>
              <w:pStyle w:val="normal1"/>
              <w:spacing w:lineRule="auto" w:line="252" w:before="40" w:after="40"/>
              <w:jc w:val="center"/>
              <w:rPr/>
            </w:pPr>
            <w:r>
              <w:rPr>
                <w:rFonts w:ascii="Calibri" w:hAnsi="Calibri"/>
                <w:b/>
                <w:color w:val="000000"/>
                <w:sz w:val="17"/>
              </w:rPr>
              <w:t>-</w:t>
            </w:r>
          </w:p>
        </w:tc>
        <w:tc>
          <w:tcPr>
            <w:tcW w:w="2466" w:type="dxa"/>
            <w:tcBorders/>
          </w:tcPr>
          <w:p>
            <w:pPr>
              <w:pStyle w:val="normal1"/>
              <w:spacing w:lineRule="auto" w:line="252" w:before="40" w:after="40"/>
              <w:jc w:val="center"/>
              <w:rPr/>
            </w:pPr>
            <w:r>
              <w:rPr>
                <w:rFonts w:ascii="Calibri" w:hAnsi="Calibri"/>
                <w:b/>
                <w:color w:val="000000"/>
                <w:sz w:val="17"/>
              </w:rPr>
              <w:t>Perancangan Solusi Klasifikasi &amp; Klastering (Kreasi &amp; Implementasi C5-C6)</w:t>
            </w:r>
          </w:p>
        </w:tc>
        <w:tc>
          <w:tcPr>
            <w:tcW w:w="2466" w:type="dxa"/>
            <w:tcBorders/>
          </w:tcPr>
          <w:p>
            <w:pPr>
              <w:pStyle w:val="normal1"/>
              <w:spacing w:lineRule="auto" w:line="252" w:before="40" w:after="40"/>
              <w:jc w:val="center"/>
              <w:rPr/>
            </w:pPr>
            <w:r>
              <w:rPr>
                <w:rFonts w:ascii="Calibri" w:hAnsi="Calibri"/>
                <w:b w:val="false"/>
                <w:color w:val="000000"/>
                <w:sz w:val="17"/>
              </w:rPr>
              <w:t>Skala 1-5</w:t>
            </w:r>
          </w:p>
        </w:tc>
        <w:tc>
          <w:tcPr>
            <w:tcW w:w="2466" w:type="dxa"/>
            <w:tcBorders/>
          </w:tcPr>
          <w:p>
            <w:pPr>
              <w:pStyle w:val="normal1"/>
              <w:spacing w:lineRule="auto" w:line="252" w:before="40" w:after="40"/>
              <w:jc w:val="start"/>
              <w:rPr/>
            </w:pPr>
            <w:r>
              <w:rPr>
                <w:rFonts w:ascii="Calibri" w:hAnsi="Calibri"/>
                <w:b w:val="false"/>
                <w:color w:val="000000"/>
                <w:sz w:val="17"/>
              </w:rPr>
              <w:t>Sangat Baik: Solusi segmentasi dan klasifikasi sangat canggih, profil klaster terdeskripsi dengan wawasan bisnis/sains luar biasa, kode modular dan efisien (85-100)</w:t>
              <w:br/>
              <w:t>Cukup: Segmentasi berhasil dibuat, metrik evaluasi dihitung secara memadai (60-69)</w:t>
              <w:br/>
              <w:t>Kurang: Algoritma klastering/klasifikasi tidak berjalan atau menghasilkan pengelompokan yang tidak valid (&lt; 50)</w:t>
            </w:r>
          </w:p>
        </w:tc>
      </w:tr>
      <w:tr>
        <w:trPr/>
        <w:tc>
          <w:tcPr>
            <w:tcW w:w="2466" w:type="dxa"/>
            <w:tcBorders/>
          </w:tcPr>
          <w:p>
            <w:pPr>
              <w:pStyle w:val="normal1"/>
              <w:spacing w:lineRule="auto" w:line="252" w:before="40" w:after="40"/>
              <w:jc w:val="center"/>
              <w:rPr/>
            </w:pPr>
            <w:r>
              <w:rPr>
                <w:rFonts w:ascii="Calibri" w:hAnsi="Calibri"/>
                <w:b/>
                <w:color w:val="000000"/>
                <w:sz w:val="17"/>
              </w:rPr>
              <w:t>-</w:t>
            </w:r>
          </w:p>
        </w:tc>
        <w:tc>
          <w:tcPr>
            <w:tcW w:w="2466" w:type="dxa"/>
            <w:tcBorders/>
          </w:tcPr>
          <w:p>
            <w:pPr>
              <w:pStyle w:val="normal1"/>
              <w:spacing w:lineRule="auto" w:line="252" w:before="40" w:after="40"/>
              <w:jc w:val="center"/>
              <w:rPr/>
            </w:pPr>
            <w:r>
              <w:rPr>
                <w:rFonts w:ascii="Calibri" w:hAnsi="Calibri"/>
                <w:b/>
                <w:color w:val="000000"/>
                <w:sz w:val="17"/>
              </w:rPr>
              <w:t>Kualitas Laporan Ilmiah, Kode Reproducible &amp; Presentasi (Soft Skills &amp; Afektif)</w:t>
            </w:r>
          </w:p>
        </w:tc>
        <w:tc>
          <w:tcPr>
            <w:tcW w:w="2466" w:type="dxa"/>
            <w:tcBorders/>
          </w:tcPr>
          <w:p>
            <w:pPr>
              <w:pStyle w:val="normal1"/>
              <w:spacing w:lineRule="auto" w:line="252" w:before="40" w:after="40"/>
              <w:jc w:val="center"/>
              <w:rPr/>
            </w:pPr>
            <w:r>
              <w:rPr>
                <w:rFonts w:ascii="Calibri" w:hAnsi="Calibri"/>
                <w:b w:val="false"/>
                <w:color w:val="000000"/>
                <w:sz w:val="17"/>
              </w:rPr>
              <w:t>Skala 1-5</w:t>
            </w:r>
          </w:p>
        </w:tc>
        <w:tc>
          <w:tcPr>
            <w:tcW w:w="2466" w:type="dxa"/>
            <w:tcBorders/>
          </w:tcPr>
          <w:p>
            <w:pPr>
              <w:pStyle w:val="normal1"/>
              <w:spacing w:lineRule="auto" w:line="252" w:before="40" w:after="40"/>
              <w:jc w:val="start"/>
              <w:rPr/>
            </w:pPr>
            <w:r>
              <w:rPr>
                <w:rFonts w:ascii="Calibri" w:hAnsi="Calibri"/>
                <w:b w:val="false"/>
                <w:color w:val="000000"/>
                <w:sz w:val="17"/>
              </w:rPr>
              <w:t>Sangat Baik: Kualitas naskah setara prosiding/jurnal terindeks, visualisasi data interaktif memukau, penguasaan materi sempurna saat mempertahankan argumen (85-100)</w:t>
              <w:br/>
              <w:t>Cukup: Laporan sesuai format, kode dapat dijalankan dengan instruksi standar, presentasi cukup komunikatif (60-69)</w:t>
              <w:br/>
              <w:t>Kurang: Laporan tidak terstruktur, plagiarisme tinggi, kode tidak dapat dijalankan, presentasi sangat buruk (&lt; 50)</w:t>
            </w:r>
          </w:p>
        </w:tc>
      </w:tr>
    </w:tbl>
    <w:sectPr>
      <w:footerReference w:type="even" r:id="rId15"/>
      <w:footerReference w:type="default" r:id="rId16"/>
      <w:footerReference w:type="first" r:id="rId17"/>
      <w:type w:val="nextPage"/>
      <w:pgSz w:w="11906" w:h="16838"/>
      <w:pgMar w:left="1020" w:right="1020" w:gutter="0" w:header="0" w:top="1580" w:footer="623" w:bottom="8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Roboto Bk">
    <w:charset w:val="01" w:characterSet="utf-8"/>
    <w:family w:val="roman"/>
    <w:pitch w:val="variable"/>
  </w:font>
  <w:font w:name="Roboto">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characterSet="utf-8"/>
    <w:family w:val="swiss"/>
    <w:pitch w:val="variable"/>
  </w:font>
  <w:font w:name="Arial MT">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libri">
    <w:charset w:val="01" w:characterSet="utf-8"/>
    <w:family w:val="roman"/>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078" w:hanging="284"/>
      </w:pPr>
      <w:rPr>
        <w:rFonts w:ascii="Arial" w:hAnsi="Arial" w:eastAsia="Arial" w:cs="Arial"/>
        <w:color w:val="231F20"/>
        <w:sz w:val="20"/>
        <w:szCs w:val="20"/>
      </w:rPr>
    </w:lvl>
    <w:lvl w:ilvl="1">
      <w:start w:val="0"/>
      <w:numFmt w:val="bullet"/>
      <w:lvlText w:val=""/>
      <w:lvlJc w:val="start"/>
      <w:pPr>
        <w:tabs>
          <w:tab w:val="num" w:pos="0"/>
        </w:tabs>
        <w:ind w:start="1958" w:hanging="284"/>
      </w:pPr>
      <w:rPr>
        <w:rFonts w:ascii="Symbol" w:hAnsi="Symbol" w:cs="Symbol" w:hint="default"/>
      </w:rPr>
    </w:lvl>
    <w:lvl w:ilvl="2">
      <w:start w:val="0"/>
      <w:numFmt w:val="bullet"/>
      <w:lvlText w:val=""/>
      <w:lvlJc w:val="start"/>
      <w:pPr>
        <w:tabs>
          <w:tab w:val="num" w:pos="0"/>
        </w:tabs>
        <w:ind w:start="2837" w:hanging="284"/>
      </w:pPr>
      <w:rPr>
        <w:rFonts w:ascii="Symbol" w:hAnsi="Symbol" w:cs="Symbol" w:hint="default"/>
      </w:rPr>
    </w:lvl>
    <w:lvl w:ilvl="3">
      <w:start w:val="0"/>
      <w:numFmt w:val="bullet"/>
      <w:lvlText w:val=""/>
      <w:lvlJc w:val="start"/>
      <w:pPr>
        <w:tabs>
          <w:tab w:val="num" w:pos="0"/>
        </w:tabs>
        <w:ind w:start="3715" w:hanging="284"/>
      </w:pPr>
      <w:rPr>
        <w:rFonts w:ascii="Symbol" w:hAnsi="Symbol" w:cs="Symbol" w:hint="default"/>
      </w:rPr>
    </w:lvl>
    <w:lvl w:ilvl="4">
      <w:start w:val="0"/>
      <w:numFmt w:val="bullet"/>
      <w:lvlText w:val=""/>
      <w:lvlJc w:val="start"/>
      <w:pPr>
        <w:tabs>
          <w:tab w:val="num" w:pos="0"/>
        </w:tabs>
        <w:ind w:start="4594" w:hanging="284"/>
      </w:pPr>
      <w:rPr>
        <w:rFonts w:ascii="Symbol" w:hAnsi="Symbol" w:cs="Symbol" w:hint="default"/>
      </w:rPr>
    </w:lvl>
    <w:lvl w:ilvl="5">
      <w:start w:val="0"/>
      <w:numFmt w:val="bullet"/>
      <w:lvlText w:val=""/>
      <w:lvlJc w:val="start"/>
      <w:pPr>
        <w:tabs>
          <w:tab w:val="num" w:pos="0"/>
        </w:tabs>
        <w:ind w:start="5472" w:hanging="284"/>
      </w:pPr>
      <w:rPr>
        <w:rFonts w:ascii="Symbol" w:hAnsi="Symbol" w:cs="Symbol" w:hint="default"/>
      </w:rPr>
    </w:lvl>
    <w:lvl w:ilvl="6">
      <w:start w:val="0"/>
      <w:numFmt w:val="bullet"/>
      <w:lvlText w:val=""/>
      <w:lvlJc w:val="start"/>
      <w:pPr>
        <w:tabs>
          <w:tab w:val="num" w:pos="0"/>
        </w:tabs>
        <w:ind w:start="6351" w:hanging="284"/>
      </w:pPr>
      <w:rPr>
        <w:rFonts w:ascii="Symbol" w:hAnsi="Symbol" w:cs="Symbol" w:hint="default"/>
      </w:rPr>
    </w:lvl>
    <w:lvl w:ilvl="7">
      <w:start w:val="0"/>
      <w:numFmt w:val="bullet"/>
      <w:lvlText w:val=""/>
      <w:lvlJc w:val="start"/>
      <w:pPr>
        <w:tabs>
          <w:tab w:val="num" w:pos="0"/>
        </w:tabs>
        <w:ind w:start="7229" w:hanging="284"/>
      </w:pPr>
      <w:rPr>
        <w:rFonts w:ascii="Symbol" w:hAnsi="Symbol" w:cs="Symbol" w:hint="default"/>
      </w:rPr>
    </w:lvl>
    <w:lvl w:ilvl="8">
      <w:start w:val="0"/>
      <w:numFmt w:val="bullet"/>
      <w:lvlText w:val=""/>
      <w:lvlJc w:val="start"/>
      <w:pPr>
        <w:tabs>
          <w:tab w:val="num" w:pos="0"/>
        </w:tabs>
        <w:ind w:start="8108" w:hanging="284"/>
      </w:pPr>
      <w:rPr>
        <w:rFonts w:ascii="Symbol" w:hAnsi="Symbol" w:cs="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defaultTabStop w:val="720"/>
  <w:autoHyphenation w:val="true"/>
  <w:hyphenationZone w:val="0"/>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id-ID"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start"/>
    </w:pPr>
    <w:rPr>
      <w:rFonts w:ascii="Cambria" w:hAnsi="Cambria" w:eastAsia="Cambria" w:cs="Cambria"/>
      <w:color w:val="auto"/>
      <w:kern w:val="0"/>
      <w:sz w:val="22"/>
      <w:szCs w:val="22"/>
      <w:lang w:val="id-ID" w:eastAsia="zh-CN" w:bidi="hi-IN"/>
    </w:rPr>
  </w:style>
  <w:style w:type="paragraph" w:styleId="Heading1">
    <w:name w:val="heading 1"/>
    <w:basedOn w:val="normal1"/>
    <w:next w:val="normal1"/>
    <w:uiPriority w:val="9"/>
    <w:qFormat/>
    <w:pPr>
      <w:spacing w:before="81" w:after="0"/>
      <w:jc w:val="end"/>
      <w:outlineLvl w:val="0"/>
    </w:pPr>
    <w:rPr>
      <w:b/>
      <w:bCs/>
      <w:sz w:val="72"/>
      <w:szCs w:val="72"/>
    </w:rPr>
  </w:style>
  <w:style w:type="paragraph" w:styleId="Heading2">
    <w:name w:val="heading 2"/>
    <w:basedOn w:val="normal1"/>
    <w:next w:val="normal1"/>
    <w:uiPriority w:val="9"/>
    <w:unhideWhenUsed/>
    <w:qFormat/>
    <w:pPr>
      <w:spacing w:before="89" w:after="0"/>
      <w:ind w:start="305" w:end="62"/>
      <w:jc w:val="center"/>
      <w:outlineLvl w:val="1"/>
    </w:pPr>
    <w:rPr>
      <w:rFonts w:ascii="Roboto Bk" w:hAnsi="Roboto Bk" w:eastAsia="Roboto Bk" w:cs="Roboto Bk"/>
      <w:b/>
      <w:bCs/>
      <w:sz w:val="50"/>
      <w:szCs w:val="50"/>
    </w:rPr>
  </w:style>
  <w:style w:type="paragraph" w:styleId="Heading3">
    <w:name w:val="heading 3"/>
    <w:basedOn w:val="normal1"/>
    <w:next w:val="normal1"/>
    <w:uiPriority w:val="9"/>
    <w:unhideWhenUsed/>
    <w:qFormat/>
    <w:pPr>
      <w:spacing w:before="76" w:after="0"/>
      <w:outlineLvl w:val="2"/>
    </w:pPr>
    <w:rPr>
      <w:b/>
      <w:bCs/>
      <w:sz w:val="46"/>
      <w:szCs w:val="46"/>
    </w:rPr>
  </w:style>
  <w:style w:type="paragraph" w:styleId="Heading4">
    <w:name w:val="heading 4"/>
    <w:basedOn w:val="normal1"/>
    <w:next w:val="normal1"/>
    <w:uiPriority w:val="9"/>
    <w:unhideWhenUsed/>
    <w:qFormat/>
    <w:pPr>
      <w:spacing w:before="91" w:after="0"/>
      <w:ind w:hanging="2299" w:start="982" w:end="720"/>
      <w:outlineLvl w:val="3"/>
    </w:pPr>
    <w:rPr>
      <w:rFonts w:ascii="Roboto" w:hAnsi="Roboto" w:eastAsia="Roboto" w:cs="Roboto"/>
      <w:b/>
      <w:bCs/>
      <w:sz w:val="40"/>
      <w:szCs w:val="40"/>
    </w:rPr>
  </w:style>
  <w:style w:type="paragraph" w:styleId="Heading5">
    <w:name w:val="heading 5"/>
    <w:basedOn w:val="normal1"/>
    <w:next w:val="normal1"/>
    <w:uiPriority w:val="9"/>
    <w:unhideWhenUsed/>
    <w:qFormat/>
    <w:pPr>
      <w:ind w:start="305"/>
      <w:jc w:val="center"/>
      <w:outlineLvl w:val="4"/>
    </w:pPr>
    <w:rPr>
      <w:rFonts w:ascii="Roboto Bk" w:hAnsi="Roboto Bk" w:eastAsia="Roboto Bk" w:cs="Roboto Bk"/>
      <w:b/>
      <w:bCs/>
      <w:sz w:val="36"/>
      <w:szCs w:val="36"/>
    </w:rPr>
  </w:style>
  <w:style w:type="paragraph" w:styleId="Heading6">
    <w:name w:val="heading 6"/>
    <w:basedOn w:val="normal1"/>
    <w:next w:val="normal1"/>
    <w:uiPriority w:val="9"/>
    <w:unhideWhenUsed/>
    <w:qFormat/>
    <w:pPr>
      <w:ind w:start="305" w:end="63"/>
      <w:jc w:val="center"/>
      <w:outlineLvl w:val="5"/>
    </w:pPr>
    <w:rPr>
      <w:rFonts w:ascii="Roboto" w:hAnsi="Roboto" w:eastAsia="Roboto" w:cs="Roboto"/>
      <w:b/>
      <w:bCs/>
      <w:sz w:val="34"/>
      <w:szCs w:val="34"/>
    </w:rPr>
  </w:style>
  <w:style w:type="paragraph" w:styleId="Heading7">
    <w:name w:val="heading 7"/>
    <w:basedOn w:val="normal1"/>
    <w:uiPriority w:val="1"/>
    <w:qFormat/>
    <w:pPr>
      <w:ind w:start="477"/>
      <w:outlineLvl w:val="6"/>
    </w:pPr>
    <w:rPr>
      <w:rFonts w:ascii="Arial" w:hAnsi="Arial" w:eastAsia="Arial" w:cs="Arial"/>
      <w:b/>
      <w:bCs/>
      <w:sz w:val="32"/>
      <w:szCs w:val="32"/>
    </w:rPr>
  </w:style>
  <w:style w:type="paragraph" w:styleId="Heading8">
    <w:name w:val="heading 8"/>
    <w:basedOn w:val="normal1"/>
    <w:uiPriority w:val="1"/>
    <w:qFormat/>
    <w:pPr>
      <w:spacing w:before="19" w:after="0"/>
      <w:ind w:start="20"/>
      <w:outlineLvl w:val="7"/>
    </w:pPr>
    <w:rPr>
      <w:rFonts w:ascii="Arial MT" w:hAnsi="Arial MT" w:eastAsia="Arial MT" w:cs="Arial MT"/>
      <w:sz w:val="28"/>
      <w:szCs w:val="28"/>
    </w:rPr>
  </w:style>
  <w:style w:type="paragraph" w:styleId="Heading9">
    <w:name w:val="heading 9"/>
    <w:basedOn w:val="normal1"/>
    <w:uiPriority w:val="1"/>
    <w:qFormat/>
    <w:pPr>
      <w:ind w:hanging="568" w:start="1214"/>
      <w:outlineLvl w:val="8"/>
    </w:pPr>
    <w:rPr>
      <w:b/>
      <w:bCs/>
      <w:sz w:val="24"/>
      <w:szCs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b2a2f"/>
    <w:rPr>
      <w:rFonts w:ascii="Cambria" w:hAnsi="Cambria" w:eastAsia="Cambria" w:cs="Cambria"/>
      <w:lang w:val="id-ID"/>
    </w:rPr>
  </w:style>
  <w:style w:type="character" w:styleId="FooterChar" w:customStyle="1">
    <w:name w:val="Footer Char"/>
    <w:basedOn w:val="DefaultParagraphFont"/>
    <w:link w:val="Footer"/>
    <w:uiPriority w:val="99"/>
    <w:qFormat/>
    <w:rsid w:val="00eb2a2f"/>
    <w:rPr>
      <w:rFonts w:ascii="Cambria" w:hAnsi="Cambria" w:eastAsia="Cambria" w:cs="Cambria"/>
      <w:lang w:val="id-ID"/>
    </w:rPr>
  </w:style>
  <w:style w:type="character" w:styleId="CommentReference">
    <w:name w:val="annotation reference"/>
    <w:basedOn w:val="DefaultParagraphFont"/>
    <w:uiPriority w:val="99"/>
    <w:semiHidden/>
    <w:unhideWhenUsed/>
    <w:qFormat/>
    <w:rsid w:val="00a744f2"/>
    <w:rPr>
      <w:sz w:val="16"/>
      <w:szCs w:val="16"/>
    </w:rPr>
  </w:style>
  <w:style w:type="character" w:styleId="CommentTextChar" w:customStyle="1">
    <w:name w:val="Comment Text Char"/>
    <w:basedOn w:val="DefaultParagraphFont"/>
    <w:link w:val="CommentText"/>
    <w:uiPriority w:val="99"/>
    <w:semiHidden/>
    <w:qFormat/>
    <w:rsid w:val="00a744f2"/>
    <w:rPr>
      <w:rFonts w:ascii="Cambria" w:hAnsi="Cambria" w:eastAsia="Cambria" w:cs="Cambria"/>
      <w:sz w:val="20"/>
      <w:szCs w:val="20"/>
      <w:lang w:val="id-ID"/>
    </w:rPr>
  </w:style>
  <w:style w:type="character" w:styleId="CommentSubjectChar" w:customStyle="1">
    <w:name w:val="Comment Subject Char"/>
    <w:basedOn w:val="CommentTextChar"/>
    <w:link w:val="annotationsubject"/>
    <w:uiPriority w:val="99"/>
    <w:semiHidden/>
    <w:qFormat/>
    <w:rsid w:val="00a744f2"/>
    <w:rPr>
      <w:rFonts w:ascii="Cambria" w:hAnsi="Cambria" w:eastAsia="Cambria" w:cs="Cambria"/>
      <w:b/>
      <w:bCs/>
      <w:sz w:val="20"/>
      <w:szCs w:val="20"/>
      <w:lang w:val="id-ID"/>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start"/>
    </w:pPr>
    <w:rPr>
      <w:rFonts w:ascii="Cambria" w:hAnsi="Cambria" w:eastAsia="Cambria" w:cs="Cambria"/>
      <w:color w:val="auto"/>
      <w:kern w:val="0"/>
      <w:sz w:val="22"/>
      <w:szCs w:val="22"/>
      <w:lang w:val="id-ID"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TOC1">
    <w:name w:val="toc 1"/>
    <w:basedOn w:val="normal1"/>
    <w:uiPriority w:val="1"/>
    <w:qFormat/>
    <w:pPr>
      <w:spacing w:before="295" w:after="0"/>
      <w:ind w:start="193"/>
    </w:pPr>
    <w:rPr>
      <w:b/>
      <w:bCs/>
      <w:sz w:val="24"/>
      <w:szCs w:val="24"/>
    </w:rPr>
  </w:style>
  <w:style w:type="paragraph" w:styleId="TOC2">
    <w:name w:val="toc 2"/>
    <w:basedOn w:val="normal1"/>
    <w:uiPriority w:val="1"/>
    <w:qFormat/>
    <w:pPr>
      <w:spacing w:before="7" w:after="0"/>
      <w:ind w:start="193"/>
    </w:pPr>
    <w:rPr>
      <w:sz w:val="24"/>
      <w:szCs w:val="24"/>
    </w:rPr>
  </w:style>
  <w:style w:type="paragraph" w:styleId="TOC3">
    <w:name w:val="toc 3"/>
    <w:basedOn w:val="normal1"/>
    <w:uiPriority w:val="1"/>
    <w:qFormat/>
    <w:pPr>
      <w:spacing w:before="6" w:after="0"/>
      <w:ind w:start="930"/>
    </w:pPr>
    <w:rPr>
      <w:sz w:val="24"/>
      <w:szCs w:val="24"/>
    </w:rPr>
  </w:style>
  <w:style w:type="paragraph" w:styleId="ListParagraph">
    <w:name w:val="List Paragraph"/>
    <w:basedOn w:val="normal1"/>
    <w:uiPriority w:val="1"/>
    <w:qFormat/>
    <w:pPr>
      <w:ind w:hanging="567" w:start="1214"/>
      <w:jc w:val="both"/>
    </w:pPr>
    <w:rPr/>
  </w:style>
  <w:style w:type="paragraph" w:styleId="TableParagraph" w:customStyle="1">
    <w:name w:val="Table Paragraph"/>
    <w:basedOn w:val="normal1"/>
    <w:uiPriority w:val="1"/>
    <w:qFormat/>
    <w:pPr/>
    <w:rPr>
      <w:rFonts w:ascii="Arial MT" w:hAnsi="Arial MT" w:eastAsia="Arial MT" w:cs="Arial MT"/>
    </w:rPr>
  </w:style>
  <w:style w:type="paragraph" w:styleId="HeaderandFooter">
    <w:name w:val="Header and Footer"/>
    <w:basedOn w:val="Normal"/>
    <w:qFormat/>
    <w:pPr/>
    <w:rPr/>
  </w:style>
  <w:style w:type="paragraph" w:styleId="Header">
    <w:name w:val="header"/>
    <w:basedOn w:val="normal1"/>
    <w:link w:val="HeaderChar"/>
    <w:uiPriority w:val="99"/>
    <w:unhideWhenUsed/>
    <w:rsid w:val="00eb2a2f"/>
    <w:pPr>
      <w:tabs>
        <w:tab w:val="clear" w:pos="720"/>
        <w:tab w:val="center" w:pos="4513" w:leader="none"/>
        <w:tab w:val="right" w:pos="9026" w:leader="none"/>
      </w:tabs>
    </w:pPr>
    <w:rPr/>
  </w:style>
  <w:style w:type="paragraph" w:styleId="Footer">
    <w:name w:val="footer"/>
    <w:basedOn w:val="normal1"/>
    <w:link w:val="FooterChar"/>
    <w:uiPriority w:val="99"/>
    <w:unhideWhenUsed/>
    <w:rsid w:val="00eb2a2f"/>
    <w:pPr>
      <w:tabs>
        <w:tab w:val="clear" w:pos="720"/>
        <w:tab w:val="center" w:pos="4513" w:leader="none"/>
        <w:tab w:val="right" w:pos="9026" w:leader="none"/>
      </w:tabs>
    </w:pPr>
    <w:rPr/>
  </w:style>
  <w:style w:type="paragraph" w:styleId="CommentText">
    <w:name w:val="annotation text"/>
    <w:basedOn w:val="normal1"/>
    <w:link w:val="CommentTextChar"/>
    <w:uiPriority w:val="99"/>
    <w:semiHidden/>
    <w:unhideWhenUsed/>
    <w:rsid w:val="00a744f2"/>
    <w:pPr/>
    <w:rPr>
      <w:sz w:val="20"/>
      <w:szCs w:val="20"/>
    </w:rPr>
  </w:style>
  <w:style w:type="paragraph" w:styleId="annotationsubject">
    <w:name w:val="annotation subject"/>
    <w:basedOn w:val="CommentText"/>
    <w:next w:val="CommentText"/>
    <w:link w:val="CommentSubjectChar"/>
    <w:uiPriority w:val="99"/>
    <w:semiHidden/>
    <w:unhideWhenUsed/>
    <w:qFormat/>
    <w:rsid w:val="00a744f2"/>
    <w:pPr/>
    <w:rPr>
      <w:b/>
      <w:bCs/>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2.png"/><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footer" Target="footer7.xml"/><Relationship Id="rId12" Type="http://schemas.openxmlformats.org/officeDocument/2006/relationships/footer" Target="footer8.xml"/><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Nqf7As26l18xulSe3rQvigq2omw==">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LibreOffice/26.2.5.2$Linux_X86_64 LibreOffice_project/6d2b0d33fb0f5da53a12f98bed3e9973e56ff1f0</Application>
  <AppVersion>15.0000</AppVersion>
  <Pages>12</Pages>
  <Words>3825</Words>
  <Characters>25427</Characters>
  <CharactersWithSpaces>28952</CharactersWithSpaces>
  <Paragraphs>351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2024-08-01T05:36:00Z</dcterms:created>
  <dc:creator>AFIRMASI-0197</dc:creator>
  <dc:description/>
  <dc:language>en-US</dc:language>
  <cp:lastModifiedBy/>
  <dcterms:modified xsi:type="dcterms:W3CDTF">2026-09-25T07:28:17Z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2024-07-20T00:00:00Z</vt:lpwstr>
  </property>
  <property fmtid="{D5CDD505-2E9C-101B-9397-08002B2CF9AE}" pid="3" name="Creator">
    <vt:lpwstr>Acrobat Pro DC 22.2.20191</vt:lpwstr>
  </property>
  <property fmtid="{D5CDD505-2E9C-101B-9397-08002B2CF9AE}" pid="4" name="LastSaved">
    <vt:lpwstr>2024-07-28T00:00:00Z</vt:lpwstr>
  </property>
</Properties>
</file>