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3.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40" w:before="5"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3"/>
          <w:szCs w:val="13"/>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3"/>
          <w:szCs w:val="13"/>
          <w:u w:val="none"/>
          <w:shd w:fill="auto" w:val="clear"/>
          <w:vertAlign w:val="baseline"/>
        </w:rPr>
        <mc:AlternateContent>
          <mc:Choice Requires="wps">
            <w:drawing>
              <wp:anchor distT="0" distB="0" distL="0" distR="0" simplePos="0" relativeHeight="4" behindDoc="0" locked="0" layoutInCell="0" allowOverlap="1">
                <wp:simplePos x="0" y="0"/>
                <wp:positionH relativeFrom="page">
                  <wp:posOffset>281940</wp:posOffset>
                </wp:positionH>
                <wp:positionV relativeFrom="page">
                  <wp:posOffset>6494780</wp:posOffset>
                </wp:positionV>
                <wp:extent cx="239395" cy="267970"/>
                <wp:effectExtent l="0" t="0" r="0" b="0"/>
                <wp:wrapNone/>
                <wp:docPr id="1" name="Shape 7"/>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user"/>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wps:txbx>
                      <wps:bodyPr lIns="0" tIns="0" rIns="0" bIns="0" anchor="t">
                        <a:noAutofit/>
                      </wps:bodyPr>
                    </wps:wsp>
                  </a:graphicData>
                </a:graphic>
              </wp:anchor>
            </w:drawing>
          </mc:Choice>
          <mc:Fallback>
            <w:pict>
              <v:rect id="shape_0" stroked="f" o:allowincell="f" style="position:absolute;margin-left:22.15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user"/>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v:textbox>
                <w10:wrap type="none"/>
              </v:rect>
            </w:pict>
          </mc:Fallback>
        </mc:AlternateContent>
      </w:r>
    </w:p>
    <w:p>
      <w:pPr>
        <w:pStyle w:val="normal1"/>
        <w:keepNext w:val="false"/>
        <w:keepLines w:val="false"/>
        <w:pageBreakBefore w:val="false"/>
        <w:widowControl w:val="false"/>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3"/>
          <w:szCs w:val="23"/>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3"/>
          <w:szCs w:val="23"/>
          <w:u w:val="none"/>
          <w:shd w:fill="auto" w:val="clear"/>
          <w:vertAlign w:val="baseline"/>
        </w:rPr>
      </w:r>
    </w:p>
    <w:tbl>
      <w:tblPr>
        <w:tblStyle w:val="Table1"/>
        <w:tblW w:w="14292" w:type="dxa"/>
        <w:jc w:val="start"/>
        <w:tblInd w:w="128" w:type="dxa"/>
        <w:tblLayout w:type="fixed"/>
        <w:tblCellMar>
          <w:top w:w="0" w:type="dxa"/>
          <w:start w:w="108" w:type="dxa"/>
          <w:bottom w:w="0" w:type="dxa"/>
          <w:end w:w="108" w:type="dxa"/>
        </w:tblCellMar>
        <w:tblLook w:val="0000"/>
      </w:tblPr>
      <w:tblGrid>
        <w:gridCol w:w="1796"/>
        <w:gridCol w:w="1032"/>
        <w:gridCol w:w="3473"/>
        <w:gridCol w:w="3673"/>
        <w:gridCol w:w="3057"/>
        <w:gridCol w:w="1261"/>
      </w:tblGrid>
      <w:tr>
        <w:trPr>
          <w:trHeight w:val="1027" w:hRule="atLeast"/>
        </w:trPr>
        <w:tc>
          <w:tcPr>
            <w:tcW w:w="1796" w:type="dxa"/>
            <w:tcBorders>
              <w:top w:val="single" w:sz="4" w:space="0" w:color="231F20"/>
              <w:start w:val="single" w:sz="4" w:space="0" w:color="231F20"/>
              <w:bottom w:val="single" w:sz="4" w:space="0" w:color="231F20"/>
              <w:end w:val="single" w:sz="4" w:space="0" w:color="231F20"/>
            </w:tcBorders>
            <w:shd w:fill="auto" w:val="clear"/>
          </w:tcPr>
          <w:p>
            <w:pPr>
              <w:pStyle w:val="normal1"/>
              <w:keepNext w:val="false"/>
              <w:keepLines w:val="false"/>
              <w:widowControl w:val="false"/>
              <w:shd w:val="clear" w:fill="auto"/>
              <w:spacing w:lineRule="auto" w:line="240" w:before="0" w:after="0"/>
              <w:ind w:hanging="0" w:start="0" w:end="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6" behindDoc="0" locked="0" layoutInCell="1" allowOverlap="1">
                  <wp:simplePos x="0" y="0"/>
                  <wp:positionH relativeFrom="column">
                    <wp:posOffset>255270</wp:posOffset>
                  </wp:positionH>
                  <wp:positionV relativeFrom="paragraph">
                    <wp:posOffset>27940</wp:posOffset>
                  </wp:positionV>
                  <wp:extent cx="615950" cy="602615"/>
                  <wp:effectExtent l="0" t="0" r="0" b="0"/>
                  <wp:wrapNone/>
                  <wp:docPr id="2" name="image1.jpg" descr="UNIROW LOGO W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UNIROW LOGO WARNA"/>
                          <pic:cNvPicPr>
                            <a:picLocks noChangeAspect="1" noChangeArrowheads="1"/>
                          </pic:cNvPicPr>
                        </pic:nvPicPr>
                        <pic:blipFill>
                          <a:blip r:embed="rId2"/>
                          <a:stretch>
                            <a:fillRect/>
                          </a:stretch>
                        </pic:blipFill>
                        <pic:spPr bwMode="auto">
                          <a:xfrm>
                            <a:off x="0" y="0"/>
                            <a:ext cx="615950" cy="602615"/>
                          </a:xfrm>
                          <a:prstGeom prst="rect">
                            <a:avLst/>
                          </a:prstGeom>
                          <a:noFill/>
                        </pic:spPr>
                      </pic:pic>
                    </a:graphicData>
                  </a:graphic>
                </wp:anchor>
              </w:drawing>
            </w:r>
          </w:p>
          <w:p>
            <w:pPr>
              <w:pStyle w:val="normal1"/>
              <w:keepNext w:val="false"/>
              <w:keepLines w:val="false"/>
              <w:widowControl w:val="false"/>
              <w:shd w:val="clear" w:fill="auto"/>
              <w:spacing w:lineRule="auto" w:line="240" w:before="0" w:after="0"/>
              <w:ind w:hanging="0" w:start="353"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1235" w:type="dxa"/>
            <w:gridSpan w:val="4"/>
            <w:tcBorders>
              <w:top w:val="single" w:sz="4" w:space="0" w:color="231F20"/>
              <w:start w:val="single" w:sz="4" w:space="0" w:color="231F20"/>
              <w:bottom w:val="single" w:sz="6" w:space="0" w:color="231F20"/>
              <w:end w:val="single" w:sz="4" w:space="0" w:color="231F20"/>
            </w:tcBorders>
            <w:shd w:fill="auto" w:val="clear"/>
          </w:tcPr>
          <w:p>
            <w:pPr>
              <w:pStyle w:val="normal1"/>
              <w:spacing w:lineRule="auto" w:line="252" w:before="40" w:after="40"/>
              <w:jc w:val="center"/>
              <w:rPr/>
            </w:pPr>
            <w:r>
              <w:rPr>
                <w:rFonts w:ascii="Calibri" w:hAnsi="Calibri"/>
                <w:b/>
                <w:color w:val="000000"/>
                <w:sz w:val="20"/>
              </w:rPr>
              <w:t>UNIVERSITAS PGRI RONGGOLAWE</w:t>
              <w:br/>
              <w:t>FAKULTAS SAINS DAN TEKNOLOGI</w:t>
              <w:br/>
              <w:t>PROGRAM STUDI S1 INFORMATIKA</w:t>
            </w:r>
          </w:p>
        </w:tc>
        <w:tc>
          <w:tcPr>
            <w:tcW w:w="1261" w:type="dxa"/>
            <w:tcBorders>
              <w:top w:val="single" w:sz="4" w:space="0" w:color="231F20"/>
              <w:start w:val="single" w:sz="4" w:space="0" w:color="231F20"/>
              <w:bottom w:val="single" w:sz="4" w:space="0" w:color="231F20"/>
              <w:end w:val="single" w:sz="4" w:space="0" w:color="231F20"/>
            </w:tcBorders>
            <w:shd w:fill="auto" w:val="clear"/>
          </w:tcPr>
          <w:p>
            <w:pPr>
              <w:pStyle w:val="normal1"/>
              <w:spacing w:lineRule="auto" w:line="252" w:before="40" w:after="40"/>
              <w:jc w:val="center"/>
              <w:rPr/>
            </w:pPr>
            <w:r>
              <w:rPr>
                <w:rFonts w:ascii="Calibri" w:hAnsi="Calibri"/>
                <w:b/>
                <w:color w:val="000000"/>
                <w:sz w:val="18"/>
              </w:rPr>
              <w:t>Kode Dokumen:</w:t>
              <w:br/>
              <w:t>RPS-INF-IF260624</w:t>
            </w:r>
          </w:p>
        </w:tc>
      </w:tr>
      <w:tr>
        <w:trPr>
          <w:trHeight w:val="276" w:hRule="atLeast"/>
        </w:trPr>
        <w:tc>
          <w:tcPr>
            <w:tcW w:w="14292" w:type="dxa"/>
            <w:gridSpan w:val="6"/>
            <w:tcBorders>
              <w:top w:val="single" w:sz="6" w:space="0" w:color="231F20"/>
              <w:start w:val="single" w:sz="4" w:space="0" w:color="231F20"/>
              <w:bottom w:val="single" w:sz="6" w:space="0" w:color="231F20"/>
              <w:end w:val="single" w:sz="4" w:space="0" w:color="231F20"/>
            </w:tcBorders>
            <w:shd w:fill="auto" w:val="clear"/>
          </w:tcPr>
          <w:p>
            <w:pPr>
              <w:pStyle w:val="normal1"/>
              <w:keepNext w:val="false"/>
              <w:keepLines w:val="false"/>
              <w:widowControl w:val="false"/>
              <w:shd w:val="clear" w:fill="auto"/>
              <w:spacing w:lineRule="auto" w:line="240" w:before="34" w:after="0"/>
              <w:ind w:hanging="0" w:start="5715" w:end="570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RENCANA PEMBELAJARAN SEMESTER</w:t>
            </w:r>
          </w:p>
        </w:tc>
      </w:tr>
      <w:tr>
        <w:trPr>
          <w:trHeight w:val="492" w:hRule="atLeast"/>
        </w:trPr>
        <w:tc>
          <w:tcPr>
            <w:tcW w:w="1796"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142"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 KULIAH (MK)</w:t>
            </w:r>
          </w:p>
        </w:tc>
        <w:tc>
          <w:tcPr>
            <w:tcW w:w="1032"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142" w:after="0"/>
              <w:ind w:hanging="0" w:start="0" w:end="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KODE</w:t>
            </w:r>
          </w:p>
        </w:tc>
        <w:tc>
          <w:tcPr>
            <w:tcW w:w="3473" w:type="dxa"/>
            <w:tcBorders>
              <w:top w:val="single" w:sz="6" w:space="0" w:color="231F20"/>
              <w:start w:val="single" w:sz="4" w:space="0" w:color="231F20"/>
              <w:bottom w:val="single" w:sz="6" w:space="0" w:color="231F20"/>
              <w:end w:val="single" w:sz="4" w:space="0" w:color="231F20"/>
            </w:tcBorders>
            <w:shd w:fill="DBE5F1" w:val="clear"/>
          </w:tcPr>
          <w:p>
            <w:pPr>
              <w:pStyle w:val="normal1"/>
              <w:keepNext w:val="false"/>
              <w:keepLines w:val="false"/>
              <w:widowControl w:val="false"/>
              <w:shd w:val="clear" w:fill="auto"/>
              <w:spacing w:lineRule="auto" w:line="240" w:before="142" w:after="0"/>
              <w:ind w:hanging="0" w:start="1132" w:end="112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Rumpun MK</w:t>
            </w:r>
          </w:p>
        </w:tc>
        <w:tc>
          <w:tcPr>
            <w:tcW w:w="367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142" w:after="0"/>
              <w:ind w:hanging="0" w:start="204" w:end="19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(sks)</w:t>
            </w:r>
          </w:p>
        </w:tc>
        <w:tc>
          <w:tcPr>
            <w:tcW w:w="305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uppressAutoHyphens w:val="true"/>
              <w:bidi w:val="0"/>
              <w:spacing w:lineRule="auto" w:line="240" w:before="142" w:after="0"/>
              <w:ind w:hanging="0" w:start="180" w:end="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SEMESTER</w:t>
            </w:r>
          </w:p>
        </w:tc>
        <w:tc>
          <w:tcPr>
            <w:tcW w:w="126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50" w:before="34" w:after="0"/>
              <w:ind w:hanging="0" w:start="0" w:end="17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Tgl Penyusunan</w:t>
            </w:r>
          </w:p>
        </w:tc>
      </w:tr>
      <w:tr>
        <w:trPr>
          <w:trHeight w:val="276" w:hRule="atLeast"/>
        </w:trPr>
        <w:tc>
          <w:tcPr>
            <w:tcW w:w="1796" w:type="dxa"/>
            <w:tcBorders>
              <w:top w:val="single" w:sz="4" w:space="0" w:color="231F20"/>
              <w:start w:val="single" w:sz="4" w:space="0" w:color="231F20"/>
              <w:bottom w:val="single" w:sz="4" w:space="0" w:color="231F20"/>
              <w:end w:val="single" w:sz="4" w:space="0" w:color="231F20"/>
            </w:tcBorders>
          </w:tcPr>
          <w:p>
            <w:pPr>
              <w:pStyle w:val="normal1"/>
              <w:spacing w:lineRule="auto" w:line="252" w:before="40" w:after="40"/>
              <w:jc w:val="center"/>
              <w:rPr/>
            </w:pPr>
            <w:r>
              <w:rPr>
                <w:rFonts w:ascii="Calibri" w:hAnsi="Calibri"/>
                <w:b w:val="false"/>
                <w:color w:val="000000"/>
                <w:sz w:val="18"/>
              </w:rPr>
              <w:t>Sistem Informasi Bisnis</w:t>
            </w:r>
          </w:p>
        </w:tc>
        <w:tc>
          <w:tcPr>
            <w:tcW w:w="1032" w:type="dxa"/>
            <w:tcBorders>
              <w:top w:val="single" w:sz="4" w:space="0" w:color="231F20"/>
              <w:start w:val="single" w:sz="4" w:space="0" w:color="231F20"/>
              <w:bottom w:val="single" w:sz="4" w:space="0" w:color="231F20"/>
              <w:end w:val="single" w:sz="4" w:space="0" w:color="231F20"/>
            </w:tcBorders>
          </w:tcPr>
          <w:p>
            <w:pPr>
              <w:pStyle w:val="normal1"/>
              <w:spacing w:lineRule="auto" w:line="252" w:before="40" w:after="40"/>
              <w:jc w:val="center"/>
              <w:rPr/>
            </w:pPr>
            <w:r>
              <w:rPr>
                <w:rFonts w:ascii="Calibri" w:hAnsi="Calibri"/>
                <w:b w:val="false"/>
                <w:color w:val="000000"/>
                <w:sz w:val="18"/>
              </w:rPr>
              <w:t>IF260624</w:t>
            </w:r>
          </w:p>
        </w:tc>
        <w:tc>
          <w:tcPr>
            <w:tcW w:w="3473" w:type="dxa"/>
            <w:tcBorders>
              <w:top w:val="single" w:sz="6" w:space="0" w:color="231F20"/>
              <w:start w:val="single" w:sz="4" w:space="0" w:color="231F20"/>
              <w:bottom w:val="single" w:sz="4" w:space="0" w:color="231F20"/>
              <w:end w:val="single" w:sz="4" w:space="0" w:color="231F20"/>
            </w:tcBorders>
          </w:tcPr>
          <w:p>
            <w:pPr>
              <w:pStyle w:val="normal1"/>
              <w:spacing w:lineRule="auto" w:line="252" w:before="40" w:after="40"/>
              <w:jc w:val="center"/>
              <w:rPr/>
            </w:pPr>
            <w:r>
              <w:rPr>
                <w:rFonts w:ascii="Calibri" w:hAnsi="Calibri"/>
                <w:b w:val="false"/>
                <w:color w:val="000000"/>
                <w:sz w:val="18"/>
              </w:rPr>
              <w:t>Sistem Informasi &amp; Manajemen TI</w:t>
            </w:r>
          </w:p>
        </w:tc>
        <w:tc>
          <w:tcPr>
            <w:tcW w:w="3673" w:type="dxa"/>
            <w:tcBorders>
              <w:top w:val="single" w:sz="4" w:space="0" w:color="231F20"/>
              <w:start w:val="single" w:sz="4" w:space="0" w:color="231F20"/>
              <w:bottom w:val="single" w:sz="4" w:space="0" w:color="231F20"/>
              <w:end w:val="single" w:sz="4" w:space="0" w:color="231F20"/>
            </w:tcBorders>
          </w:tcPr>
          <w:p>
            <w:pPr>
              <w:pStyle w:val="normal1"/>
              <w:spacing w:lineRule="auto" w:line="252" w:before="40" w:after="40"/>
              <w:jc w:val="center"/>
              <w:rPr/>
            </w:pPr>
            <w:r>
              <w:rPr>
                <w:rFonts w:ascii="Calibri" w:hAnsi="Calibri"/>
                <w:b w:val="false"/>
                <w:color w:val="000000"/>
                <w:sz w:val="18"/>
              </w:rPr>
              <w:t>3</w:t>
            </w:r>
          </w:p>
        </w:tc>
        <w:tc>
          <w:tcPr>
            <w:tcW w:w="3057" w:type="dxa"/>
            <w:tcBorders>
              <w:top w:val="single" w:sz="4" w:space="0" w:color="231F20"/>
              <w:start w:val="single" w:sz="4" w:space="0" w:color="231F20"/>
              <w:bottom w:val="single" w:sz="4" w:space="0" w:color="231F20"/>
              <w:end w:val="single" w:sz="4" w:space="0" w:color="231F20"/>
            </w:tcBorders>
          </w:tcPr>
          <w:p>
            <w:pPr>
              <w:pStyle w:val="normal1"/>
              <w:spacing w:lineRule="auto" w:line="252" w:before="40" w:after="40"/>
              <w:jc w:val="center"/>
              <w:rPr/>
            </w:pPr>
            <w:r>
              <w:rPr>
                <w:rFonts w:ascii="Calibri" w:hAnsi="Calibri"/>
                <w:b w:val="false"/>
                <w:color w:val="000000"/>
                <w:sz w:val="18"/>
              </w:rPr>
              <w:t>5</w:t>
            </w:r>
          </w:p>
        </w:tc>
        <w:tc>
          <w:tcPr>
            <w:tcW w:w="1261" w:type="dxa"/>
            <w:tcBorders>
              <w:top w:val="single" w:sz="4" w:space="0" w:color="231F20"/>
              <w:start w:val="single" w:sz="4" w:space="0" w:color="231F20"/>
              <w:bottom w:val="single" w:sz="4" w:space="0" w:color="231F20"/>
              <w:end w:val="single" w:sz="4" w:space="0" w:color="231F20"/>
            </w:tcBorders>
          </w:tcPr>
          <w:p>
            <w:pPr>
              <w:pStyle w:val="normal1"/>
              <w:spacing w:lineRule="auto" w:line="252" w:before="40" w:after="40"/>
              <w:jc w:val="center"/>
              <w:rPr/>
            </w:pPr>
            <w:r>
              <w:rPr>
                <w:rFonts w:ascii="Calibri" w:hAnsi="Calibri"/>
                <w:b w:val="false"/>
                <w:color w:val="000000"/>
                <w:sz w:val="18"/>
              </w:rPr>
              <w:t>24 September 2026</w:t>
            </w:r>
          </w:p>
        </w:tc>
      </w:tr>
      <w:tr>
        <w:trPr>
          <w:trHeight w:val="278" w:hRule="atLeast"/>
        </w:trPr>
        <w:tc>
          <w:tcPr>
            <w:tcW w:w="1796" w:type="dxa"/>
            <w:vMerge w:val="restart"/>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shd w:val="clear" w:fill="auto"/>
              <w:spacing w:lineRule="auto" w:line="25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OTORISASI / PENGESAHAN</w:t>
            </w:r>
          </w:p>
        </w:tc>
        <w:tc>
          <w:tcPr>
            <w:tcW w:w="4505"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34" w:after="0"/>
              <w:ind w:hanging="0" w:start="137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Pengembang RPS</w:t>
            </w:r>
          </w:p>
        </w:tc>
        <w:tc>
          <w:tcPr>
            <w:tcW w:w="367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34" w:after="0"/>
              <w:ind w:hanging="0" w:start="1228"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Koordinator RMK</w:t>
            </w:r>
          </w:p>
        </w:tc>
        <w:tc>
          <w:tcPr>
            <w:tcW w:w="4318" w:type="dxa"/>
            <w:gridSpan w:val="2"/>
            <w:tcBorders>
              <w:top w:val="single" w:sz="6"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uppressAutoHyphens w:val="true"/>
              <w:bidi w:val="0"/>
              <w:spacing w:lineRule="auto" w:line="240" w:before="34" w:after="0"/>
              <w:ind w:hanging="0" w:start="89" w:end="-8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Ka PRODI</w:t>
            </w:r>
          </w:p>
        </w:tc>
      </w:tr>
      <w:tr>
        <w:trPr>
          <w:trHeight w:val="1390" w:hRule="atLeast"/>
        </w:trPr>
        <w:tc>
          <w:tcPr>
            <w:tcW w:w="1796" w:type="dxa"/>
            <w:vMerge w:val="continue"/>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4505" w:type="dxa"/>
            <w:gridSpan w:val="2"/>
            <w:tcBorders>
              <w:top w:val="single" w:sz="4" w:space="0" w:color="231F20"/>
              <w:start w:val="single" w:sz="4" w:space="0" w:color="231F20"/>
              <w:bottom w:val="single" w:sz="4" w:space="0" w:color="231F20"/>
              <w:end w:val="single" w:sz="4" w:space="0" w:color="231F20"/>
            </w:tcBorders>
          </w:tcPr>
          <w:p>
            <w:pPr>
              <w:pStyle w:val="normal1"/>
              <w:spacing w:lineRule="auto" w:line="252" w:before="40" w:after="40"/>
              <w:jc w:val="center"/>
              <w:rPr/>
            </w:pPr>
            <w:r>
              <w:rPr>
                <w:rFonts w:ascii="Calibri" w:hAnsi="Calibri"/>
                <w:b w:val="false"/>
                <w:color w:val="000000"/>
                <w:sz w:val="18"/>
              </w:rPr>
              <w:br/>
              <w:br/>
              <w:t>TTD</w:t>
              <w:br/>
              <w:br/>
              <w:t>ANDY HARYOKO, ST., MT</w:t>
            </w:r>
          </w:p>
        </w:tc>
        <w:tc>
          <w:tcPr>
            <w:tcW w:w="3673" w:type="dxa"/>
            <w:tcBorders>
              <w:top w:val="single" w:sz="4" w:space="0" w:color="231F20"/>
              <w:start w:val="single" w:sz="4" w:space="0" w:color="231F20"/>
              <w:bottom w:val="single" w:sz="4" w:space="0" w:color="231F20"/>
              <w:end w:val="single" w:sz="4" w:space="0" w:color="231F20"/>
            </w:tcBorders>
          </w:tcPr>
          <w:p>
            <w:pPr>
              <w:pStyle w:val="normal1"/>
              <w:spacing w:lineRule="auto" w:line="252" w:before="40" w:after="40"/>
              <w:jc w:val="center"/>
              <w:rPr/>
            </w:pPr>
            <w:r>
              <w:rPr>
                <w:rFonts w:ascii="Calibri" w:hAnsi="Calibri"/>
                <w:b w:val="false"/>
                <w:color w:val="000000"/>
                <w:sz w:val="18"/>
              </w:rPr>
              <w:br/>
              <w:br/>
              <w:t>TTD</w:t>
              <w:br/>
              <w:br/>
              <w:t>ANDY HARYOKO, ST., MT</w:t>
            </w:r>
          </w:p>
        </w:tc>
        <w:tc>
          <w:tcPr>
            <w:tcW w:w="4318" w:type="dxa"/>
            <w:gridSpan w:val="2"/>
            <w:tcBorders>
              <w:top w:val="single" w:sz="4" w:space="0" w:color="231F20"/>
              <w:start w:val="single" w:sz="4" w:space="0" w:color="231F20"/>
              <w:bottom w:val="single" w:sz="4" w:space="0" w:color="231F20"/>
              <w:end w:val="single" w:sz="4" w:space="0" w:color="231F20"/>
            </w:tcBorders>
          </w:tcPr>
          <w:p>
            <w:pPr>
              <w:pStyle w:val="normal1"/>
              <w:spacing w:lineRule="auto" w:line="252" w:before="40" w:after="40"/>
              <w:jc w:val="center"/>
              <w:rPr/>
            </w:pPr>
            <w:r>
              <w:rPr>
                <w:rFonts w:ascii="Calibri" w:hAnsi="Calibri"/>
                <w:b w:val="false"/>
                <w:color w:val="000000"/>
                <w:sz w:val="18"/>
              </w:rPr>
              <w:br/>
              <w:br/>
              <w:t>TTD</w:t>
              <w:br/>
              <w:br/>
              <w:t>AMALUDIN ARIFIA, M.Kom.</w:t>
              <w:br/>
              <w:t>NIDN: 07xxxxxxxx</w:t>
            </w:r>
          </w:p>
        </w:tc>
      </w:tr>
      <w:tr>
        <w:trPr>
          <w:trHeight w:val="276" w:hRule="atLeast"/>
        </w:trPr>
        <w:tc>
          <w:tcPr>
            <w:tcW w:w="1796" w:type="dxa"/>
            <w:vMerge w:val="restart"/>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w:t>
            </w:r>
          </w:p>
        </w:tc>
        <w:tc>
          <w:tcPr>
            <w:tcW w:w="4505" w:type="dxa"/>
            <w:gridSpan w:val="2"/>
            <w:tcBorders>
              <w:top w:val="single" w:sz="4" w:space="0" w:color="231F20"/>
              <w:start w:val="dashed" w:sz="4" w:space="0" w:color="231F20"/>
              <w:bottom w:val="single" w:sz="4" w:space="0" w:color="231F20"/>
              <w:end w:val="single" w:sz="4" w:space="0" w:color="231F20"/>
            </w:tcBorders>
            <w:shd w:fill="E0E1E2" w:val="clear"/>
          </w:tcPr>
          <w:p>
            <w:pPr>
              <w:pStyle w:val="normal1"/>
              <w:keepNext w:val="false"/>
              <w:keepLines w:val="false"/>
              <w:widowControl w:val="false"/>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CPL-PRODI yang dibebankan pada 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6"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2" w:type="dxa"/>
            <w:tcBorders>
              <w:top w:val="single" w:sz="4" w:space="0" w:color="231F20"/>
              <w:start w:val="dashed" w:sz="4" w:space="0" w:color="231F20"/>
              <w:bottom w:val="single" w:sz="4" w:space="0" w:color="231F20"/>
              <w:end w:val="single" w:sz="4" w:space="0" w:color="231F20"/>
            </w:tcBorders>
          </w:tcPr>
          <w:p>
            <w:pPr>
              <w:pStyle w:val="normal1"/>
              <w:spacing w:lineRule="auto" w:line="252" w:before="40" w:after="40"/>
              <w:jc w:val="start"/>
              <w:rPr/>
            </w:pPr>
            <w:r>
              <w:rPr>
                <w:rFonts w:ascii="Calibri" w:hAnsi="Calibri"/>
                <w:b/>
                <w:color w:val="000000"/>
                <w:sz w:val="18"/>
              </w:rPr>
              <w:t>CPL03</w:t>
              <w:br/>
              <w:br/>
              <w:t>CPL04</w:t>
              <w:br/>
              <w:br/>
              <w:t>CPL10</w:t>
            </w:r>
          </w:p>
        </w:tc>
        <w:tc>
          <w:tcPr>
            <w:tcW w:w="11464" w:type="dxa"/>
            <w:gridSpan w:val="4"/>
            <w:tcBorders>
              <w:top w:val="single" w:sz="6" w:space="0" w:color="231F20"/>
              <w:start w:val="single" w:sz="4" w:space="0" w:color="231F20"/>
              <w:bottom w:val="single" w:sz="6" w:space="0" w:color="231F20"/>
              <w:end w:val="single" w:sz="4" w:space="0" w:color="231F20"/>
            </w:tcBorders>
          </w:tcPr>
          <w:p>
            <w:pPr>
              <w:pStyle w:val="normal1"/>
              <w:spacing w:lineRule="auto" w:line="252" w:before="40" w:after="40"/>
              <w:jc w:val="start"/>
              <w:rPr/>
            </w:pPr>
            <w:r>
              <w:rPr>
                <w:rFonts w:ascii="Calibri" w:hAnsi="Calibri"/>
                <w:b w:val="false"/>
                <w:color w:val="000000"/>
                <w:sz w:val="18"/>
              </w:rPr>
              <w:t>CPL03: Memiliki kemampuan memahami cara kerja sistem komputer serta menerapkan berbagai algoritma/metode untuk memecahkan masalah dalam suatu organisasi.</w:t>
              <w:br/>
              <w:br/>
              <w:t>CPL04: Memiliki kompetensi dalam menganalisis persoalan computing yang kompleks untuk mengidentifikasi solusi pengelolaan proyek teknologi di bidang informatika/ilmu komputer dengan mempertimbangkan perkembangan ilmu transdisiplin.</w:t>
              <w:br/>
              <w:br/>
              <w:t>CPL10: Memiliki kemampuan untuk mengimplementasikan, mengevaluasi dan mengembangkan solusi berbasis computing multi-platform yang sesuai dengan kebutuhan computing dalam suatu organisasi.</w:t>
            </w:r>
          </w:p>
        </w:tc>
      </w:tr>
      <w:tr>
        <w:trPr>
          <w:trHeight w:val="276" w:hRule="atLeast"/>
        </w:trPr>
        <w:tc>
          <w:tcPr>
            <w:tcW w:w="1796"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5"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 Mata Kuliah (CPMK)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6"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2" w:type="dxa"/>
            <w:tcBorders>
              <w:top w:val="single" w:sz="4" w:space="0" w:color="231F20"/>
              <w:start w:val="dashed" w:sz="4" w:space="0" w:color="231F20"/>
              <w:bottom w:val="single" w:sz="4" w:space="0" w:color="231F20"/>
              <w:end w:val="single" w:sz="4" w:space="0" w:color="231F20"/>
            </w:tcBorders>
          </w:tcPr>
          <w:p>
            <w:pPr>
              <w:pStyle w:val="normal1"/>
              <w:spacing w:lineRule="auto" w:line="252" w:before="40" w:after="40"/>
              <w:jc w:val="start"/>
              <w:rPr/>
            </w:pPr>
            <w:r>
              <w:rPr>
                <w:rFonts w:ascii="Calibri" w:hAnsi="Calibri"/>
                <w:b/>
                <w:color w:val="000000"/>
                <w:sz w:val="18"/>
              </w:rPr>
              <w:t>CPMK1 (100%)</w:t>
              <w:br/>
              <w:br/>
              <w:t>CPMK2 (100%)</w:t>
              <w:br/>
              <w:br/>
              <w:t>CPMK3 (100%)</w:t>
            </w:r>
          </w:p>
        </w:tc>
        <w:tc>
          <w:tcPr>
            <w:tcW w:w="11464" w:type="dxa"/>
            <w:gridSpan w:val="4"/>
            <w:tcBorders>
              <w:top w:val="single" w:sz="6" w:space="0" w:color="231F20"/>
              <w:start w:val="single" w:sz="4" w:space="0" w:color="231F20"/>
              <w:bottom w:val="single" w:sz="6" w:space="0" w:color="231F20"/>
              <w:end w:val="single" w:sz="4" w:space="0" w:color="231F20"/>
            </w:tcBorders>
          </w:tcPr>
          <w:p>
            <w:pPr>
              <w:pStyle w:val="normal1"/>
              <w:spacing w:lineRule="auto" w:line="252" w:before="40" w:after="40"/>
              <w:jc w:val="start"/>
              <w:rPr/>
            </w:pPr>
            <w:r>
              <w:rPr>
                <w:rFonts w:ascii="Calibri" w:hAnsi="Calibri"/>
                <w:b w:val="false"/>
                <w:color w:val="000000"/>
                <w:sz w:val="18"/>
              </w:rPr>
              <w:t>CPMK1 [induk CPL03]: Mampu menganalisis peranan fundamental sistem informasi, konsep keunggulan kompetitif (Porter's Five Forces &amp; Value Chain), serta tata kelola teknologi informasi dalam ekosistem bisnis digital [C4].</w:t>
              <w:br/>
              <w:br/>
              <w:t>CPMK2 [induk CPL04]: Mampu menganalisis dan memodelkan proses bisnis terintegrasi pada sistem enterprise (Enterprise Resource Planning, Supply Chain Management, Customer Relationship Management, dan E-Commerce) [C4].</w:t>
              <w:br/>
              <w:br/>
              <w:t>CPMK3 [induk CPL10]: Mampu merancang arsitektur solusi sistem informasi bisnis berbasis komputasi awan, Business Intelligence (BI), dan sistem pendukung keputusan (DSS) untuk pemecahan masalah bisnis nyata [C6].</w:t>
            </w:r>
          </w:p>
        </w:tc>
      </w:tr>
      <w:tr>
        <w:trPr>
          <w:trHeight w:val="276" w:hRule="atLeast"/>
        </w:trPr>
        <w:tc>
          <w:tcPr>
            <w:tcW w:w="1796"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5"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Kemampuan akhir tiap tahapan belajar MK (SubCPMK)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6"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2" w:type="dxa"/>
            <w:tcBorders>
              <w:top w:val="single" w:sz="4" w:space="0" w:color="231F20"/>
              <w:start w:val="dashed" w:sz="4" w:space="0" w:color="231F20"/>
              <w:bottom w:val="single" w:sz="4" w:space="0" w:color="231F20"/>
              <w:end w:val="single" w:sz="4" w:space="0" w:color="231F20"/>
            </w:tcBorders>
          </w:tcPr>
          <w:p>
            <w:pPr>
              <w:pStyle w:val="normal1"/>
              <w:spacing w:lineRule="auto" w:line="252" w:before="40" w:after="40"/>
              <w:jc w:val="start"/>
              <w:rPr/>
            </w:pPr>
            <w:r>
              <w:rPr>
                <w:rFonts w:ascii="Calibri" w:hAnsi="Calibri"/>
                <w:b/>
                <w:color w:val="000000"/>
                <w:sz w:val="18"/>
              </w:rPr>
              <w:t>Sub-CPMK 1</w:t>
              <w:br/>
              <w:br/>
              <w:t>Sub-CPMK 2</w:t>
              <w:br/>
              <w:br/>
              <w:t>Sub-CPMK 3</w:t>
              <w:br/>
              <w:br/>
              <w:t>Sub-CPMK 4</w:t>
              <w:br/>
              <w:br/>
              <w:t>Sub-CPMK 5</w:t>
              <w:br/>
              <w:br/>
              <w:t>Sub-CPMK 6</w:t>
              <w:br/>
              <w:br/>
              <w:t>Sub-CPMK 7</w:t>
              <w:br/>
              <w:br/>
              <w:t>Sub-CPMK 8 (UTS &amp; UAS)</w:t>
            </w:r>
          </w:p>
        </w:tc>
        <w:tc>
          <w:tcPr>
            <w:tcW w:w="11464" w:type="dxa"/>
            <w:gridSpan w:val="4"/>
            <w:tcBorders>
              <w:top w:val="single" w:sz="6" w:space="0" w:color="231F20"/>
              <w:start w:val="single" w:sz="4" w:space="0" w:color="231F20"/>
              <w:bottom w:val="single" w:sz="6" w:space="0" w:color="231F20"/>
              <w:end w:val="single" w:sz="4" w:space="0" w:color="231F20"/>
            </w:tcBorders>
          </w:tcPr>
          <w:p>
            <w:pPr>
              <w:pStyle w:val="normal1"/>
              <w:spacing w:lineRule="auto" w:line="252" w:before="40" w:after="40"/>
              <w:jc w:val="start"/>
              <w:rPr/>
            </w:pPr>
            <w:r>
              <w:rPr>
                <w:rFonts w:ascii="Calibri" w:hAnsi="Calibri"/>
                <w:b w:val="false"/>
                <w:color w:val="000000"/>
                <w:sz w:val="18"/>
              </w:rPr>
              <w:t>Sub-CPMK 1: Mahasiswa mampu menjelaskan konsep dasar sistem informasi bisnis, komponen pembentuknya, dimensi organisasi-manajemen-teknologi, dan transformasi digital firm [C2, A2].</w:t>
              <w:br/>
              <w:br/>
              <w:t>Sub-CPMK 2: Mahasiswa mampu menganalisis peranan strategis SI dalam mencapai keunggulan kompetitif menggunakan model Porter, Value Chain, dan menganalisis isu etika/privasi data era digital [C4, A3].</w:t>
              <w:br/>
              <w:br/>
              <w:t>Sub-CPMK 3: Mahasiswa mampu memodelkan proses bisnis lintas fungsi (cross-functional business processes) menggunakan standar Business Process Model and Notation (BPMN) [C4, P3].</w:t>
              <w:br/>
              <w:br/>
              <w:t>Sub-CPMK 4: Mahasiswa mampu membedah arsitektur sistem enterprise terpadu (ERP, SCM, dan CRM) serta menganalisis integrasi data rantai pasok dan relasi pelanggan [C4].</w:t>
              <w:br/>
              <w:br/>
              <w:t>Sub-CPMK 5: Mahasiswa mampu menganalisis model bisnis elektronik (E-Commerce B2B/B2C/C2C, m-commerce) dan mekanisme pembayaran digital (Payment Gateway/Fintech) [C4].</w:t>
              <w:br/>
              <w:br/>
              <w:t>Sub-CPMK 6: Mahasiswa mampu merancang arsitektur Business Intelligence, data warehouse, OLAP, dan visualisasi dashboard analitik bisnis untuk pengambilan keputusan manajerial [C6, P4].</w:t>
              <w:br/>
              <w:br/>
              <w:t>Sub-CPMK 7: Mahasiswa mampu mengevaluasi aspek keamanan informasi bisnis, audit sistem, kecerdasan artifisial terapan, serta mitigasi risiko implementasi teknologi informasi [C5, A3].</w:t>
              <w:br/>
              <w:br/>
              <w:t>Sub-CPMK 8 (UTS &amp; UAS): Mahasiswa mampu mendemonstrasikan evaluasi pemahaman teoretis melalui UTS tertulis (15%) dan unjuk kerja perancangan proyek solusi sistem informasi bisnis digital melalui UAS (15%) [C5, C6, P5, A4].</w:t>
            </w:r>
          </w:p>
        </w:tc>
      </w:tr>
    </w:tbl>
    <w:p>
      <w:pPr>
        <w:sectPr>
          <w:footerReference w:type="even" r:id="rId3"/>
          <w:footerReference w:type="default" r:id="rId4"/>
          <w:type w:val="nextPage"/>
          <w:pgSz w:orient="landscape" w:w="16838" w:h="11906"/>
          <w:pgMar w:left="1020" w:right="1280" w:gutter="0" w:header="0" w:top="1100" w:footer="0" w:bottom="280"/>
          <w:pgNumType w:start="1" w:fmt="decimal"/>
          <w:formProt w:val="false"/>
          <w:textDirection w:val="lrTb"/>
          <w:docGrid w:type="default" w:linePitch="100" w:charSpace="0"/>
        </w:sectPr>
      </w:pPr>
      <w:r>
        <w:br w:type="page"/>
      </w:r>
    </w:p>
    <w:p>
      <w:pPr>
        <w:pStyle w:val="normal1"/>
        <w:keepNext w:val="false"/>
        <w:keepLines w:val="false"/>
        <w:widowControl w:val="false"/>
        <w:shd w:val="clear" w:fill="auto"/>
        <w:spacing w:lineRule="auto" w:line="240" w:before="0"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w:r>
    </w:p>
    <w:p>
      <w:pPr>
        <w:pStyle w:val="normal1"/>
        <w:keepNext w:val="false"/>
        <w:keepLines w:val="false"/>
        <w:pageBreakBefore w:val="false"/>
        <w:widowControl w:val="false"/>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mc:AlternateContent>
          <mc:Choice Requires="wps">
            <w:drawing>
              <wp:anchor distT="0" distB="0" distL="0" distR="0" simplePos="0" relativeHeight="7" behindDoc="0" locked="0" layoutInCell="0" allowOverlap="1">
                <wp:simplePos x="0" y="0"/>
                <wp:positionH relativeFrom="page">
                  <wp:posOffset>281940</wp:posOffset>
                </wp:positionH>
                <wp:positionV relativeFrom="page">
                  <wp:posOffset>751840</wp:posOffset>
                </wp:positionV>
                <wp:extent cx="239395" cy="267970"/>
                <wp:effectExtent l="0" t="0" r="0" b="0"/>
                <wp:wrapNone/>
                <wp:docPr id="3" name="Shape 8"/>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user"/>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wps:txbx>
                      <wps:bodyPr lIns="0" tIns="0" rIns="0" bIns="0" anchor="t">
                        <a:noAutofit/>
                      </wps:bodyPr>
                    </wps:wsp>
                  </a:graphicData>
                </a:graphic>
              </wp:anchor>
            </w:drawing>
          </mc:Choice>
          <mc:Fallback>
            <w:pict>
              <v:rect id="shape_0" stroked="f" o:allowincell="f" style="position:absolute;margin-left:22.15pt;margin-top:59.2pt;width:18.8pt;height:21.05pt;mso-wrap-style:square;v-text-anchor:top;rotation:90;mso-position-horizontal-relative:page;mso-position-vertical-relative:page">
                <v:fill o:detectmouseclick="t" on="false"/>
                <v:stroke color="#3465a4" joinstyle="round" endcap="flat"/>
                <v:textbox>
                  <w:txbxContent>
                    <w:p>
                      <w:pPr>
                        <w:pStyle w:val="FrameContentsuser"/>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v:textbox>
                <w10:wrap type="none"/>
              </v:rect>
            </w:pict>
          </mc:Fallback>
        </mc:AlternateContent>
        <mc:AlternateContent>
          <mc:Choice Requires="wps">
            <w:drawing>
              <wp:anchor distT="0" distB="0" distL="0" distR="0" simplePos="0" relativeHeight="11" behindDoc="0" locked="0" layoutInCell="0" allowOverlap="1">
                <wp:simplePos x="0" y="0"/>
                <wp:positionH relativeFrom="page">
                  <wp:posOffset>370840</wp:posOffset>
                </wp:positionH>
                <wp:positionV relativeFrom="page">
                  <wp:posOffset>-2451100</wp:posOffset>
                </wp:positionV>
                <wp:extent cx="151765" cy="4641215"/>
                <wp:effectExtent l="0" t="0" r="0" b="0"/>
                <wp:wrapNone/>
                <wp:docPr id="4" name="Shape 2"/>
                <a:graphic xmlns:a="http://schemas.openxmlformats.org/drawingml/2006/main">
                  <a:graphicData uri="http://schemas.microsoft.com/office/word/2010/wordprocessingShape">
                    <wps:wsp>
                      <wps:cNvSpPr/>
                      <wps:spPr>
                        <a:xfrm rot="5400000">
                          <a:off x="0" y="0"/>
                          <a:ext cx="151920" cy="4641120"/>
                        </a:xfrm>
                        <a:prstGeom prst="rect">
                          <a:avLst/>
                        </a:prstGeom>
                        <a:noFill/>
                        <a:ln w="0">
                          <a:noFill/>
                        </a:ln>
                      </wps:spPr>
                      <wps:style>
                        <a:lnRef idx="0"/>
                        <a:fillRef idx="0"/>
                        <a:effectRef idx="0"/>
                        <a:fontRef idx="minor"/>
                      </wps:style>
                      <wps:txbx>
                        <w:txbxContent>
                          <w:p>
                            <w:pPr>
                              <w:pStyle w:val="FrameContentsuser"/>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wps:txbx>
                      <wps:bodyPr lIns="0" tIns="0" rIns="0" bIns="0" anchor="t">
                        <a:noAutofit/>
                      </wps:bodyPr>
                    </wps:wsp>
                  </a:graphicData>
                </a:graphic>
              </wp:anchor>
            </w:drawing>
          </mc:Choice>
          <mc:Fallback>
            <w:pict>
              <v:rect id="shape_0" stroked="f" o:allowincell="f" style="position:absolute;margin-left:29.2pt;margin-top:-193.05pt;width:11.9pt;height:365.4pt;mso-wrap-style:square;v-text-anchor:top;rotation:90;mso-position-horizontal-relative:page;mso-position-vertical-relative:page">
                <v:fill o:detectmouseclick="t" on="false"/>
                <v:stroke color="#3465a4" joinstyle="round" endcap="flat"/>
                <v:textbox>
                  <w:txbxContent>
                    <w:p>
                      <w:pPr>
                        <w:pStyle w:val="FrameContentsuser"/>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v:textbox>
                <w10:wrap type="none"/>
              </v:rect>
            </w:pict>
          </mc:Fallback>
        </mc:AlternateContent>
        <mc:AlternateContent>
          <mc:Choice Requires="wpg">
            <w:drawing>
              <wp:anchor distT="5715" distB="6985" distL="0" distR="6985" simplePos="0" relativeHeight="13" behindDoc="0" locked="0" layoutInCell="0" allowOverlap="1">
                <wp:simplePos x="0" y="0"/>
                <wp:positionH relativeFrom="page">
                  <wp:posOffset>185420</wp:posOffset>
                </wp:positionH>
                <wp:positionV relativeFrom="page">
                  <wp:posOffset>720090</wp:posOffset>
                </wp:positionV>
                <wp:extent cx="387985" cy="5940425"/>
                <wp:effectExtent l="0" t="5715" r="6985" b="6985"/>
                <wp:wrapNone/>
                <wp:docPr id="5" name="Shape1"/>
                <a:graphic xmlns:a="http://schemas.openxmlformats.org/drawingml/2006/main">
                  <a:graphicData uri="http://schemas.microsoft.com/office/word/2010/wordprocessingGroup">
                    <wpg:wgp>
                      <wpg:cNvGrpSpPr/>
                      <wpg:grpSpPr>
                        <a:xfrm>
                          <a:off x="0" y="0"/>
                          <a:ext cx="388080" cy="5940360"/>
                          <a:chOff x="0" y="0"/>
                          <a:chExt cx="388080" cy="5940360"/>
                        </a:xfrm>
                      </wpg:grpSpPr>
                      <wpg:grpSp>
                        <wpg:cNvGrpSpPr/>
                        <wpg:grpSpPr>
                          <a:xfrm>
                            <a:off x="0" y="0"/>
                            <a:ext cx="388080" cy="5940360"/>
                          </a:xfrm>
                        </wpg:grpSpPr>
                        <wps:wsp>
                          <wps:cNvPr id="6" name="Shape 4"/>
                          <wps:cNvSpPr/>
                          <wps:spPr>
                            <a:xfrm>
                              <a:off x="0" y="720"/>
                              <a:ext cx="385560" cy="593712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lIns="0" tIns="0" rIns="0" bIns="0" anchor="ctr">
                            <a:noAutofit/>
                          </wps:bodyPr>
                        </wps:wsp>
                        <pic:pic xmlns:pic="http://schemas.openxmlformats.org/drawingml/2006/picture">
                          <pic:nvPicPr>
                            <pic:cNvPr id="7" name="Shape 5"/>
                            <pic:cNvPicPr/>
                          </pic:nvPicPr>
                          <pic:blipFill>
                            <a:blip r:embed="rId5"/>
                            <a:stretch/>
                          </pic:blipFill>
                          <pic:spPr>
                            <a:xfrm>
                              <a:off x="0" y="0"/>
                              <a:ext cx="386640" cy="396720"/>
                            </a:xfrm>
                            <a:prstGeom prst="rect">
                              <a:avLst/>
                            </a:prstGeom>
                            <a:noFill/>
                            <a:ln w="0">
                              <a:noFill/>
                            </a:ln>
                          </pic:spPr>
                        </pic:pic>
                        <wps:wsp>
                          <wps:cNvPr id="8" name=""/>
                          <wps:cNvSpPr/>
                          <wps:spPr>
                            <a:xfrm>
                              <a:off x="387360" y="720"/>
                              <a:ext cx="720" cy="5939640"/>
                            </a:xfrm>
                            <a:prstGeom prst="straightConnector1">
                              <a:avLst/>
                            </a:prstGeom>
                            <a:noFill/>
                            <a:ln w="12700">
                              <a:solidFill>
                                <a:srgbClr val="6D6E71"/>
                              </a:solidFill>
                              <a:round/>
                            </a:ln>
                          </wps:spPr>
                          <wps:style>
                            <a:lnRef idx="0"/>
                            <a:fillRef idx="0"/>
                            <a:effectRef idx="0"/>
                            <a:fontRef idx="minor"/>
                          </wps:style>
                          <wps:bodyPr/>
                        </wps:wsp>
                      </wpg:grpSp>
                    </wpg:wgp>
                  </a:graphicData>
                </a:graphic>
              </wp:anchor>
            </w:drawing>
          </mc:Choice>
          <mc:Fallback>
            <w:pict>
              <v:group id="shape_0" alt="Shape1" style="position:absolute;margin-left:14.6pt;margin-top:56.7pt;width:30.55pt;height:467.75pt" coordorigin="292,1134" coordsize="611,9355">
                <v:group id="shape_0" style="position:absolute;left:292;top:1134;width:611;height:9355">
                  <v:rect id="shape_0" stroked="f" o:allowincell="f" style="position:absolute;left:292;top:1135;width:606;height:9349;mso-wrap-style:none;v-text-anchor:middle;mso-position-horizontal-relative:page;mso-position-vertical-relative:pag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92;top:1134;width:608;height:624;mso-wrap-style:none;v-text-anchor:middle;mso-position-horizontal-relative:page;mso-position-vertical-relative:page" type="_x0000_t75">
                    <v:imagedata r:id="rId6"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02;top:1135;width:0;height:9353;mso-wrap-style:none;v-text-anchor:middle;mso-position-horizontal-relative:page;mso-position-vertical-relative:page" type="_x0000_t32" path="m0,0l-2147483648,-2147483647e">
                    <v:fill o:detectmouseclick="t" on="false"/>
                    <v:stroke color="#6d6e71" weight="12600" joinstyle="round" endcap="flat"/>
                    <w10:wrap type="none"/>
                  </v:shape>
                </v:group>
              </v:group>
            </w:pict>
          </mc:Fallback>
        </mc:AlternateContent>
      </w:r>
    </w:p>
    <w:tbl>
      <w:tblPr>
        <w:tblStyle w:val="Table3"/>
        <w:tblW w:w="14294" w:type="dxa"/>
        <w:jc w:val="start"/>
        <w:tblInd w:w="128" w:type="dxa"/>
        <w:tblLayout w:type="fixed"/>
        <w:tblCellMar>
          <w:top w:w="0" w:type="dxa"/>
          <w:start w:w="108" w:type="dxa"/>
          <w:bottom w:w="0" w:type="dxa"/>
          <w:end w:w="108" w:type="dxa"/>
        </w:tblCellMar>
        <w:tblLook w:val="0000"/>
      </w:tblPr>
      <w:tblGrid>
        <w:gridCol w:w="1798"/>
        <w:gridCol w:w="1029"/>
        <w:gridCol w:w="3472"/>
        <w:gridCol w:w="7995"/>
      </w:tblGrid>
      <w:tr>
        <w:trPr>
          <w:trHeight w:val="281"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4501" w:type="dxa"/>
            <w:gridSpan w:val="2"/>
            <w:tcBorders>
              <w:top w:val="single" w:sz="4" w:space="0" w:color="231F20"/>
              <w:start w:val="single" w:sz="4" w:space="0" w:color="231F20"/>
              <w:bottom w:val="single" w:sz="4" w:space="0" w:color="231F20"/>
              <w:end w:val="single" w:sz="4" w:space="0" w:color="231F20"/>
            </w:tcBorders>
            <w:shd w:fill="D3D5D6" w:val="clear"/>
          </w:tcPr>
          <w:p>
            <w:pPr>
              <w:pStyle w:val="normal1"/>
              <w:keepNext w:val="false"/>
              <w:keepLines w:val="false"/>
              <w:widowControl w:val="false"/>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Korelasi CPL terhadap Sub-CPMK</w:t>
            </w:r>
          </w:p>
        </w:tc>
        <w:tc>
          <w:tcPr>
            <w:tcW w:w="7995"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94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bl>
            <w:tblPr>
              <w:tblStyle w:val="Table2"/>
              <w:tblW w:w="8756" w:type="dxa"/>
              <w:jc w:val="start"/>
              <w:tblInd w:w="10" w:type="dxa"/>
              <w:tblLayout w:type="fixed"/>
              <w:tblCellMar>
                <w:top w:w="0" w:type="dxa"/>
                <w:start w:w="108" w:type="dxa"/>
                <w:bottom w:w="0" w:type="dxa"/>
                <w:end w:w="108" w:type="dxa"/>
              </w:tblCellMar>
              <w:tblLook w:val="0000"/>
            </w:tblPr>
            <w:tblGrid>
              <w:gridCol w:w="1463"/>
              <w:gridCol w:w="993"/>
              <w:gridCol w:w="1210"/>
              <w:gridCol w:w="1040"/>
              <w:gridCol w:w="807"/>
              <w:gridCol w:w="1078"/>
              <w:gridCol w:w="2165"/>
            </w:tblGrid>
            <w:tr>
              <w:trPr>
                <w:trHeight w:val="271" w:hRule="atLeast"/>
              </w:trPr>
              <w:tc>
                <w:tcPr>
                  <w:tcW w:w="1463" w:type="dxa"/>
                  <w:tcBorders>
                    <w:top w:val="single" w:sz="8" w:space="0" w:color="231F20"/>
                    <w:start w:val="single" w:sz="8" w:space="0" w:color="231F20"/>
                    <w:bottom w:val="single" w:sz="8" w:space="0" w:color="231F20"/>
                    <w:end w:val="single" w:sz="8" w:space="0" w:color="231F20"/>
                  </w:tcBorders>
                </w:tcPr>
                <w:p>
                  <w:pPr>
                    <w:pStyle w:val="normal1"/>
                    <w:spacing w:lineRule="auto" w:line="252" w:before="40" w:after="40"/>
                    <w:jc w:val="center"/>
                    <w:rPr/>
                  </w:pPr>
                  <w:r>
                    <w:rPr>
                      <w:rFonts w:ascii="Calibri" w:hAnsi="Calibri"/>
                      <w:b/>
                      <w:color w:val="000000"/>
                      <w:sz w:val="17"/>
                    </w:rPr>
                    <w:t>Sub-CPMK</w:t>
                  </w:r>
                </w:p>
              </w:tc>
              <w:tc>
                <w:tcPr>
                  <w:tcW w:w="993" w:type="dxa"/>
                  <w:tcBorders>
                    <w:top w:val="single" w:sz="8" w:space="0" w:color="231F20"/>
                    <w:start w:val="single" w:sz="8" w:space="0" w:color="231F20"/>
                    <w:bottom w:val="single" w:sz="8" w:space="0" w:color="231F20"/>
                    <w:end w:val="single" w:sz="8" w:space="0" w:color="231F20"/>
                  </w:tcBorders>
                </w:tcPr>
                <w:p>
                  <w:pPr>
                    <w:pStyle w:val="normal1"/>
                    <w:spacing w:lineRule="auto" w:line="252" w:before="40" w:after="40"/>
                    <w:jc w:val="center"/>
                    <w:rPr/>
                  </w:pPr>
                  <w:r>
                    <w:rPr>
                      <w:rFonts w:ascii="Calibri" w:hAnsi="Calibri"/>
                      <w:b/>
                      <w:color w:val="000000"/>
                      <w:sz w:val="17"/>
                    </w:rPr>
                    <w:t>CPL03</w:t>
                  </w:r>
                </w:p>
              </w:tc>
              <w:tc>
                <w:tcPr>
                  <w:tcW w:w="1210" w:type="dxa"/>
                  <w:tcBorders>
                    <w:top w:val="single" w:sz="8" w:space="0" w:color="231F20"/>
                    <w:start w:val="single" w:sz="8" w:space="0" w:color="231F20"/>
                    <w:bottom w:val="single" w:sz="8" w:space="0" w:color="231F20"/>
                    <w:end w:val="single" w:sz="8" w:space="0" w:color="231F20"/>
                  </w:tcBorders>
                </w:tcPr>
                <w:p>
                  <w:pPr>
                    <w:pStyle w:val="normal1"/>
                    <w:spacing w:lineRule="auto" w:line="252" w:before="40" w:after="40"/>
                    <w:jc w:val="center"/>
                    <w:rPr/>
                  </w:pPr>
                  <w:r>
                    <w:rPr>
                      <w:rFonts w:ascii="Calibri" w:hAnsi="Calibri"/>
                      <w:b/>
                      <w:color w:val="000000"/>
                      <w:sz w:val="17"/>
                    </w:rPr>
                    <w:t>CPL04</w:t>
                  </w:r>
                </w:p>
              </w:tc>
              <w:tc>
                <w:tcPr>
                  <w:tcW w:w="1040" w:type="dxa"/>
                  <w:tcBorders>
                    <w:top w:val="single" w:sz="8" w:space="0" w:color="231F20"/>
                    <w:start w:val="single" w:sz="8" w:space="0" w:color="231F20"/>
                    <w:bottom w:val="single" w:sz="8" w:space="0" w:color="231F20"/>
                    <w:end w:val="single" w:sz="8" w:space="0" w:color="231F20"/>
                  </w:tcBorders>
                </w:tcPr>
                <w:p>
                  <w:pPr>
                    <w:pStyle w:val="normal1"/>
                    <w:spacing w:lineRule="auto" w:line="252" w:before="40" w:after="40"/>
                    <w:jc w:val="center"/>
                    <w:rPr/>
                  </w:pPr>
                  <w:r>
                    <w:rPr>
                      <w:rFonts w:ascii="Calibri" w:hAnsi="Calibri"/>
                      <w:b/>
                      <w:color w:val="000000"/>
                      <w:sz w:val="17"/>
                    </w:rPr>
                    <w:t>CPL10</w:t>
                  </w:r>
                </w:p>
              </w:tc>
              <w:tc>
                <w:tcPr>
                  <w:tcW w:w="807" w:type="dxa"/>
                  <w:tcBorders>
                    <w:top w:val="single" w:sz="8" w:space="0" w:color="231F20"/>
                    <w:start w:val="single" w:sz="8" w:space="0" w:color="231F20"/>
                    <w:bottom w:val="single" w:sz="8" w:space="0" w:color="231F20"/>
                    <w:end w:val="single" w:sz="8" w:space="0" w:color="231F20"/>
                  </w:tcBorders>
                </w:tcPr>
                <w:p>
                  <w:pPr>
                    <w:pStyle w:val="normal1"/>
                    <w:spacing w:lineRule="auto" w:line="252" w:before="40" w:after="40"/>
                    <w:jc w:val="center"/>
                    <w:rPr/>
                  </w:pPr>
                  <w:r>
                    <w:rPr>
                      <w:rFonts w:ascii="Calibri" w:hAnsi="Calibri"/>
                      <w:b/>
                      <w:color w:val="000000"/>
                      <w:sz w:val="17"/>
                    </w:rPr>
                    <w:t>-</w:t>
                  </w:r>
                </w:p>
              </w:tc>
              <w:tc>
                <w:tcPr>
                  <w:tcW w:w="1078" w:type="dxa"/>
                  <w:tcBorders>
                    <w:top w:val="single" w:sz="8" w:space="0" w:color="231F20"/>
                    <w:start w:val="single" w:sz="8" w:space="0" w:color="231F20"/>
                    <w:bottom w:val="single" w:sz="8" w:space="0" w:color="231F20"/>
                    <w:end w:val="single" w:sz="8" w:space="0" w:color="231F20"/>
                  </w:tcBorders>
                </w:tcPr>
                <w:p>
                  <w:pPr>
                    <w:pStyle w:val="normal1"/>
                    <w:spacing w:lineRule="auto" w:line="252" w:before="40" w:after="40"/>
                    <w:jc w:val="center"/>
                    <w:rPr/>
                  </w:pPr>
                  <w:r>
                    <w:rPr>
                      <w:rFonts w:ascii="Calibri" w:hAnsi="Calibri"/>
                      <w:b/>
                      <w:color w:val="000000"/>
                      <w:sz w:val="17"/>
                    </w:rPr>
                    <w:t>Bobot (%)</w:t>
                  </w:r>
                </w:p>
              </w:tc>
              <w:tc>
                <w:tcPr>
                  <w:tcW w:w="2165" w:type="dxa"/>
                  <w:tcBorders>
                    <w:top w:val="single" w:sz="8" w:space="0" w:color="231F20"/>
                    <w:start w:val="single" w:sz="8" w:space="0" w:color="231F20"/>
                    <w:bottom w:val="single" w:sz="8" w:space="0" w:color="231F20"/>
                    <w:end w:val="single" w:sz="8" w:space="0" w:color="231F20"/>
                  </w:tcBorders>
                </w:tcPr>
                <w:p>
                  <w:pPr>
                    <w:pStyle w:val="normal1"/>
                    <w:spacing w:lineRule="auto" w:line="252" w:before="40" w:after="40"/>
                    <w:jc w:val="center"/>
                    <w:rPr/>
                  </w:pPr>
                  <w:r>
                    <w:rPr>
                      <w:rFonts w:ascii="Calibri" w:hAnsi="Calibri"/>
                      <w:b/>
                      <w:color w:val="000000"/>
                      <w:sz w:val="17"/>
                    </w:rPr>
                    <w:t>Jumlah Minggu</w:t>
                  </w:r>
                </w:p>
              </w:tc>
            </w:tr>
            <w:tr>
              <w:trPr/>
              <w:tc>
                <w:tcPr>
                  <w:tcW w:w="1463" w:type="dxa"/>
                  <w:tcBorders/>
                </w:tcPr>
                <w:p>
                  <w:pPr>
                    <w:pStyle w:val="normal1"/>
                    <w:spacing w:lineRule="auto" w:line="252" w:before="40" w:after="40"/>
                    <w:jc w:val="start"/>
                    <w:rPr/>
                  </w:pPr>
                  <w:r>
                    <w:rPr>
                      <w:rFonts w:ascii="Calibri" w:hAnsi="Calibri"/>
                      <w:b/>
                      <w:color w:val="000000"/>
                      <w:sz w:val="17"/>
                    </w:rPr>
                    <w:t>Sub-CPMK 1</w:t>
                  </w:r>
                </w:p>
              </w:tc>
              <w:tc>
                <w:tcPr>
                  <w:tcW w:w="993" w:type="dxa"/>
                  <w:tcBorders/>
                </w:tcPr>
                <w:p>
                  <w:pPr>
                    <w:pStyle w:val="normal1"/>
                    <w:spacing w:lineRule="auto" w:line="252" w:before="40" w:after="40"/>
                    <w:jc w:val="center"/>
                    <w:rPr/>
                  </w:pPr>
                  <w:r>
                    <w:rPr>
                      <w:rFonts w:ascii="Calibri" w:hAnsi="Calibri"/>
                      <w:b w:val="false"/>
                      <w:color w:val="000000"/>
                      <w:sz w:val="17"/>
                    </w:rPr>
                    <w:t>V</w:t>
                  </w:r>
                </w:p>
              </w:tc>
              <w:tc>
                <w:tcPr>
                  <w:tcW w:w="1210" w:type="dxa"/>
                  <w:tcBorders/>
                </w:tcPr>
                <w:p>
                  <w:pPr>
                    <w:pStyle w:val="normal1"/>
                    <w:spacing w:lineRule="auto" w:line="252" w:before="40" w:after="40"/>
                    <w:jc w:val="center"/>
                    <w:rPr/>
                  </w:pPr>
                  <w:r>
                    <w:rPr/>
                  </w:r>
                </w:p>
              </w:tc>
              <w:tc>
                <w:tcPr>
                  <w:tcW w:w="1040" w:type="dxa"/>
                  <w:tcBorders/>
                </w:tcPr>
                <w:p>
                  <w:pPr>
                    <w:pStyle w:val="normal1"/>
                    <w:spacing w:lineRule="auto" w:line="252" w:before="40" w:after="40"/>
                    <w:jc w:val="center"/>
                    <w:rPr/>
                  </w:pPr>
                  <w:r>
                    <w:rPr/>
                  </w:r>
                </w:p>
              </w:tc>
              <w:tc>
                <w:tcPr>
                  <w:tcW w:w="807" w:type="dxa"/>
                  <w:tcBorders/>
                </w:tcPr>
                <w:p>
                  <w:pPr>
                    <w:pStyle w:val="normal1"/>
                    <w:spacing w:lineRule="auto" w:line="252" w:before="40" w:after="40"/>
                    <w:jc w:val="center"/>
                    <w:rPr/>
                  </w:pPr>
                  <w:r>
                    <w:rPr/>
                  </w:r>
                </w:p>
              </w:tc>
              <w:tc>
                <w:tcPr>
                  <w:tcW w:w="1078" w:type="dxa"/>
                  <w:tcBorders/>
                </w:tcPr>
                <w:p>
                  <w:pPr>
                    <w:pStyle w:val="normal1"/>
                    <w:spacing w:lineRule="auto" w:line="252" w:before="40" w:after="40"/>
                    <w:jc w:val="center"/>
                    <w:rPr/>
                  </w:pPr>
                  <w:r>
                    <w:rPr>
                      <w:rFonts w:ascii="Calibri" w:hAnsi="Calibri"/>
                      <w:b w:val="false"/>
                      <w:color w:val="000000"/>
                      <w:sz w:val="17"/>
                    </w:rPr>
                    <w:t>5%</w:t>
                  </w:r>
                </w:p>
              </w:tc>
              <w:tc>
                <w:tcPr>
                  <w:tcW w:w="2165" w:type="dxa"/>
                  <w:tcBorders/>
                </w:tcPr>
                <w:p>
                  <w:pPr>
                    <w:pStyle w:val="normal1"/>
                    <w:spacing w:lineRule="auto" w:line="252" w:before="40" w:after="40"/>
                    <w:jc w:val="center"/>
                    <w:rPr/>
                  </w:pPr>
                  <w:r>
                    <w:rPr>
                      <w:rFonts w:ascii="Calibri" w:hAnsi="Calibri"/>
                      <w:b w:val="false"/>
                      <w:color w:val="000000"/>
                      <w:sz w:val="17"/>
                    </w:rPr>
                    <w:t>2</w:t>
                  </w:r>
                </w:p>
              </w:tc>
            </w:tr>
            <w:tr>
              <w:trPr/>
              <w:tc>
                <w:tcPr>
                  <w:tcW w:w="1463" w:type="dxa"/>
                  <w:tcBorders/>
                </w:tcPr>
                <w:p>
                  <w:pPr>
                    <w:pStyle w:val="normal1"/>
                    <w:spacing w:lineRule="auto" w:line="252" w:before="40" w:after="40"/>
                    <w:jc w:val="start"/>
                    <w:rPr/>
                  </w:pPr>
                  <w:r>
                    <w:rPr>
                      <w:rFonts w:ascii="Calibri" w:hAnsi="Calibri"/>
                      <w:b/>
                      <w:color w:val="000000"/>
                      <w:sz w:val="17"/>
                    </w:rPr>
                    <w:t>Sub-CPMK 2</w:t>
                  </w:r>
                </w:p>
              </w:tc>
              <w:tc>
                <w:tcPr>
                  <w:tcW w:w="993" w:type="dxa"/>
                  <w:tcBorders/>
                </w:tcPr>
                <w:p>
                  <w:pPr>
                    <w:pStyle w:val="normal1"/>
                    <w:spacing w:lineRule="auto" w:line="252" w:before="40" w:after="40"/>
                    <w:jc w:val="center"/>
                    <w:rPr/>
                  </w:pPr>
                  <w:r>
                    <w:rPr>
                      <w:rFonts w:ascii="Calibri" w:hAnsi="Calibri"/>
                      <w:b w:val="false"/>
                      <w:color w:val="000000"/>
                      <w:sz w:val="17"/>
                    </w:rPr>
                    <w:t>V</w:t>
                  </w:r>
                </w:p>
              </w:tc>
              <w:tc>
                <w:tcPr>
                  <w:tcW w:w="1210" w:type="dxa"/>
                  <w:tcBorders/>
                </w:tcPr>
                <w:p>
                  <w:pPr>
                    <w:pStyle w:val="normal1"/>
                    <w:spacing w:lineRule="auto" w:line="252" w:before="40" w:after="40"/>
                    <w:jc w:val="center"/>
                    <w:rPr/>
                  </w:pPr>
                  <w:r>
                    <w:rPr/>
                  </w:r>
                </w:p>
              </w:tc>
              <w:tc>
                <w:tcPr>
                  <w:tcW w:w="1040" w:type="dxa"/>
                  <w:tcBorders/>
                </w:tcPr>
                <w:p>
                  <w:pPr>
                    <w:pStyle w:val="normal1"/>
                    <w:spacing w:lineRule="auto" w:line="252" w:before="40" w:after="40"/>
                    <w:jc w:val="center"/>
                    <w:rPr/>
                  </w:pPr>
                  <w:r>
                    <w:rPr/>
                  </w:r>
                </w:p>
              </w:tc>
              <w:tc>
                <w:tcPr>
                  <w:tcW w:w="807" w:type="dxa"/>
                  <w:tcBorders/>
                </w:tcPr>
                <w:p>
                  <w:pPr>
                    <w:pStyle w:val="normal1"/>
                    <w:spacing w:lineRule="auto" w:line="252" w:before="40" w:after="40"/>
                    <w:jc w:val="center"/>
                    <w:rPr/>
                  </w:pPr>
                  <w:r>
                    <w:rPr/>
                  </w:r>
                </w:p>
              </w:tc>
              <w:tc>
                <w:tcPr>
                  <w:tcW w:w="1078" w:type="dxa"/>
                  <w:tcBorders/>
                </w:tcPr>
                <w:p>
                  <w:pPr>
                    <w:pStyle w:val="normal1"/>
                    <w:spacing w:lineRule="auto" w:line="252" w:before="40" w:after="40"/>
                    <w:jc w:val="center"/>
                    <w:rPr/>
                  </w:pPr>
                  <w:r>
                    <w:rPr>
                      <w:rFonts w:ascii="Calibri" w:hAnsi="Calibri"/>
                      <w:b w:val="false"/>
                      <w:color w:val="000000"/>
                      <w:sz w:val="17"/>
                    </w:rPr>
                    <w:t>10%</w:t>
                  </w:r>
                </w:p>
              </w:tc>
              <w:tc>
                <w:tcPr>
                  <w:tcW w:w="2165" w:type="dxa"/>
                  <w:tcBorders/>
                </w:tcPr>
                <w:p>
                  <w:pPr>
                    <w:pStyle w:val="normal1"/>
                    <w:spacing w:lineRule="auto" w:line="252" w:before="40" w:after="40"/>
                    <w:jc w:val="center"/>
                    <w:rPr/>
                  </w:pPr>
                  <w:r>
                    <w:rPr>
                      <w:rFonts w:ascii="Calibri" w:hAnsi="Calibri"/>
                      <w:b w:val="false"/>
                      <w:color w:val="000000"/>
                      <w:sz w:val="17"/>
                    </w:rPr>
                    <w:t>2</w:t>
                  </w:r>
                </w:p>
              </w:tc>
            </w:tr>
            <w:tr>
              <w:trPr/>
              <w:tc>
                <w:tcPr>
                  <w:tcW w:w="1463" w:type="dxa"/>
                  <w:tcBorders/>
                </w:tcPr>
                <w:p>
                  <w:pPr>
                    <w:pStyle w:val="normal1"/>
                    <w:spacing w:lineRule="auto" w:line="252" w:before="40" w:after="40"/>
                    <w:jc w:val="start"/>
                    <w:rPr/>
                  </w:pPr>
                  <w:r>
                    <w:rPr>
                      <w:rFonts w:ascii="Calibri" w:hAnsi="Calibri"/>
                      <w:b/>
                      <w:color w:val="000000"/>
                      <w:sz w:val="17"/>
                    </w:rPr>
                    <w:t>Sub-CPMK 3</w:t>
                  </w:r>
                </w:p>
              </w:tc>
              <w:tc>
                <w:tcPr>
                  <w:tcW w:w="993" w:type="dxa"/>
                  <w:tcBorders/>
                </w:tcPr>
                <w:p>
                  <w:pPr>
                    <w:pStyle w:val="normal1"/>
                    <w:spacing w:lineRule="auto" w:line="252" w:before="40" w:after="40"/>
                    <w:jc w:val="center"/>
                    <w:rPr/>
                  </w:pPr>
                  <w:r>
                    <w:rPr/>
                  </w:r>
                </w:p>
              </w:tc>
              <w:tc>
                <w:tcPr>
                  <w:tcW w:w="1210" w:type="dxa"/>
                  <w:tcBorders/>
                </w:tcPr>
                <w:p>
                  <w:pPr>
                    <w:pStyle w:val="normal1"/>
                    <w:spacing w:lineRule="auto" w:line="252" w:before="40" w:after="40"/>
                    <w:jc w:val="center"/>
                    <w:rPr/>
                  </w:pPr>
                  <w:r>
                    <w:rPr>
                      <w:rFonts w:ascii="Calibri" w:hAnsi="Calibri"/>
                      <w:b w:val="false"/>
                      <w:color w:val="000000"/>
                      <w:sz w:val="17"/>
                    </w:rPr>
                    <w:t>V</w:t>
                  </w:r>
                </w:p>
              </w:tc>
              <w:tc>
                <w:tcPr>
                  <w:tcW w:w="1040" w:type="dxa"/>
                  <w:tcBorders/>
                </w:tcPr>
                <w:p>
                  <w:pPr>
                    <w:pStyle w:val="normal1"/>
                    <w:spacing w:lineRule="auto" w:line="252" w:before="40" w:after="40"/>
                    <w:jc w:val="center"/>
                    <w:rPr/>
                  </w:pPr>
                  <w:r>
                    <w:rPr/>
                  </w:r>
                </w:p>
              </w:tc>
              <w:tc>
                <w:tcPr>
                  <w:tcW w:w="807" w:type="dxa"/>
                  <w:tcBorders/>
                </w:tcPr>
                <w:p>
                  <w:pPr>
                    <w:pStyle w:val="normal1"/>
                    <w:spacing w:lineRule="auto" w:line="252" w:before="40" w:after="40"/>
                    <w:jc w:val="center"/>
                    <w:rPr/>
                  </w:pPr>
                  <w:r>
                    <w:rPr/>
                  </w:r>
                </w:p>
              </w:tc>
              <w:tc>
                <w:tcPr>
                  <w:tcW w:w="1078" w:type="dxa"/>
                  <w:tcBorders/>
                </w:tcPr>
                <w:p>
                  <w:pPr>
                    <w:pStyle w:val="normal1"/>
                    <w:spacing w:lineRule="auto" w:line="252" w:before="40" w:after="40"/>
                    <w:jc w:val="center"/>
                    <w:rPr/>
                  </w:pPr>
                  <w:r>
                    <w:rPr>
                      <w:rFonts w:ascii="Calibri" w:hAnsi="Calibri"/>
                      <w:b w:val="false"/>
                      <w:color w:val="000000"/>
                      <w:sz w:val="17"/>
                    </w:rPr>
                    <w:t>10%</w:t>
                  </w:r>
                </w:p>
              </w:tc>
              <w:tc>
                <w:tcPr>
                  <w:tcW w:w="2165" w:type="dxa"/>
                  <w:tcBorders/>
                </w:tcPr>
                <w:p>
                  <w:pPr>
                    <w:pStyle w:val="normal1"/>
                    <w:spacing w:lineRule="auto" w:line="252" w:before="40" w:after="40"/>
                    <w:jc w:val="center"/>
                    <w:rPr/>
                  </w:pPr>
                  <w:r>
                    <w:rPr>
                      <w:rFonts w:ascii="Calibri" w:hAnsi="Calibri"/>
                      <w:b w:val="false"/>
                      <w:color w:val="000000"/>
                      <w:sz w:val="17"/>
                    </w:rPr>
                    <w:t>2</w:t>
                  </w:r>
                </w:p>
              </w:tc>
            </w:tr>
            <w:tr>
              <w:trPr/>
              <w:tc>
                <w:tcPr>
                  <w:tcW w:w="1463" w:type="dxa"/>
                  <w:tcBorders/>
                </w:tcPr>
                <w:p>
                  <w:pPr>
                    <w:pStyle w:val="normal1"/>
                    <w:spacing w:lineRule="auto" w:line="252" w:before="40" w:after="40"/>
                    <w:jc w:val="start"/>
                    <w:rPr/>
                  </w:pPr>
                  <w:r>
                    <w:rPr>
                      <w:rFonts w:ascii="Calibri" w:hAnsi="Calibri"/>
                      <w:b/>
                      <w:color w:val="000000"/>
                      <w:sz w:val="17"/>
                    </w:rPr>
                    <w:t>Sub-CPMK 4</w:t>
                  </w:r>
                </w:p>
              </w:tc>
              <w:tc>
                <w:tcPr>
                  <w:tcW w:w="993" w:type="dxa"/>
                  <w:tcBorders/>
                </w:tcPr>
                <w:p>
                  <w:pPr>
                    <w:pStyle w:val="normal1"/>
                    <w:spacing w:lineRule="auto" w:line="252" w:before="40" w:after="40"/>
                    <w:jc w:val="center"/>
                    <w:rPr/>
                  </w:pPr>
                  <w:r>
                    <w:rPr/>
                  </w:r>
                </w:p>
              </w:tc>
              <w:tc>
                <w:tcPr>
                  <w:tcW w:w="1210" w:type="dxa"/>
                  <w:tcBorders/>
                </w:tcPr>
                <w:p>
                  <w:pPr>
                    <w:pStyle w:val="normal1"/>
                    <w:spacing w:lineRule="auto" w:line="252" w:before="40" w:after="40"/>
                    <w:jc w:val="center"/>
                    <w:rPr/>
                  </w:pPr>
                  <w:r>
                    <w:rPr>
                      <w:rFonts w:ascii="Calibri" w:hAnsi="Calibri"/>
                      <w:b w:val="false"/>
                      <w:color w:val="000000"/>
                      <w:sz w:val="17"/>
                    </w:rPr>
                    <w:t>V</w:t>
                  </w:r>
                </w:p>
              </w:tc>
              <w:tc>
                <w:tcPr>
                  <w:tcW w:w="1040" w:type="dxa"/>
                  <w:tcBorders/>
                </w:tcPr>
                <w:p>
                  <w:pPr>
                    <w:pStyle w:val="normal1"/>
                    <w:spacing w:lineRule="auto" w:line="252" w:before="40" w:after="40"/>
                    <w:jc w:val="center"/>
                    <w:rPr/>
                  </w:pPr>
                  <w:r>
                    <w:rPr/>
                  </w:r>
                </w:p>
              </w:tc>
              <w:tc>
                <w:tcPr>
                  <w:tcW w:w="807" w:type="dxa"/>
                  <w:tcBorders/>
                </w:tcPr>
                <w:p>
                  <w:pPr>
                    <w:pStyle w:val="normal1"/>
                    <w:spacing w:lineRule="auto" w:line="252" w:before="40" w:after="40"/>
                    <w:jc w:val="center"/>
                    <w:rPr/>
                  </w:pPr>
                  <w:r>
                    <w:rPr/>
                  </w:r>
                </w:p>
              </w:tc>
              <w:tc>
                <w:tcPr>
                  <w:tcW w:w="1078" w:type="dxa"/>
                  <w:tcBorders/>
                </w:tcPr>
                <w:p>
                  <w:pPr>
                    <w:pStyle w:val="normal1"/>
                    <w:spacing w:lineRule="auto" w:line="252" w:before="40" w:after="40"/>
                    <w:jc w:val="center"/>
                    <w:rPr/>
                  </w:pPr>
                  <w:r>
                    <w:rPr>
                      <w:rFonts w:ascii="Calibri" w:hAnsi="Calibri"/>
                      <w:b w:val="false"/>
                      <w:color w:val="000000"/>
                      <w:sz w:val="17"/>
                    </w:rPr>
                    <w:t>10%</w:t>
                  </w:r>
                </w:p>
              </w:tc>
              <w:tc>
                <w:tcPr>
                  <w:tcW w:w="2165" w:type="dxa"/>
                  <w:tcBorders/>
                </w:tcPr>
                <w:p>
                  <w:pPr>
                    <w:pStyle w:val="normal1"/>
                    <w:spacing w:lineRule="auto" w:line="252" w:before="40" w:after="40"/>
                    <w:jc w:val="center"/>
                    <w:rPr/>
                  </w:pPr>
                  <w:r>
                    <w:rPr>
                      <w:rFonts w:ascii="Calibri" w:hAnsi="Calibri"/>
                      <w:b w:val="false"/>
                      <w:color w:val="000000"/>
                      <w:sz w:val="17"/>
                    </w:rPr>
                    <w:t>1</w:t>
                  </w:r>
                </w:p>
              </w:tc>
            </w:tr>
            <w:tr>
              <w:trPr/>
              <w:tc>
                <w:tcPr>
                  <w:tcW w:w="1463" w:type="dxa"/>
                  <w:tcBorders/>
                </w:tcPr>
                <w:p>
                  <w:pPr>
                    <w:pStyle w:val="normal1"/>
                    <w:spacing w:lineRule="auto" w:line="252" w:before="40" w:after="40"/>
                    <w:jc w:val="start"/>
                    <w:rPr/>
                  </w:pPr>
                  <w:r>
                    <w:rPr>
                      <w:rFonts w:ascii="Calibri" w:hAnsi="Calibri"/>
                      <w:b/>
                      <w:color w:val="000000"/>
                      <w:sz w:val="17"/>
                    </w:rPr>
                    <w:t>Sub-CPMK 5</w:t>
                  </w:r>
                </w:p>
              </w:tc>
              <w:tc>
                <w:tcPr>
                  <w:tcW w:w="993" w:type="dxa"/>
                  <w:tcBorders/>
                </w:tcPr>
                <w:p>
                  <w:pPr>
                    <w:pStyle w:val="normal1"/>
                    <w:spacing w:lineRule="auto" w:line="252" w:before="40" w:after="40"/>
                    <w:jc w:val="center"/>
                    <w:rPr/>
                  </w:pPr>
                  <w:r>
                    <w:rPr/>
                  </w:r>
                </w:p>
              </w:tc>
              <w:tc>
                <w:tcPr>
                  <w:tcW w:w="1210" w:type="dxa"/>
                  <w:tcBorders/>
                </w:tcPr>
                <w:p>
                  <w:pPr>
                    <w:pStyle w:val="normal1"/>
                    <w:spacing w:lineRule="auto" w:line="252" w:before="40" w:after="40"/>
                    <w:jc w:val="center"/>
                    <w:rPr/>
                  </w:pPr>
                  <w:r>
                    <w:rPr>
                      <w:rFonts w:ascii="Calibri" w:hAnsi="Calibri"/>
                      <w:b w:val="false"/>
                      <w:color w:val="000000"/>
                      <w:sz w:val="17"/>
                    </w:rPr>
                    <w:t>V</w:t>
                  </w:r>
                </w:p>
              </w:tc>
              <w:tc>
                <w:tcPr>
                  <w:tcW w:w="1040" w:type="dxa"/>
                  <w:tcBorders/>
                </w:tcPr>
                <w:p>
                  <w:pPr>
                    <w:pStyle w:val="normal1"/>
                    <w:spacing w:lineRule="auto" w:line="252" w:before="40" w:after="40"/>
                    <w:jc w:val="center"/>
                    <w:rPr/>
                  </w:pPr>
                  <w:r>
                    <w:rPr/>
                  </w:r>
                </w:p>
              </w:tc>
              <w:tc>
                <w:tcPr>
                  <w:tcW w:w="807" w:type="dxa"/>
                  <w:tcBorders/>
                </w:tcPr>
                <w:p>
                  <w:pPr>
                    <w:pStyle w:val="normal1"/>
                    <w:spacing w:lineRule="auto" w:line="252" w:before="40" w:after="40"/>
                    <w:jc w:val="center"/>
                    <w:rPr/>
                  </w:pPr>
                  <w:r>
                    <w:rPr/>
                  </w:r>
                </w:p>
              </w:tc>
              <w:tc>
                <w:tcPr>
                  <w:tcW w:w="1078" w:type="dxa"/>
                  <w:tcBorders/>
                </w:tcPr>
                <w:p>
                  <w:pPr>
                    <w:pStyle w:val="normal1"/>
                    <w:spacing w:lineRule="auto" w:line="252" w:before="40" w:after="40"/>
                    <w:jc w:val="center"/>
                    <w:rPr/>
                  </w:pPr>
                  <w:r>
                    <w:rPr>
                      <w:rFonts w:ascii="Calibri" w:hAnsi="Calibri"/>
                      <w:b w:val="false"/>
                      <w:color w:val="000000"/>
                      <w:sz w:val="17"/>
                    </w:rPr>
                    <w:t>10%</w:t>
                  </w:r>
                </w:p>
              </w:tc>
              <w:tc>
                <w:tcPr>
                  <w:tcW w:w="2165" w:type="dxa"/>
                  <w:tcBorders/>
                </w:tcPr>
                <w:p>
                  <w:pPr>
                    <w:pStyle w:val="normal1"/>
                    <w:spacing w:lineRule="auto" w:line="252" w:before="40" w:after="40"/>
                    <w:jc w:val="center"/>
                    <w:rPr/>
                  </w:pPr>
                  <w:r>
                    <w:rPr>
                      <w:rFonts w:ascii="Calibri" w:hAnsi="Calibri"/>
                      <w:b w:val="false"/>
                      <w:color w:val="000000"/>
                      <w:sz w:val="17"/>
                    </w:rPr>
                    <w:t>2</w:t>
                  </w:r>
                </w:p>
              </w:tc>
            </w:tr>
            <w:tr>
              <w:trPr/>
              <w:tc>
                <w:tcPr>
                  <w:tcW w:w="1463" w:type="dxa"/>
                  <w:tcBorders/>
                </w:tcPr>
                <w:p>
                  <w:pPr>
                    <w:pStyle w:val="normal1"/>
                    <w:spacing w:lineRule="auto" w:line="252" w:before="40" w:after="40"/>
                    <w:jc w:val="start"/>
                    <w:rPr/>
                  </w:pPr>
                  <w:r>
                    <w:rPr>
                      <w:rFonts w:ascii="Calibri" w:hAnsi="Calibri"/>
                      <w:b/>
                      <w:color w:val="000000"/>
                      <w:sz w:val="17"/>
                    </w:rPr>
                    <w:t>Sub-CPMK 6</w:t>
                  </w:r>
                </w:p>
              </w:tc>
              <w:tc>
                <w:tcPr>
                  <w:tcW w:w="993" w:type="dxa"/>
                  <w:tcBorders/>
                </w:tcPr>
                <w:p>
                  <w:pPr>
                    <w:pStyle w:val="normal1"/>
                    <w:spacing w:lineRule="auto" w:line="252" w:before="40" w:after="40"/>
                    <w:jc w:val="center"/>
                    <w:rPr/>
                  </w:pPr>
                  <w:r>
                    <w:rPr/>
                  </w:r>
                </w:p>
              </w:tc>
              <w:tc>
                <w:tcPr>
                  <w:tcW w:w="1210" w:type="dxa"/>
                  <w:tcBorders/>
                </w:tcPr>
                <w:p>
                  <w:pPr>
                    <w:pStyle w:val="normal1"/>
                    <w:spacing w:lineRule="auto" w:line="252" w:before="40" w:after="40"/>
                    <w:jc w:val="center"/>
                    <w:rPr/>
                  </w:pPr>
                  <w:r>
                    <w:rPr/>
                  </w:r>
                </w:p>
              </w:tc>
              <w:tc>
                <w:tcPr>
                  <w:tcW w:w="1040" w:type="dxa"/>
                  <w:tcBorders/>
                </w:tcPr>
                <w:p>
                  <w:pPr>
                    <w:pStyle w:val="normal1"/>
                    <w:spacing w:lineRule="auto" w:line="252" w:before="40" w:after="40"/>
                    <w:jc w:val="center"/>
                    <w:rPr/>
                  </w:pPr>
                  <w:r>
                    <w:rPr>
                      <w:rFonts w:ascii="Calibri" w:hAnsi="Calibri"/>
                      <w:b w:val="false"/>
                      <w:color w:val="000000"/>
                      <w:sz w:val="17"/>
                    </w:rPr>
                    <w:t>V</w:t>
                  </w:r>
                </w:p>
              </w:tc>
              <w:tc>
                <w:tcPr>
                  <w:tcW w:w="807" w:type="dxa"/>
                  <w:tcBorders/>
                </w:tcPr>
                <w:p>
                  <w:pPr>
                    <w:pStyle w:val="normal1"/>
                    <w:spacing w:lineRule="auto" w:line="252" w:before="40" w:after="40"/>
                    <w:jc w:val="center"/>
                    <w:rPr/>
                  </w:pPr>
                  <w:r>
                    <w:rPr/>
                  </w:r>
                </w:p>
              </w:tc>
              <w:tc>
                <w:tcPr>
                  <w:tcW w:w="1078" w:type="dxa"/>
                  <w:tcBorders/>
                </w:tcPr>
                <w:p>
                  <w:pPr>
                    <w:pStyle w:val="normal1"/>
                    <w:spacing w:lineRule="auto" w:line="252" w:before="40" w:after="40"/>
                    <w:jc w:val="center"/>
                    <w:rPr/>
                  </w:pPr>
                  <w:r>
                    <w:rPr>
                      <w:rFonts w:ascii="Calibri" w:hAnsi="Calibri"/>
                      <w:b w:val="false"/>
                      <w:color w:val="000000"/>
                      <w:sz w:val="17"/>
                    </w:rPr>
                    <w:t>15%</w:t>
                  </w:r>
                </w:p>
              </w:tc>
              <w:tc>
                <w:tcPr>
                  <w:tcW w:w="2165" w:type="dxa"/>
                  <w:tcBorders/>
                </w:tcPr>
                <w:p>
                  <w:pPr>
                    <w:pStyle w:val="normal1"/>
                    <w:spacing w:lineRule="auto" w:line="252" w:before="40" w:after="40"/>
                    <w:jc w:val="center"/>
                    <w:rPr/>
                  </w:pPr>
                  <w:r>
                    <w:rPr>
                      <w:rFonts w:ascii="Calibri" w:hAnsi="Calibri"/>
                      <w:b w:val="false"/>
                      <w:color w:val="000000"/>
                      <w:sz w:val="17"/>
                    </w:rPr>
                    <w:t>3</w:t>
                  </w:r>
                </w:p>
              </w:tc>
            </w:tr>
            <w:tr>
              <w:trPr/>
              <w:tc>
                <w:tcPr>
                  <w:tcW w:w="1463" w:type="dxa"/>
                  <w:tcBorders/>
                </w:tcPr>
                <w:p>
                  <w:pPr>
                    <w:pStyle w:val="normal1"/>
                    <w:spacing w:lineRule="auto" w:line="252" w:before="40" w:after="40"/>
                    <w:jc w:val="start"/>
                    <w:rPr/>
                  </w:pPr>
                  <w:r>
                    <w:rPr>
                      <w:rFonts w:ascii="Calibri" w:hAnsi="Calibri"/>
                      <w:b/>
                      <w:color w:val="000000"/>
                      <w:sz w:val="17"/>
                    </w:rPr>
                    <w:t>Sub-CPMK 7</w:t>
                  </w:r>
                </w:p>
              </w:tc>
              <w:tc>
                <w:tcPr>
                  <w:tcW w:w="993" w:type="dxa"/>
                  <w:tcBorders/>
                </w:tcPr>
                <w:p>
                  <w:pPr>
                    <w:pStyle w:val="normal1"/>
                    <w:spacing w:lineRule="auto" w:line="252" w:before="40" w:after="40"/>
                    <w:jc w:val="center"/>
                    <w:rPr/>
                  </w:pPr>
                  <w:r>
                    <w:rPr/>
                  </w:r>
                </w:p>
              </w:tc>
              <w:tc>
                <w:tcPr>
                  <w:tcW w:w="1210" w:type="dxa"/>
                  <w:tcBorders/>
                </w:tcPr>
                <w:p>
                  <w:pPr>
                    <w:pStyle w:val="normal1"/>
                    <w:spacing w:lineRule="auto" w:line="252" w:before="40" w:after="40"/>
                    <w:jc w:val="center"/>
                    <w:rPr/>
                  </w:pPr>
                  <w:r>
                    <w:rPr/>
                  </w:r>
                </w:p>
              </w:tc>
              <w:tc>
                <w:tcPr>
                  <w:tcW w:w="1040" w:type="dxa"/>
                  <w:tcBorders/>
                </w:tcPr>
                <w:p>
                  <w:pPr>
                    <w:pStyle w:val="normal1"/>
                    <w:spacing w:lineRule="auto" w:line="252" w:before="40" w:after="40"/>
                    <w:jc w:val="center"/>
                    <w:rPr/>
                  </w:pPr>
                  <w:r>
                    <w:rPr>
                      <w:rFonts w:ascii="Calibri" w:hAnsi="Calibri"/>
                      <w:b w:val="false"/>
                      <w:color w:val="000000"/>
                      <w:sz w:val="17"/>
                    </w:rPr>
                    <w:t>V</w:t>
                  </w:r>
                </w:p>
              </w:tc>
              <w:tc>
                <w:tcPr>
                  <w:tcW w:w="807" w:type="dxa"/>
                  <w:tcBorders/>
                </w:tcPr>
                <w:p>
                  <w:pPr>
                    <w:pStyle w:val="normal1"/>
                    <w:spacing w:lineRule="auto" w:line="252" w:before="40" w:after="40"/>
                    <w:jc w:val="center"/>
                    <w:rPr/>
                  </w:pPr>
                  <w:r>
                    <w:rPr/>
                  </w:r>
                </w:p>
              </w:tc>
              <w:tc>
                <w:tcPr>
                  <w:tcW w:w="1078" w:type="dxa"/>
                  <w:tcBorders/>
                </w:tcPr>
                <w:p>
                  <w:pPr>
                    <w:pStyle w:val="normal1"/>
                    <w:spacing w:lineRule="auto" w:line="252" w:before="40" w:after="40"/>
                    <w:jc w:val="center"/>
                    <w:rPr/>
                  </w:pPr>
                  <w:r>
                    <w:rPr>
                      <w:rFonts w:ascii="Calibri" w:hAnsi="Calibri"/>
                      <w:b w:val="false"/>
                      <w:color w:val="000000"/>
                      <w:sz w:val="17"/>
                    </w:rPr>
                    <w:t>10%</w:t>
                  </w:r>
                </w:p>
              </w:tc>
              <w:tc>
                <w:tcPr>
                  <w:tcW w:w="2165" w:type="dxa"/>
                  <w:tcBorders/>
                </w:tcPr>
                <w:p>
                  <w:pPr>
                    <w:pStyle w:val="normal1"/>
                    <w:spacing w:lineRule="auto" w:line="252" w:before="40" w:after="40"/>
                    <w:jc w:val="center"/>
                    <w:rPr/>
                  </w:pPr>
                  <w:r>
                    <w:rPr>
                      <w:rFonts w:ascii="Calibri" w:hAnsi="Calibri"/>
                      <w:b w:val="false"/>
                      <w:color w:val="000000"/>
                      <w:sz w:val="17"/>
                    </w:rPr>
                    <w:t>2</w:t>
                  </w:r>
                </w:p>
              </w:tc>
            </w:tr>
            <w:tr>
              <w:trPr/>
              <w:tc>
                <w:tcPr>
                  <w:tcW w:w="1463" w:type="dxa"/>
                  <w:tcBorders/>
                </w:tcPr>
                <w:p>
                  <w:pPr>
                    <w:pStyle w:val="normal1"/>
                    <w:spacing w:lineRule="auto" w:line="252" w:before="40" w:after="40"/>
                    <w:jc w:val="start"/>
                    <w:rPr/>
                  </w:pPr>
                  <w:r>
                    <w:rPr>
                      <w:rFonts w:ascii="Calibri" w:hAnsi="Calibri"/>
                      <w:b/>
                      <w:color w:val="000000"/>
                      <w:sz w:val="17"/>
                    </w:rPr>
                    <w:t>Sub-CPMK 8 (UTS &amp; UAS)</w:t>
                  </w:r>
                </w:p>
              </w:tc>
              <w:tc>
                <w:tcPr>
                  <w:tcW w:w="993" w:type="dxa"/>
                  <w:tcBorders/>
                </w:tcPr>
                <w:p>
                  <w:pPr>
                    <w:pStyle w:val="normal1"/>
                    <w:spacing w:lineRule="auto" w:line="252" w:before="40" w:after="40"/>
                    <w:jc w:val="center"/>
                    <w:rPr/>
                  </w:pPr>
                  <w:r>
                    <w:rPr>
                      <w:rFonts w:ascii="Calibri" w:hAnsi="Calibri"/>
                      <w:b w:val="false"/>
                      <w:color w:val="000000"/>
                      <w:sz w:val="17"/>
                    </w:rPr>
                    <w:t>V</w:t>
                  </w:r>
                </w:p>
              </w:tc>
              <w:tc>
                <w:tcPr>
                  <w:tcW w:w="1210" w:type="dxa"/>
                  <w:tcBorders/>
                </w:tcPr>
                <w:p>
                  <w:pPr>
                    <w:pStyle w:val="normal1"/>
                    <w:spacing w:lineRule="auto" w:line="252" w:before="40" w:after="40"/>
                    <w:jc w:val="center"/>
                    <w:rPr/>
                  </w:pPr>
                  <w:r>
                    <w:rPr>
                      <w:rFonts w:ascii="Calibri" w:hAnsi="Calibri"/>
                      <w:b w:val="false"/>
                      <w:color w:val="000000"/>
                      <w:sz w:val="17"/>
                    </w:rPr>
                    <w:t>V</w:t>
                  </w:r>
                </w:p>
              </w:tc>
              <w:tc>
                <w:tcPr>
                  <w:tcW w:w="1040" w:type="dxa"/>
                  <w:tcBorders/>
                </w:tcPr>
                <w:p>
                  <w:pPr>
                    <w:pStyle w:val="normal1"/>
                    <w:spacing w:lineRule="auto" w:line="252" w:before="40" w:after="40"/>
                    <w:jc w:val="center"/>
                    <w:rPr/>
                  </w:pPr>
                  <w:r>
                    <w:rPr>
                      <w:rFonts w:ascii="Calibri" w:hAnsi="Calibri"/>
                      <w:b w:val="false"/>
                      <w:color w:val="000000"/>
                      <w:sz w:val="17"/>
                    </w:rPr>
                    <w:t>V</w:t>
                  </w:r>
                </w:p>
              </w:tc>
              <w:tc>
                <w:tcPr>
                  <w:tcW w:w="807" w:type="dxa"/>
                  <w:tcBorders/>
                </w:tcPr>
                <w:p>
                  <w:pPr>
                    <w:pStyle w:val="normal1"/>
                    <w:spacing w:lineRule="auto" w:line="252" w:before="40" w:after="40"/>
                    <w:jc w:val="center"/>
                    <w:rPr/>
                  </w:pPr>
                  <w:r>
                    <w:rPr/>
                  </w:r>
                </w:p>
              </w:tc>
              <w:tc>
                <w:tcPr>
                  <w:tcW w:w="1078" w:type="dxa"/>
                  <w:tcBorders/>
                </w:tcPr>
                <w:p>
                  <w:pPr>
                    <w:pStyle w:val="normal1"/>
                    <w:spacing w:lineRule="auto" w:line="252" w:before="40" w:after="40"/>
                    <w:jc w:val="center"/>
                    <w:rPr/>
                  </w:pPr>
                  <w:r>
                    <w:rPr>
                      <w:rFonts w:ascii="Calibri" w:hAnsi="Calibri"/>
                      <w:b w:val="false"/>
                      <w:color w:val="000000"/>
                      <w:sz w:val="17"/>
                    </w:rPr>
                    <w:t>30%</w:t>
                  </w:r>
                </w:p>
              </w:tc>
              <w:tc>
                <w:tcPr>
                  <w:tcW w:w="2165" w:type="dxa"/>
                  <w:tcBorders/>
                </w:tcPr>
                <w:p>
                  <w:pPr>
                    <w:pStyle w:val="normal1"/>
                    <w:spacing w:lineRule="auto" w:line="252" w:before="40" w:after="40"/>
                    <w:jc w:val="center"/>
                    <w:rPr/>
                  </w:pPr>
                  <w:r>
                    <w:rPr>
                      <w:rFonts w:ascii="Calibri" w:hAnsi="Calibri"/>
                      <w:b w:val="false"/>
                      <w:color w:val="000000"/>
                      <w:sz w:val="17"/>
                    </w:rPr>
                    <w:t>2</w:t>
                  </w:r>
                </w:p>
              </w:tc>
            </w:tr>
            <w:tr>
              <w:trPr/>
              <w:tc>
                <w:tcPr>
                  <w:tcW w:w="1463" w:type="dxa"/>
                  <w:tcBorders/>
                  <w:shd w:fill="E8EEF5" w:val="clear"/>
                </w:tcPr>
                <w:p>
                  <w:pPr>
                    <w:pStyle w:val="normal1"/>
                    <w:spacing w:lineRule="auto" w:line="252" w:before="40" w:after="40"/>
                    <w:jc w:val="start"/>
                    <w:rPr/>
                  </w:pPr>
                  <w:r>
                    <w:rPr>
                      <w:rFonts w:ascii="Calibri" w:hAnsi="Calibri"/>
                      <w:b/>
                      <w:color w:val="000000"/>
                      <w:sz w:val="17"/>
                    </w:rPr>
                    <w:t>Total Bobot &amp; Alokasi Minggu</w:t>
                  </w:r>
                </w:p>
              </w:tc>
              <w:tc>
                <w:tcPr>
                  <w:tcW w:w="993" w:type="dxa"/>
                  <w:tcBorders/>
                </w:tcPr>
                <w:p>
                  <w:pPr>
                    <w:pStyle w:val="normal1"/>
                    <w:rPr/>
                  </w:pPr>
                  <w:r>
                    <w:rPr/>
                  </w:r>
                </w:p>
              </w:tc>
              <w:tc>
                <w:tcPr>
                  <w:tcW w:w="1210" w:type="dxa"/>
                  <w:tcBorders/>
                </w:tcPr>
                <w:p>
                  <w:pPr>
                    <w:pStyle w:val="normal1"/>
                    <w:rPr/>
                  </w:pPr>
                  <w:r>
                    <w:rPr/>
                  </w:r>
                </w:p>
              </w:tc>
              <w:tc>
                <w:tcPr>
                  <w:tcW w:w="1040" w:type="dxa"/>
                  <w:tcBorders/>
                </w:tcPr>
                <w:p>
                  <w:pPr>
                    <w:pStyle w:val="normal1"/>
                    <w:rPr/>
                  </w:pPr>
                  <w:r>
                    <w:rPr/>
                  </w:r>
                </w:p>
              </w:tc>
              <w:tc>
                <w:tcPr>
                  <w:tcW w:w="807" w:type="dxa"/>
                  <w:tcBorders/>
                </w:tcPr>
                <w:p>
                  <w:pPr>
                    <w:pStyle w:val="normal1"/>
                    <w:rPr/>
                  </w:pPr>
                  <w:r>
                    <w:rPr/>
                  </w:r>
                </w:p>
              </w:tc>
              <w:tc>
                <w:tcPr>
                  <w:tcW w:w="1078" w:type="dxa"/>
                  <w:tcBorders/>
                  <w:shd w:fill="E8EEF5" w:val="clear"/>
                </w:tcPr>
                <w:p>
                  <w:pPr>
                    <w:pStyle w:val="normal1"/>
                    <w:spacing w:lineRule="auto" w:line="252" w:before="40" w:after="40"/>
                    <w:jc w:val="center"/>
                    <w:rPr/>
                  </w:pPr>
                  <w:r>
                    <w:rPr>
                      <w:rFonts w:ascii="Calibri" w:hAnsi="Calibri"/>
                      <w:b/>
                      <w:color w:val="000000"/>
                      <w:sz w:val="17"/>
                    </w:rPr>
                    <w:t>100%</w:t>
                  </w:r>
                </w:p>
              </w:tc>
              <w:tc>
                <w:tcPr>
                  <w:tcW w:w="2165" w:type="dxa"/>
                  <w:tcBorders/>
                  <w:shd w:fill="E8EEF5" w:val="clear"/>
                </w:tcPr>
                <w:p>
                  <w:pPr>
                    <w:pStyle w:val="normal1"/>
                    <w:spacing w:lineRule="auto" w:line="252" w:before="40" w:after="40"/>
                    <w:jc w:val="center"/>
                    <w:rPr/>
                  </w:pPr>
                  <w:r>
                    <w:rPr>
                      <w:rFonts w:ascii="Calibri" w:hAnsi="Calibri"/>
                      <w:b/>
                      <w:color w:val="000000"/>
                      <w:sz w:val="17"/>
                    </w:rPr>
                    <w:t>16 Minggu</w:t>
                  </w:r>
                </w:p>
              </w:tc>
            </w:tr>
          </w:tbl>
          <w:p>
            <w:pPr>
              <w:pStyle w:val="Normal"/>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Deskripsi Singkat MK</w:t>
            </w:r>
          </w:p>
        </w:tc>
        <w:tc>
          <w:tcPr>
            <w:tcW w:w="12496" w:type="dxa"/>
            <w:gridSpan w:val="3"/>
            <w:tcBorders>
              <w:top w:val="single" w:sz="4" w:space="0" w:color="231F20"/>
              <w:start w:val="single" w:sz="4" w:space="0" w:color="231F20"/>
              <w:bottom w:val="single" w:sz="6" w:space="0" w:color="231F20"/>
              <w:end w:val="single" w:sz="4" w:space="0" w:color="231F20"/>
            </w:tcBorders>
          </w:tcPr>
          <w:p>
            <w:pPr>
              <w:pStyle w:val="normal1"/>
              <w:spacing w:lineRule="auto" w:line="252" w:before="40" w:after="40"/>
              <w:jc w:val="start"/>
              <w:rPr/>
            </w:pPr>
            <w:r>
              <w:rPr>
                <w:rFonts w:ascii="Calibri" w:hAnsi="Calibri"/>
                <w:b w:val="false"/>
                <w:color w:val="000000"/>
                <w:sz w:val="18"/>
              </w:rPr>
              <w:t>Mata kuliah Sistem Informasi Bisnis (IF260624) membekali mahasiswa dengan wawasan strategis, manajerial, dan teknis mengenai pemanfaatan teknologi informasi untuk mendorong transformasi digital dan keunggulan kompetitif organisasi. Pembahasan mencakup peranan sistem informasi dalam perusahaan digital modern (digital firm), analisis strategi kompetitif dan rantai nilai (Porter's Value Chain), isu etika dan privasi data (UU PDP), pemodelan proses bisnis dengan BPMN, sistem enterprise terintegrasi (ERP, SCM, CRM), pasar digital dan e-commerce, infrastruktur komputasi awan (Cloud/SaaS), arsitektur Business Intelligence (BI) dan data warehousing, perancangan dashboard analitik interaktif, hingga keamanan informasi dan mitigasi risiko bisnis. Pembelajaran menekankan keterlibatan aktif mahasiswa melalui metode Case Method dan Project-Based Learning (PjBL) berbasis tim untuk memecahkan problematika bisnis nyata di era industri 4.0.</w:t>
            </w:r>
          </w:p>
        </w:tc>
      </w:tr>
      <w:tr>
        <w:trPr>
          <w:trHeight w:val="2004" w:hRule="atLeast"/>
        </w:trPr>
        <w:tc>
          <w:tcPr>
            <w:tcW w:w="1798" w:type="dxa"/>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Bahan Kajian:</w:t>
            </w:r>
          </w:p>
          <w:p>
            <w:pPr>
              <w:pStyle w:val="normal1"/>
              <w:keepNext w:val="false"/>
              <w:keepLines w:val="false"/>
              <w:widowControl w:val="false"/>
              <w:shd w:val="clear" w:fill="auto"/>
              <w:spacing w:lineRule="auto" w:line="240" w:before="9" w:after="0"/>
              <w:ind w:hanging="0" w:start="77"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231F20"/>
                <w:position w:val="0"/>
                <w:sz w:val="18"/>
                <w:szCs w:val="18"/>
                <w:u w:val="none"/>
                <w:shd w:fill="auto" w:val="clear"/>
                <w:vertAlign w:val="baseline"/>
              </w:rPr>
              <w:t>Materi pembelajaran</w:t>
            </w:r>
          </w:p>
        </w:tc>
        <w:tc>
          <w:tcPr>
            <w:tcW w:w="12496" w:type="dxa"/>
            <w:gridSpan w:val="3"/>
            <w:tcBorders>
              <w:top w:val="single" w:sz="6" w:space="0" w:color="231F20"/>
              <w:start w:val="single" w:sz="4" w:space="0" w:color="231F20"/>
              <w:bottom w:val="single" w:sz="6" w:space="0" w:color="231F20"/>
              <w:end w:val="single" w:sz="4" w:space="0" w:color="231F20"/>
            </w:tcBorders>
          </w:tcPr>
          <w:p>
            <w:pPr>
              <w:pStyle w:val="normal1"/>
              <w:spacing w:lineRule="auto" w:line="252" w:before="40" w:after="40"/>
              <w:jc w:val="start"/>
              <w:rPr/>
            </w:pPr>
            <w:r>
              <w:rPr>
                <w:rFonts w:ascii="Calibri" w:hAnsi="Calibri"/>
                <w:b w:val="false"/>
                <w:color w:val="000000"/>
                <w:sz w:val="18"/>
              </w:rPr>
              <w:t>1. Pengantar Sistem Informasi Bisnis &amp; Transformasi Digital Firm: Komponen SI, data-information-knowledge, dimensi organisasi, manajemen, dan teknologi.</w:t>
              <w:br/>
              <w:t>2. Sistem Informasi dalam Organisasi Bisnis Global: Klasifikasi sistem fungsi bisnis (TPS, MIS, DSS, ESS), peran CIO dan integrasi fungsi bisnis.</w:t>
              <w:br/>
              <w:t>3. Sistem Informasi Strategis &amp; Keunggulan Kompetitif: Model Kekuatan Kompetitif Porter, Value Chain Analysis, ekosistem bisnis digital, dan sinergi TI.</w:t>
              <w:br/>
              <w:t>4. Isu Etika, Sosial, dan Regulasi Bisnis Digital: 5 dimensi moral teknologi informasi, privasi data, perlindungan HAKI, dan kepatuhan UU PDP.</w:t>
              <w:br/>
              <w:t>5. Pemodelan Proses Bisnis (Business Process Modeling): Analisis alur kerja, notasi standar BPMN 2.0 (events, activities, gateways, swimlanes), dan rekayasa ulang proses bisnis (BPR).</w:t>
              <w:br/>
              <w:t>6. Sistem Enterprise Terpadu: Enterprise Resource Planning (ERP): Arsitektur ERP, modul terintegrasi, database terpusat, tantangan dan manfaat implementasi (SAP, Odoo).</w:t>
              <w:br/>
              <w:t>7. Supply Chain Management (SCM) &amp; Customer Relationship Management (CRM): Kolaborasi rantai pasok global, bullwhip effect, CRM operasional &amp; analitikal, Customer Lifetime Value.</w:t>
              <w:br/>
              <w:t>8. E-Commerce &amp; Transformasi Pasar Digital: Model bisnis e-commerce (B2B, B2C, C2C), revenue model digital, ekosistem fintech, payment gateway, dan m-commerce.</w:t>
              <w:br/>
              <w:t>9. Infrastruktur TI &amp; Cloud Computing untuk Bisnis: Evolusi infrastruktur TI, model cloud (IaaS, PaaS, SaaS) untuk efisiensi belanja modal (CapEx vs OpEx), skalabilitas bisnis.</w:t>
              <w:br/>
              <w:t>10. Fondasi Business Intelligence (BI) &amp; Data Warehousing: Database operasional vs data warehouse, proses ETL (Extract-Transform-Load), data mart, dan multidimensional data modeling.</w:t>
              <w:br/>
              <w:t>11. Analitik Data Bisnis &amp; Perancangan Executive Dashboard: Konsep OLAP, analisis deskriptif/prediktif, KPI bisnis, visualisasi data interaktif (Power BI / Tableau / Looker Studio).</w:t>
              <w:br/>
              <w:t>12. Kecerdasan Artifisial, Manajemen Pengetahuan, &amp; Keamanan Bisnis: AI dalam bisnis, chatbot CRM, Knowledge Management Systems (KMS), manajemen risiko siber, Business Continuity Plan (BCP).</w:t>
            </w:r>
          </w:p>
        </w:tc>
      </w:tr>
      <w:tr>
        <w:trPr>
          <w:trHeight w:val="278"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Pustaka</w:t>
            </w:r>
          </w:p>
        </w:tc>
        <w:tc>
          <w:tcPr>
            <w:tcW w:w="1029"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Utama:</w:t>
            </w:r>
          </w:p>
        </w:tc>
        <w:tc>
          <w:tcPr>
            <w:tcW w:w="11467" w:type="dxa"/>
            <w:gridSpan w:val="2"/>
            <w:tcBorders>
              <w:top w:val="single" w:sz="6" w:space="0" w:color="231F20"/>
              <w:start w:val="single" w:sz="4" w:space="0" w:color="231F20"/>
              <w:end w:val="single" w:sz="4" w:space="0" w:color="231F20"/>
            </w:tcBorders>
          </w:tcPr>
          <w:p>
            <w:pPr>
              <w:pStyle w:val="normal1"/>
              <w:keepNext w:val="false"/>
              <w:keepLines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36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end w:val="single" w:sz="4" w:space="0" w:color="231F20"/>
            </w:tcBorders>
          </w:tcPr>
          <w:p>
            <w:pPr>
              <w:pStyle w:val="normal1"/>
              <w:spacing w:lineRule="auto" w:line="252" w:before="40" w:after="40"/>
              <w:jc w:val="start"/>
              <w:rPr/>
            </w:pPr>
            <w:r>
              <w:rPr>
                <w:rFonts w:ascii="Calibri" w:hAnsi="Calibri"/>
                <w:b w:val="false"/>
                <w:color w:val="000000"/>
                <w:sz w:val="18"/>
              </w:rPr>
              <w:t>[1] Laudon, K. C., &amp; Laudon, J. P. (2022). Management Information Systems: Managing the Digital Firm (17th ed.). Harlow: Pearson Education.</w:t>
              <w:br/>
              <w:t>[2] Rainer, R. K., &amp; Prince, B. (2021). Introduction to Information Systems: Supporting and Transforming Business (9th ed.). Hoboken, NJ: John Wiley &amp; Sons.</w:t>
            </w:r>
          </w:p>
        </w:tc>
      </w:tr>
      <w:tr>
        <w:trPr>
          <w:trHeight w:val="28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29"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Pendukung:</w:t>
            </w:r>
          </w:p>
        </w:tc>
        <w:tc>
          <w:tcPr>
            <w:tcW w:w="11467" w:type="dxa"/>
            <w:gridSpan w:val="2"/>
            <w:tcBorders>
              <w:start w:val="single" w:sz="4" w:space="0" w:color="231F20"/>
              <w:end w:val="single" w:sz="4" w:space="0" w:color="231F20"/>
            </w:tcBorders>
          </w:tcPr>
          <w:p>
            <w:pPr>
              <w:pStyle w:val="normal1"/>
              <w:keepNext w:val="false"/>
              <w:keepLines w:val="false"/>
              <w:widowControl w:val="false"/>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bottom w:val="single" w:sz="6" w:space="0" w:color="231F20"/>
              <w:end w:val="single" w:sz="4" w:space="0" w:color="231F20"/>
            </w:tcBorders>
          </w:tcPr>
          <w:p>
            <w:pPr>
              <w:pStyle w:val="normal1"/>
              <w:spacing w:lineRule="auto" w:line="252" w:before="40" w:after="40"/>
              <w:jc w:val="start"/>
              <w:rPr/>
            </w:pPr>
            <w:r>
              <w:rPr>
                <w:rFonts w:ascii="Calibri" w:hAnsi="Calibri"/>
                <w:b w:val="false"/>
                <w:color w:val="000000"/>
                <w:sz w:val="18"/>
              </w:rPr>
              <w:t>[1] Turban, E., Pollard, C., &amp; Wood, G. (2021). Information Technology for Management: Driving Digital Transformation to Increase Local and Global Competitiveness (12th ed.). Hoboken, NJ: John Wiley &amp; Sons.</w:t>
              <w:br/>
              <w:t>[2] O'Brien, J. A., &amp; Marakas, G. M. (2017). Management Information Systems (10th ed.). New York: McGraw-Hill Education.</w:t>
              <w:br/>
              <w:t>[3] Weske, M. (2019). Business Process Management: Concepts, Languages, Architectures (3rd ed.). Berlin: Springer.</w:t>
              <w:br/>
              <w:t>[4] Sharda, R., Delen, D., &amp; Turban, E. (2020). Analytics, Data Science, &amp; Artificial Intelligence: Systems for Decision Support (11th ed.). Pearson.</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Pengampu</w:t>
            </w:r>
          </w:p>
        </w:tc>
        <w:tc>
          <w:tcPr>
            <w:tcW w:w="12496" w:type="dxa"/>
            <w:gridSpan w:val="3"/>
            <w:tcBorders>
              <w:top w:val="single" w:sz="6" w:space="0" w:color="231F20"/>
              <w:start w:val="single" w:sz="4" w:space="0" w:color="231F20"/>
              <w:bottom w:val="single" w:sz="6" w:space="0" w:color="231F20"/>
              <w:end w:val="single" w:sz="4" w:space="0" w:color="231F20"/>
            </w:tcBorders>
          </w:tcPr>
          <w:p>
            <w:pPr>
              <w:pStyle w:val="normal1"/>
              <w:spacing w:lineRule="auto" w:line="252" w:before="40" w:after="40"/>
              <w:jc w:val="start"/>
              <w:rPr/>
            </w:pPr>
            <w:r>
              <w:rPr>
                <w:rFonts w:ascii="Calibri" w:hAnsi="Calibri"/>
                <w:b w:val="false"/>
                <w:color w:val="000000"/>
                <w:sz w:val="18"/>
              </w:rPr>
              <w:t>ANDY HARYOKO, ST., MT</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Matakuliah syarat</w:t>
            </w:r>
          </w:p>
        </w:tc>
        <w:tc>
          <w:tcPr>
            <w:tcW w:w="12496" w:type="dxa"/>
            <w:gridSpan w:val="3"/>
            <w:tcBorders>
              <w:top w:val="single" w:sz="6" w:space="0" w:color="231F20"/>
              <w:start w:val="single" w:sz="4" w:space="0" w:color="231F20"/>
              <w:bottom w:val="single" w:sz="6" w:space="0" w:color="231F20"/>
              <w:end w:val="single" w:sz="4" w:space="0" w:color="231F20"/>
            </w:tcBorders>
          </w:tcPr>
          <w:p>
            <w:pPr>
              <w:pStyle w:val="normal1"/>
              <w:spacing w:lineRule="auto" w:line="252" w:before="40" w:after="40"/>
              <w:jc w:val="start"/>
              <w:rPr/>
            </w:pPr>
            <w:r>
              <w:rPr>
                <w:rFonts w:ascii="Calibri" w:hAnsi="Calibri"/>
                <w:b w:val="false"/>
                <w:color w:val="000000"/>
                <w:sz w:val="18"/>
              </w:rPr>
              <w:t>MK26 Basis Data, MK08 Rekayasa Perangkat Lunak</w:t>
            </w:r>
          </w:p>
        </w:tc>
      </w:tr>
    </w:tbl>
    <w:p>
      <w:pPr>
        <w:sectPr>
          <w:footerReference w:type="even" r:id="rId7"/>
          <w:footerReference w:type="default" r:id="rId8"/>
          <w:footerReference w:type="first" r:id="rId9"/>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widowControl w:val="false"/>
        <w:shd w:val="clear" w:fill="auto"/>
        <w:spacing w:lineRule="auto" w:line="240" w:before="0" w:after="0"/>
        <w:ind w:hanging="0" w:start="0" w:end="0"/>
        <w:jc w:val="start"/>
        <w:rPr>
          <w:rFonts w:ascii="Arial" w:hAnsi="Arial" w:eastAsia="Arial" w:cs="Arial"/>
          <w:b/>
          <w:bCs/>
          <w:i w:val="false"/>
          <w:iCs w:val="false"/>
          <w:caps w:val="false"/>
          <w:smallCaps w:val="false"/>
          <w:strike w:val="false"/>
          <w:dstrike w:val="false"/>
          <w:color w:val="000000"/>
          <w:position w:val="0"/>
          <w:sz w:val="27"/>
          <w:szCs w:val="27"/>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7"/>
          <w:szCs w:val="27"/>
          <w:u w:val="none"/>
          <w:shd w:fill="auto" w:val="clear"/>
          <w:vertAlign w:val="baseline"/>
        </w:rPr>
        <mc:AlternateContent>
          <mc:Choice Requires="wps">
            <w:drawing>
              <wp:anchor distT="0" distB="0" distL="0" distR="0" simplePos="0" relativeHeight="9" behindDoc="0" locked="0" layoutInCell="0" allowOverlap="1">
                <wp:simplePos x="0" y="0"/>
                <wp:positionH relativeFrom="page">
                  <wp:posOffset>281940</wp:posOffset>
                </wp:positionH>
                <wp:positionV relativeFrom="page">
                  <wp:posOffset>6494780</wp:posOffset>
                </wp:positionV>
                <wp:extent cx="239395" cy="267970"/>
                <wp:effectExtent l="0" t="0" r="0" b="0"/>
                <wp:wrapNone/>
                <wp:docPr id="9" name="Shape 9"/>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user"/>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wps:txbx>
                      <wps:bodyPr lIns="0" tIns="0" rIns="0" bIns="0" anchor="t">
                        <a:noAutofit/>
                      </wps:bodyPr>
                    </wps:wsp>
                  </a:graphicData>
                </a:graphic>
              </wp:anchor>
            </w:drawing>
          </mc:Choice>
          <mc:Fallback>
            <w:pict>
              <v:rect id="shape_0" stroked="f" o:allowincell="f" style="position:absolute;margin-left:22.15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user"/>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v:textbox>
                <w10:wrap type="none"/>
              </v:rect>
            </w:pict>
          </mc:Fallback>
        </mc:AlternateContent>
      </w:r>
    </w:p>
    <w:tbl>
      <w:tblPr>
        <w:tblStyle w:val="Table4"/>
        <w:tblW w:w="14295" w:type="dxa"/>
        <w:jc w:val="start"/>
        <w:tblInd w:w="128" w:type="dxa"/>
        <w:tblLayout w:type="fixed"/>
        <w:tblCellMar>
          <w:top w:w="0" w:type="dxa"/>
          <w:start w:w="108" w:type="dxa"/>
          <w:bottom w:w="0" w:type="dxa"/>
          <w:end w:w="108" w:type="dxa"/>
        </w:tblCellMar>
        <w:tblLook w:val="0000"/>
      </w:tblPr>
      <w:tblGrid>
        <w:gridCol w:w="547"/>
        <w:gridCol w:w="2283"/>
        <w:gridCol w:w="1843"/>
        <w:gridCol w:w="1629"/>
        <w:gridCol w:w="1677"/>
        <w:gridCol w:w="1997"/>
        <w:gridCol w:w="3059"/>
        <w:gridCol w:w="1260"/>
      </w:tblGrid>
      <w:tr>
        <w:trPr>
          <w:trHeight w:val="281" w:hRule="atLeast"/>
        </w:trPr>
        <w:tc>
          <w:tcPr>
            <w:tcW w:w="547"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50" w:before="145" w:after="0"/>
              <w:ind w:firstLine="12" w:start="155" w:end="143"/>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Mg Ke-</w:t>
            </w:r>
          </w:p>
        </w:tc>
        <w:tc>
          <w:tcPr>
            <w:tcW w:w="2283"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50" w:before="145" w:after="0"/>
              <w:ind w:firstLine="98" w:start="250" w:end="20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Kemampuan akhir tiap tahapan belajar (CPMK) </w:t>
            </w:r>
          </w:p>
        </w:tc>
        <w:tc>
          <w:tcPr>
            <w:tcW w:w="3472"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37" w:after="0"/>
              <w:ind w:hanging="0" w:start="1359" w:end="135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Penilaian</w:t>
            </w:r>
          </w:p>
        </w:tc>
        <w:tc>
          <w:tcPr>
            <w:tcW w:w="3674" w:type="dxa"/>
            <w:gridSpan w:val="2"/>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37" w:after="0"/>
              <w:ind w:hanging="0" w:start="202"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Bantuk Pembelajaran;</w:t>
            </w:r>
          </w:p>
          <w:p>
            <w:pPr>
              <w:pStyle w:val="normal1"/>
              <w:keepNext w:val="false"/>
              <w:keepLines w:val="false"/>
              <w:widowControl w:val="false"/>
              <w:shd w:val="clear" w:fill="auto"/>
              <w:spacing w:lineRule="auto" w:line="250" w:before="9" w:after="0"/>
              <w:ind w:hanging="0" w:start="204"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Metode Pembelajaran; Penugasan Mahasiswa;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[Estimasi Waktu]</w:t>
            </w:r>
          </w:p>
        </w:tc>
        <w:tc>
          <w:tcPr>
            <w:tcW w:w="3059"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50" w:before="37" w:after="0"/>
              <w:ind w:hanging="386" w:start="1195" w:end="19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Materi Pembelajaran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[Pustaka]</w:t>
            </w:r>
          </w:p>
        </w:tc>
        <w:tc>
          <w:tcPr>
            <w:tcW w:w="1260"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50" w:before="145" w:after="0"/>
              <w:ind w:firstLine="246" w:start="171"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Penilaian (%)</w:t>
            </w:r>
          </w:p>
        </w:tc>
      </w:tr>
      <w:tr>
        <w:trPr>
          <w:trHeight w:val="421" w:hRule="atLeast"/>
        </w:trPr>
        <w:tc>
          <w:tcPr>
            <w:tcW w:w="547"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2283"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84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10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Indikator</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10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Teknik &amp; Kriteria</w:t>
            </w:r>
          </w:p>
        </w:tc>
        <w:tc>
          <w:tcPr>
            <w:tcW w:w="3674" w:type="dxa"/>
            <w:gridSpan w:val="2"/>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3059"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260"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r>
      <w:tr>
        <w:trPr>
          <w:trHeight w:val="281" w:hRule="atLeast"/>
        </w:trPr>
        <w:tc>
          <w:tcPr>
            <w:tcW w:w="54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37"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(1)</w:t>
            </w:r>
          </w:p>
        </w:tc>
        <w:tc>
          <w:tcPr>
            <w:tcW w:w="228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37" w:after="0"/>
              <w:ind w:hanging="0" w:start="0" w:end="1012"/>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(2)</w:t>
            </w:r>
          </w:p>
        </w:tc>
        <w:tc>
          <w:tcPr>
            <w:tcW w:w="1843" w:type="dxa"/>
            <w:tcBorders>
              <w:top w:val="single" w:sz="4" w:space="0" w:color="231F20"/>
              <w:start w:val="single" w:sz="4" w:space="0" w:color="231F20"/>
              <w:bottom w:val="single" w:sz="4" w:space="0" w:color="000000"/>
              <w:end w:val="single" w:sz="4" w:space="0" w:color="231F20"/>
            </w:tcBorders>
            <w:shd w:fill="DBE5F1" w:val="clear"/>
          </w:tcPr>
          <w:p>
            <w:pPr>
              <w:pStyle w:val="normal1"/>
              <w:keepNext w:val="false"/>
              <w:keepLines w:val="false"/>
              <w:widowControl w:val="false"/>
              <w:shd w:val="clear" w:fill="auto"/>
              <w:spacing w:lineRule="auto" w:line="240" w:before="3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(3)</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3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(4)</w:t>
            </w:r>
          </w:p>
        </w:tc>
        <w:tc>
          <w:tcPr>
            <w:tcW w:w="167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37" w:after="0"/>
              <w:ind w:hanging="0" w:start="49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Luring (5)</w:t>
            </w:r>
          </w:p>
        </w:tc>
        <w:tc>
          <w:tcPr>
            <w:tcW w:w="199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37" w:after="0"/>
              <w:ind w:hanging="0" w:start="654"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Daring (6)</w:t>
            </w:r>
          </w:p>
        </w:tc>
        <w:tc>
          <w:tcPr>
            <w:tcW w:w="305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37" w:after="0"/>
              <w:ind w:hanging="0" w:start="1060"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(7)</w:t>
            </w:r>
          </w:p>
        </w:tc>
        <w:tc>
          <w:tcPr>
            <w:tcW w:w="1260"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shd w:val="clear" w:fill="auto"/>
              <w:spacing w:lineRule="auto" w:line="240" w:before="37" w:after="0"/>
              <w:ind w:hanging="0" w:start="74" w:end="6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(8)</w:t>
            </w:r>
          </w:p>
        </w:tc>
      </w:tr>
      <w:tr>
        <w:trPr/>
        <w:tc>
          <w:tcPr>
            <w:tcW w:w="547" w:type="dxa"/>
            <w:tcBorders/>
          </w:tcPr>
          <w:p>
            <w:pPr>
              <w:pStyle w:val="normal1"/>
              <w:spacing w:lineRule="auto" w:line="252" w:before="40" w:after="40"/>
              <w:jc w:val="center"/>
              <w:rPr/>
            </w:pPr>
            <w:r>
              <w:rPr>
                <w:rFonts w:ascii="Calibri" w:hAnsi="Calibri"/>
                <w:b/>
                <w:color w:val="000000"/>
                <w:sz w:val="17"/>
              </w:rPr>
              <w:t>1</w:t>
            </w:r>
          </w:p>
        </w:tc>
        <w:tc>
          <w:tcPr>
            <w:tcW w:w="2283" w:type="dxa"/>
            <w:tcBorders/>
          </w:tcPr>
          <w:p>
            <w:pPr>
              <w:pStyle w:val="normal1"/>
              <w:spacing w:lineRule="auto" w:line="252" w:before="40" w:after="40"/>
              <w:jc w:val="start"/>
              <w:rPr/>
            </w:pPr>
            <w:r>
              <w:rPr>
                <w:rFonts w:ascii="Calibri" w:hAnsi="Calibri"/>
                <w:b/>
                <w:color w:val="000000"/>
                <w:sz w:val="17"/>
              </w:rPr>
              <w:t>Sub-CPMK 1</w:t>
            </w:r>
          </w:p>
        </w:tc>
        <w:tc>
          <w:tcPr>
            <w:tcW w:w="1843" w:type="dxa"/>
            <w:tcBorders/>
          </w:tcPr>
          <w:p>
            <w:pPr>
              <w:pStyle w:val="normal1"/>
              <w:spacing w:lineRule="auto" w:line="252" w:before="40" w:after="40"/>
              <w:jc w:val="start"/>
              <w:rPr/>
            </w:pPr>
            <w:r>
              <w:rPr>
                <w:rFonts w:ascii="Calibri" w:hAnsi="Calibri"/>
                <w:b w:val="false"/>
                <w:color w:val="000000"/>
                <w:sz w:val="17"/>
              </w:rPr>
              <w:t>Ketepatan dalam menjelaskan esensi sistem informasi bisnis, perbedaannya dengan ilmu komputer murni, 3 dimensi sistem (organisasi, manajemen, teknologi), dan karakteristik digital firm.</w:t>
            </w:r>
          </w:p>
        </w:tc>
        <w:tc>
          <w:tcPr>
            <w:tcW w:w="1629" w:type="dxa"/>
            <w:tcBorders/>
          </w:tcPr>
          <w:p>
            <w:pPr>
              <w:pStyle w:val="normal1"/>
              <w:spacing w:lineRule="auto" w:line="252" w:before="40" w:after="40"/>
              <w:jc w:val="start"/>
              <w:rPr/>
            </w:pPr>
            <w:r>
              <w:rPr>
                <w:rFonts w:ascii="Calibri" w:hAnsi="Calibri"/>
                <w:b w:val="false"/>
                <w:color w:val="000000"/>
                <w:sz w:val="17"/>
              </w:rPr>
              <w:t>Teknik non-tes: Keaktifan diskusi kelas &amp; resume materi perkuliahan.</w:t>
              <w:br/>
              <w:t>Kriteria: Rubrik Partisipasi Kelas.</w:t>
            </w:r>
          </w:p>
        </w:tc>
        <w:tc>
          <w:tcPr>
            <w:tcW w:w="1677" w:type="dxa"/>
            <w:tcBorders/>
          </w:tcPr>
          <w:p>
            <w:pPr>
              <w:pStyle w:val="normal1"/>
              <w:spacing w:lineRule="auto" w:line="252" w:before="40" w:after="40"/>
              <w:jc w:val="start"/>
              <w:rPr/>
            </w:pPr>
            <w:r>
              <w:rPr>
                <w:rFonts w:ascii="Calibri" w:hAnsi="Calibri"/>
                <w:b w:val="false"/>
                <w:color w:val="000000"/>
                <w:sz w:val="17"/>
              </w:rPr>
              <w:t>Kuliah interaktif, pemaparan RPS dan kontrak perkuliahan, diskusi tanya jawab terpandu.</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Mengunduh RPS, membaca materi Bab 1 Laudon, mengisi form komitmen belajar.</w:t>
            </w:r>
          </w:p>
        </w:tc>
        <w:tc>
          <w:tcPr>
            <w:tcW w:w="3059" w:type="dxa"/>
            <w:tcBorders/>
          </w:tcPr>
          <w:p>
            <w:pPr>
              <w:pStyle w:val="normal1"/>
              <w:spacing w:lineRule="auto" w:line="252" w:before="40" w:after="40"/>
              <w:jc w:val="start"/>
              <w:rPr/>
            </w:pPr>
            <w:r>
              <w:rPr>
                <w:rFonts w:ascii="Calibri" w:hAnsi="Calibri"/>
                <w:b w:val="false"/>
                <w:color w:val="000000"/>
                <w:sz w:val="17"/>
              </w:rPr>
              <w:t>Pengantar Sistem Informasi Bisnis: Definisi SI, data vs informasi vs knowledge, 3 dimensi SI, tujuan strategis bisnis berinvestasi di TI, karakteristik perusahaan digital.</w:t>
              <w:br/>
              <w:t>Pustaka: [Laudon22: Bab 1], [Rainer21: Bab 1]</w:t>
            </w:r>
          </w:p>
        </w:tc>
        <w:tc>
          <w:tcPr>
            <w:tcW w:w="1260" w:type="dxa"/>
            <w:tcBorders/>
          </w:tcPr>
          <w:p>
            <w:pPr>
              <w:pStyle w:val="normal1"/>
              <w:spacing w:lineRule="auto" w:line="252" w:before="40" w:after="40"/>
              <w:jc w:val="center"/>
              <w:rPr/>
            </w:pPr>
            <w:r>
              <w:rPr>
                <w:rFonts w:ascii="Calibri" w:hAnsi="Calibri"/>
                <w:b/>
                <w:color w:val="000000"/>
                <w:sz w:val="17"/>
              </w:rPr>
              <w:t>2.5%</w:t>
            </w:r>
          </w:p>
        </w:tc>
      </w:tr>
      <w:tr>
        <w:trPr/>
        <w:tc>
          <w:tcPr>
            <w:tcW w:w="547" w:type="dxa"/>
            <w:tcBorders/>
          </w:tcPr>
          <w:p>
            <w:pPr>
              <w:pStyle w:val="normal1"/>
              <w:spacing w:lineRule="auto" w:line="252" w:before="40" w:after="40"/>
              <w:jc w:val="center"/>
              <w:rPr/>
            </w:pPr>
            <w:r>
              <w:rPr>
                <w:rFonts w:ascii="Calibri" w:hAnsi="Calibri"/>
                <w:b/>
                <w:color w:val="000000"/>
                <w:sz w:val="17"/>
              </w:rPr>
              <w:t>2</w:t>
            </w:r>
          </w:p>
        </w:tc>
        <w:tc>
          <w:tcPr>
            <w:tcW w:w="2283" w:type="dxa"/>
            <w:tcBorders/>
          </w:tcPr>
          <w:p>
            <w:pPr>
              <w:pStyle w:val="normal1"/>
              <w:spacing w:lineRule="auto" w:line="252" w:before="40" w:after="40"/>
              <w:jc w:val="start"/>
              <w:rPr/>
            </w:pPr>
            <w:r>
              <w:rPr>
                <w:rFonts w:ascii="Calibri" w:hAnsi="Calibri"/>
                <w:b/>
                <w:color w:val="000000"/>
                <w:sz w:val="17"/>
              </w:rPr>
              <w:t>Sub-CPMK 1</w:t>
            </w:r>
          </w:p>
        </w:tc>
        <w:tc>
          <w:tcPr>
            <w:tcW w:w="1843" w:type="dxa"/>
            <w:tcBorders/>
          </w:tcPr>
          <w:p>
            <w:pPr>
              <w:pStyle w:val="normal1"/>
              <w:spacing w:lineRule="auto" w:line="252" w:before="40" w:after="40"/>
              <w:jc w:val="start"/>
              <w:rPr/>
            </w:pPr>
            <w:r>
              <w:rPr>
                <w:rFonts w:ascii="Calibri" w:hAnsi="Calibri"/>
                <w:b w:val="false"/>
                <w:color w:val="000000"/>
                <w:sz w:val="17"/>
              </w:rPr>
              <w:t>Ketepatan mengklasifikasikan sistem informasi berdasarkan tingkatan organisasi (operasional, manajerial, strategis) dan fungsi bisnis perusahaan.</w:t>
            </w:r>
          </w:p>
        </w:tc>
        <w:tc>
          <w:tcPr>
            <w:tcW w:w="1629" w:type="dxa"/>
            <w:tcBorders/>
          </w:tcPr>
          <w:p>
            <w:pPr>
              <w:pStyle w:val="normal1"/>
              <w:spacing w:lineRule="auto" w:line="252" w:before="40" w:after="40"/>
              <w:jc w:val="start"/>
              <w:rPr/>
            </w:pPr>
            <w:r>
              <w:rPr>
                <w:rFonts w:ascii="Calibri" w:hAnsi="Calibri"/>
                <w:b w:val="false"/>
                <w:color w:val="000000"/>
                <w:sz w:val="17"/>
              </w:rPr>
              <w:t>Teknik non-tes: Studi kasus pemetaan SI pada organisasi perbankan/ritel.</w:t>
              <w:br/>
              <w:t>Kriteria: Marking Scheme Analisis Sistem.</w:t>
            </w:r>
          </w:p>
        </w:tc>
        <w:tc>
          <w:tcPr>
            <w:tcW w:w="1677" w:type="dxa"/>
            <w:tcBorders/>
          </w:tcPr>
          <w:p>
            <w:pPr>
              <w:pStyle w:val="normal1"/>
              <w:spacing w:lineRule="auto" w:line="252" w:before="40" w:after="40"/>
              <w:jc w:val="start"/>
              <w:rPr/>
            </w:pPr>
            <w:r>
              <w:rPr>
                <w:rFonts w:ascii="Calibri" w:hAnsi="Calibri"/>
                <w:b w:val="false"/>
                <w:color w:val="000000"/>
                <w:sz w:val="17"/>
              </w:rPr>
              <w:t>Small Group Discussion: Analisis pembagian peran sistem TPS, MIS, DSS, dan ESS pada perusahaan multinasional.</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Forum diskusi daring mengenai peranan Chief Information Officer (CIO) modern.</w:t>
            </w:r>
          </w:p>
        </w:tc>
        <w:tc>
          <w:tcPr>
            <w:tcW w:w="3059" w:type="dxa"/>
            <w:tcBorders/>
          </w:tcPr>
          <w:p>
            <w:pPr>
              <w:pStyle w:val="normal1"/>
              <w:spacing w:lineRule="auto" w:line="252" w:before="40" w:after="40"/>
              <w:jc w:val="start"/>
              <w:rPr/>
            </w:pPr>
            <w:r>
              <w:rPr>
                <w:rFonts w:ascii="Calibri" w:hAnsi="Calibri"/>
                <w:b w:val="false"/>
                <w:color w:val="000000"/>
                <w:sz w:val="17"/>
              </w:rPr>
              <w:t>Sistem Informasi dalam Bisnis Global: TPS (Transaction Processing Systems), MIS (Management Information Systems), DSS, ESS, kolaborasi enterprise dan intranet/extranet.</w:t>
              <w:br/>
              <w:t>Pustaka: [Laudon22: Bab 2], [O'Brien17: Bab 2]</w:t>
            </w:r>
          </w:p>
        </w:tc>
        <w:tc>
          <w:tcPr>
            <w:tcW w:w="1260" w:type="dxa"/>
            <w:tcBorders/>
          </w:tcPr>
          <w:p>
            <w:pPr>
              <w:pStyle w:val="normal1"/>
              <w:spacing w:lineRule="auto" w:line="252" w:before="40" w:after="40"/>
              <w:jc w:val="center"/>
              <w:rPr/>
            </w:pPr>
            <w:r>
              <w:rPr>
                <w:rFonts w:ascii="Calibri" w:hAnsi="Calibri"/>
                <w:b/>
                <w:color w:val="000000"/>
                <w:sz w:val="17"/>
              </w:rPr>
              <w:t>2.5%</w:t>
            </w:r>
          </w:p>
        </w:tc>
      </w:tr>
      <w:tr>
        <w:trPr/>
        <w:tc>
          <w:tcPr>
            <w:tcW w:w="547" w:type="dxa"/>
            <w:tcBorders/>
          </w:tcPr>
          <w:p>
            <w:pPr>
              <w:pStyle w:val="normal1"/>
              <w:spacing w:lineRule="auto" w:line="252" w:before="40" w:after="40"/>
              <w:jc w:val="center"/>
              <w:rPr/>
            </w:pPr>
            <w:r>
              <w:rPr>
                <w:rFonts w:ascii="Calibri" w:hAnsi="Calibri"/>
                <w:b/>
                <w:color w:val="000000"/>
                <w:sz w:val="17"/>
              </w:rPr>
              <w:t>3</w:t>
            </w:r>
          </w:p>
        </w:tc>
        <w:tc>
          <w:tcPr>
            <w:tcW w:w="2283" w:type="dxa"/>
            <w:tcBorders/>
          </w:tcPr>
          <w:p>
            <w:pPr>
              <w:pStyle w:val="normal1"/>
              <w:spacing w:lineRule="auto" w:line="252" w:before="40" w:after="40"/>
              <w:jc w:val="start"/>
              <w:rPr/>
            </w:pPr>
            <w:r>
              <w:rPr>
                <w:rFonts w:ascii="Calibri" w:hAnsi="Calibri"/>
                <w:b/>
                <w:color w:val="000000"/>
                <w:sz w:val="17"/>
              </w:rPr>
              <w:t>Sub-CPMK 2</w:t>
            </w:r>
          </w:p>
        </w:tc>
        <w:tc>
          <w:tcPr>
            <w:tcW w:w="1843" w:type="dxa"/>
            <w:tcBorders/>
          </w:tcPr>
          <w:p>
            <w:pPr>
              <w:pStyle w:val="normal1"/>
              <w:spacing w:lineRule="auto" w:line="252" w:before="40" w:after="40"/>
              <w:jc w:val="start"/>
              <w:rPr/>
            </w:pPr>
            <w:r>
              <w:rPr>
                <w:rFonts w:ascii="Calibri" w:hAnsi="Calibri"/>
                <w:b w:val="false"/>
                <w:color w:val="000000"/>
                <w:sz w:val="17"/>
              </w:rPr>
              <w:t>Ketepatan menerapkan Model 5 Kekuatan Porter dan Model Rantai Nilai (Value Chain) untuk menganalisis keunggulan kompetitif bisnis berbasis TI.</w:t>
            </w:r>
          </w:p>
        </w:tc>
        <w:tc>
          <w:tcPr>
            <w:tcW w:w="1629" w:type="dxa"/>
            <w:tcBorders/>
          </w:tcPr>
          <w:p>
            <w:pPr>
              <w:pStyle w:val="normal1"/>
              <w:spacing w:lineRule="auto" w:line="252" w:before="40" w:after="40"/>
              <w:jc w:val="start"/>
              <w:rPr/>
            </w:pPr>
            <w:r>
              <w:rPr>
                <w:rFonts w:ascii="Calibri" w:hAnsi="Calibri"/>
                <w:b w:val="false"/>
                <w:color w:val="000000"/>
                <w:sz w:val="17"/>
              </w:rPr>
              <w:t>Teknik non-tes: Tugas-1 (Analisis Strategi Keunggulan Kompetitif Kasus Industri Nyata).</w:t>
              <w:br/>
              <w:t>Kriteria: Rubrik Analisis Kasus Bisnis Skala 1-5.</w:t>
            </w:r>
          </w:p>
        </w:tc>
        <w:tc>
          <w:tcPr>
            <w:tcW w:w="1677" w:type="dxa"/>
            <w:tcBorders/>
          </w:tcPr>
          <w:p>
            <w:pPr>
              <w:pStyle w:val="normal1"/>
              <w:spacing w:lineRule="auto" w:line="252" w:before="40" w:after="40"/>
              <w:jc w:val="start"/>
              <w:rPr/>
            </w:pPr>
            <w:r>
              <w:rPr>
                <w:rFonts w:ascii="Calibri" w:hAnsi="Calibri"/>
                <w:b w:val="false"/>
                <w:color w:val="000000"/>
                <w:sz w:val="17"/>
              </w:rPr>
              <w:t>Case Method: Bedah kasus keunggulan kompetitif perusahaan digital (studi kasus Amazon / GoTo / Netflix).</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Pengumpulan berkas Tugas-1 format PDF dan lembar refleksi kasus.</w:t>
            </w:r>
          </w:p>
        </w:tc>
        <w:tc>
          <w:tcPr>
            <w:tcW w:w="3059" w:type="dxa"/>
            <w:tcBorders/>
          </w:tcPr>
          <w:p>
            <w:pPr>
              <w:pStyle w:val="normal1"/>
              <w:spacing w:lineRule="auto" w:line="252" w:before="40" w:after="40"/>
              <w:jc w:val="start"/>
              <w:rPr/>
            </w:pPr>
            <w:r>
              <w:rPr>
                <w:rFonts w:ascii="Calibri" w:hAnsi="Calibri"/>
                <w:b w:val="false"/>
                <w:color w:val="000000"/>
                <w:sz w:val="17"/>
              </w:rPr>
              <w:t>Sistem Informasi Strategis &amp; Keunggulan Kompetitif: Model Kekuatan Kompetitif Michael Porter, strategi diferensiasi &amp; cost leadership, Value Chain Model (aktivitas utama &amp; pendukung).</w:t>
              <w:br/>
              <w:t>Pustaka: [Laudon22: Bab 3], [Turban21: Bab 2]</w:t>
            </w:r>
          </w:p>
        </w:tc>
        <w:tc>
          <w:tcPr>
            <w:tcW w:w="1260" w:type="dxa"/>
            <w:tcBorders/>
          </w:tcPr>
          <w:p>
            <w:pPr>
              <w:pStyle w:val="normal1"/>
              <w:spacing w:lineRule="auto" w:line="252" w:before="40" w:after="40"/>
              <w:jc w:val="center"/>
              <w:rPr/>
            </w:pPr>
            <w:r>
              <w:rPr>
                <w:rFonts w:ascii="Calibri" w:hAnsi="Calibri"/>
                <w:b/>
                <w:color w:val="000000"/>
                <w:sz w:val="17"/>
              </w:rPr>
              <w:t>5%</w:t>
            </w:r>
          </w:p>
        </w:tc>
      </w:tr>
      <w:tr>
        <w:trPr/>
        <w:tc>
          <w:tcPr>
            <w:tcW w:w="547" w:type="dxa"/>
            <w:tcBorders/>
          </w:tcPr>
          <w:p>
            <w:pPr>
              <w:pStyle w:val="normal1"/>
              <w:spacing w:lineRule="auto" w:line="252" w:before="40" w:after="40"/>
              <w:jc w:val="center"/>
              <w:rPr/>
            </w:pPr>
            <w:r>
              <w:rPr>
                <w:rFonts w:ascii="Calibri" w:hAnsi="Calibri"/>
                <w:b/>
                <w:color w:val="000000"/>
                <w:sz w:val="17"/>
              </w:rPr>
              <w:t>4</w:t>
            </w:r>
          </w:p>
        </w:tc>
        <w:tc>
          <w:tcPr>
            <w:tcW w:w="2283" w:type="dxa"/>
            <w:tcBorders/>
          </w:tcPr>
          <w:p>
            <w:pPr>
              <w:pStyle w:val="normal1"/>
              <w:spacing w:lineRule="auto" w:line="252" w:before="40" w:after="40"/>
              <w:jc w:val="start"/>
              <w:rPr/>
            </w:pPr>
            <w:r>
              <w:rPr>
                <w:rFonts w:ascii="Calibri" w:hAnsi="Calibri"/>
                <w:b/>
                <w:color w:val="000000"/>
                <w:sz w:val="17"/>
              </w:rPr>
              <w:t>Sub-CPMK 2</w:t>
            </w:r>
          </w:p>
        </w:tc>
        <w:tc>
          <w:tcPr>
            <w:tcW w:w="1843" w:type="dxa"/>
            <w:tcBorders/>
          </w:tcPr>
          <w:p>
            <w:pPr>
              <w:pStyle w:val="normal1"/>
              <w:spacing w:lineRule="auto" w:line="252" w:before="40" w:after="40"/>
              <w:jc w:val="start"/>
              <w:rPr/>
            </w:pPr>
            <w:r>
              <w:rPr>
                <w:rFonts w:ascii="Calibri" w:hAnsi="Calibri"/>
                <w:b w:val="false"/>
                <w:color w:val="000000"/>
                <w:sz w:val="17"/>
              </w:rPr>
              <w:t>Ketepatan mengidentifikasi dilema etika, tantangan privasi data konsumen era AI, serta kepatuhan hukum transaksi elektronik dan UU Perlindungan Data Pribadi (UU PDP).</w:t>
            </w:r>
          </w:p>
        </w:tc>
        <w:tc>
          <w:tcPr>
            <w:tcW w:w="1629" w:type="dxa"/>
            <w:tcBorders/>
          </w:tcPr>
          <w:p>
            <w:pPr>
              <w:pStyle w:val="normal1"/>
              <w:spacing w:lineRule="auto" w:line="252" w:before="40" w:after="40"/>
              <w:jc w:val="start"/>
              <w:rPr/>
            </w:pPr>
            <w:r>
              <w:rPr>
                <w:rFonts w:ascii="Calibri" w:hAnsi="Calibri"/>
                <w:b w:val="false"/>
                <w:color w:val="000000"/>
                <w:sz w:val="17"/>
              </w:rPr>
              <w:t>Teknik tes/non-tes: Kuis-1 Etika &amp; Regulasi Bisnis Digital.</w:t>
              <w:br/>
              <w:t>Kriteria: Pedoman Penskoran Kuis.</w:t>
            </w:r>
          </w:p>
        </w:tc>
        <w:tc>
          <w:tcPr>
            <w:tcW w:w="1677" w:type="dxa"/>
            <w:tcBorders/>
          </w:tcPr>
          <w:p>
            <w:pPr>
              <w:pStyle w:val="normal1"/>
              <w:spacing w:lineRule="auto" w:line="252" w:before="40" w:after="40"/>
              <w:jc w:val="start"/>
              <w:rPr/>
            </w:pPr>
            <w:r>
              <w:rPr>
                <w:rFonts w:ascii="Calibri" w:hAnsi="Calibri"/>
                <w:b w:val="false"/>
                <w:color w:val="000000"/>
                <w:sz w:val="17"/>
              </w:rPr>
              <w:t>Debat kelompok terstruktur mengenai privasi data, tracking perilaku konsumen, profiling iklan digital, dan etika algoritma.</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Mengerjakan Kuis-1 daring (analisis skenario pelanggaran privasi data).</w:t>
            </w:r>
          </w:p>
        </w:tc>
        <w:tc>
          <w:tcPr>
            <w:tcW w:w="3059" w:type="dxa"/>
            <w:tcBorders/>
          </w:tcPr>
          <w:p>
            <w:pPr>
              <w:pStyle w:val="normal1"/>
              <w:spacing w:lineRule="auto" w:line="252" w:before="40" w:after="40"/>
              <w:jc w:val="start"/>
              <w:rPr/>
            </w:pPr>
            <w:r>
              <w:rPr>
                <w:rFonts w:ascii="Calibri" w:hAnsi="Calibri"/>
                <w:b w:val="false"/>
                <w:color w:val="000000"/>
                <w:sz w:val="17"/>
              </w:rPr>
              <w:t>Etika, Sosial, dan Regulasi Sistem Bisnis: 5 dimensi moral TI, hak kepemilikan intelektual (HAKI), privasi data konsumen, regulasi UU PDP Indonesia, dan tata kelola etis data.</w:t>
              <w:br/>
              <w:t>Pustaka: [Laudon22: Bab 4], [Rainer21: Bab 3]</w:t>
            </w:r>
          </w:p>
        </w:tc>
        <w:tc>
          <w:tcPr>
            <w:tcW w:w="1260" w:type="dxa"/>
            <w:tcBorders/>
          </w:tcPr>
          <w:p>
            <w:pPr>
              <w:pStyle w:val="normal1"/>
              <w:spacing w:lineRule="auto" w:line="252" w:before="40" w:after="40"/>
              <w:jc w:val="center"/>
              <w:rPr/>
            </w:pPr>
            <w:r>
              <w:rPr>
                <w:rFonts w:ascii="Calibri" w:hAnsi="Calibri"/>
                <w:b/>
                <w:color w:val="000000"/>
                <w:sz w:val="17"/>
              </w:rPr>
              <w:t>5%</w:t>
            </w:r>
          </w:p>
        </w:tc>
      </w:tr>
      <w:tr>
        <w:trPr/>
        <w:tc>
          <w:tcPr>
            <w:tcW w:w="547" w:type="dxa"/>
            <w:tcBorders/>
          </w:tcPr>
          <w:p>
            <w:pPr>
              <w:pStyle w:val="normal1"/>
              <w:spacing w:lineRule="auto" w:line="252" w:before="40" w:after="40"/>
              <w:jc w:val="center"/>
              <w:rPr/>
            </w:pPr>
            <w:r>
              <w:rPr>
                <w:rFonts w:ascii="Calibri" w:hAnsi="Calibri"/>
                <w:b/>
                <w:color w:val="000000"/>
                <w:sz w:val="17"/>
              </w:rPr>
              <w:t>5</w:t>
            </w:r>
          </w:p>
        </w:tc>
        <w:tc>
          <w:tcPr>
            <w:tcW w:w="2283" w:type="dxa"/>
            <w:tcBorders/>
          </w:tcPr>
          <w:p>
            <w:pPr>
              <w:pStyle w:val="normal1"/>
              <w:spacing w:lineRule="auto" w:line="252" w:before="40" w:after="40"/>
              <w:jc w:val="start"/>
              <w:rPr/>
            </w:pPr>
            <w:r>
              <w:rPr>
                <w:rFonts w:ascii="Calibri" w:hAnsi="Calibri"/>
                <w:b/>
                <w:color w:val="000000"/>
                <w:sz w:val="17"/>
              </w:rPr>
              <w:t>Sub-CPMK 3</w:t>
            </w:r>
          </w:p>
        </w:tc>
        <w:tc>
          <w:tcPr>
            <w:tcW w:w="1843" w:type="dxa"/>
            <w:tcBorders/>
          </w:tcPr>
          <w:p>
            <w:pPr>
              <w:pStyle w:val="normal1"/>
              <w:spacing w:lineRule="auto" w:line="252" w:before="40" w:after="40"/>
              <w:jc w:val="start"/>
              <w:rPr/>
            </w:pPr>
            <w:r>
              <w:rPr>
                <w:rFonts w:ascii="Calibri" w:hAnsi="Calibri"/>
                <w:b w:val="false"/>
                <w:color w:val="000000"/>
                <w:sz w:val="17"/>
              </w:rPr>
              <w:t>Ketepatan mengidentifikasi proses bisnis fungsional dan merancang diagram pemodelan proses bisnis menggunakan notasi standar BPMN 2.0.</w:t>
            </w:r>
          </w:p>
        </w:tc>
        <w:tc>
          <w:tcPr>
            <w:tcW w:w="1629" w:type="dxa"/>
            <w:tcBorders/>
          </w:tcPr>
          <w:p>
            <w:pPr>
              <w:pStyle w:val="normal1"/>
              <w:spacing w:lineRule="auto" w:line="252" w:before="40" w:after="40"/>
              <w:jc w:val="start"/>
              <w:rPr/>
            </w:pPr>
            <w:r>
              <w:rPr>
                <w:rFonts w:ascii="Calibri" w:hAnsi="Calibri"/>
                <w:b w:val="false"/>
                <w:color w:val="000000"/>
                <w:sz w:val="17"/>
              </w:rPr>
              <w:t>Teknik non-tes: Praktik laboratorium pemodelan proses bisnis dengan tools CASE (Bizagi / Camunda / Draw.io).</w:t>
              <w:br/>
              <w:t>Kriteria: Rubrik Pemodelan BPMN.</w:t>
            </w:r>
          </w:p>
        </w:tc>
        <w:tc>
          <w:tcPr>
            <w:tcW w:w="1677" w:type="dxa"/>
            <w:tcBorders/>
          </w:tcPr>
          <w:p>
            <w:pPr>
              <w:pStyle w:val="normal1"/>
              <w:spacing w:lineRule="auto" w:line="252" w:before="40" w:after="40"/>
              <w:jc w:val="start"/>
              <w:rPr/>
            </w:pPr>
            <w:r>
              <w:rPr>
                <w:rFonts w:ascii="Calibri" w:hAnsi="Calibri"/>
                <w:b w:val="false"/>
                <w:color w:val="000000"/>
                <w:sz w:val="17"/>
              </w:rPr>
              <w:t>Praktik laboratorium komputer: Pemodelan proses bisnis *as-is* dan *to-be* untuk proses pengadaan dan penjualan ritel.</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Mengunggah berkas diagram BPMN (format .bpmn dan .png) dan catatan perbaikan.</w:t>
            </w:r>
          </w:p>
        </w:tc>
        <w:tc>
          <w:tcPr>
            <w:tcW w:w="3059" w:type="dxa"/>
            <w:tcBorders/>
          </w:tcPr>
          <w:p>
            <w:pPr>
              <w:pStyle w:val="normal1"/>
              <w:spacing w:lineRule="auto" w:line="252" w:before="40" w:after="40"/>
              <w:jc w:val="start"/>
              <w:rPr/>
            </w:pPr>
            <w:r>
              <w:rPr>
                <w:rFonts w:ascii="Calibri" w:hAnsi="Calibri"/>
                <w:b w:val="false"/>
                <w:color w:val="000000"/>
                <w:sz w:val="17"/>
              </w:rPr>
              <w:t>Business Process Modeling &amp; Management: Konsep proses bisnis, Business Process Reengineering (BPR), notasi BPMN 2.0 (Events, Activities, Gateways, Pools, Swimlanes, Data Objects).</w:t>
              <w:br/>
              <w:t>Pustaka: [Weske19: Bab 1-3], [Laudon22: Bab 2]</w:t>
            </w:r>
          </w:p>
        </w:tc>
        <w:tc>
          <w:tcPr>
            <w:tcW w:w="1260" w:type="dxa"/>
            <w:tcBorders/>
          </w:tcPr>
          <w:p>
            <w:pPr>
              <w:pStyle w:val="normal1"/>
              <w:spacing w:lineRule="auto" w:line="252" w:before="40" w:after="40"/>
              <w:jc w:val="center"/>
              <w:rPr/>
            </w:pPr>
            <w:r>
              <w:rPr>
                <w:rFonts w:ascii="Calibri" w:hAnsi="Calibri"/>
                <w:b/>
                <w:color w:val="000000"/>
                <w:sz w:val="17"/>
              </w:rPr>
              <w:t>5%</w:t>
            </w:r>
          </w:p>
        </w:tc>
      </w:tr>
      <w:tr>
        <w:trPr/>
        <w:tc>
          <w:tcPr>
            <w:tcW w:w="547" w:type="dxa"/>
            <w:tcBorders/>
          </w:tcPr>
          <w:p>
            <w:pPr>
              <w:pStyle w:val="normal1"/>
              <w:spacing w:lineRule="auto" w:line="252" w:before="40" w:after="40"/>
              <w:jc w:val="center"/>
              <w:rPr/>
            </w:pPr>
            <w:r>
              <w:rPr>
                <w:rFonts w:ascii="Calibri" w:hAnsi="Calibri"/>
                <w:b/>
                <w:color w:val="000000"/>
                <w:sz w:val="17"/>
              </w:rPr>
              <w:t>6</w:t>
            </w:r>
          </w:p>
        </w:tc>
        <w:tc>
          <w:tcPr>
            <w:tcW w:w="2283" w:type="dxa"/>
            <w:tcBorders/>
          </w:tcPr>
          <w:p>
            <w:pPr>
              <w:pStyle w:val="normal1"/>
              <w:spacing w:lineRule="auto" w:line="252" w:before="40" w:after="40"/>
              <w:jc w:val="start"/>
              <w:rPr/>
            </w:pPr>
            <w:r>
              <w:rPr>
                <w:rFonts w:ascii="Calibri" w:hAnsi="Calibri"/>
                <w:b/>
                <w:color w:val="000000"/>
                <w:sz w:val="17"/>
              </w:rPr>
              <w:t>Sub-CPMK 3</w:t>
            </w:r>
          </w:p>
        </w:tc>
        <w:tc>
          <w:tcPr>
            <w:tcW w:w="1843" w:type="dxa"/>
            <w:tcBorders/>
          </w:tcPr>
          <w:p>
            <w:pPr>
              <w:pStyle w:val="normal1"/>
              <w:spacing w:lineRule="auto" w:line="252" w:before="40" w:after="40"/>
              <w:jc w:val="start"/>
              <w:rPr/>
            </w:pPr>
            <w:r>
              <w:rPr>
                <w:rFonts w:ascii="Calibri" w:hAnsi="Calibri"/>
                <w:b w:val="false"/>
                <w:color w:val="000000"/>
                <w:sz w:val="17"/>
              </w:rPr>
              <w:t>Ketepatan menganalisis bottleneck alur kerja, merancang optimasi proses bisnis (*Business Process Improvement*), dan menyusun spesifikasi kebutuhan sistem baru.</w:t>
            </w:r>
          </w:p>
        </w:tc>
        <w:tc>
          <w:tcPr>
            <w:tcW w:w="1629" w:type="dxa"/>
            <w:tcBorders/>
          </w:tcPr>
          <w:p>
            <w:pPr>
              <w:pStyle w:val="normal1"/>
              <w:spacing w:lineRule="auto" w:line="252" w:before="40" w:after="40"/>
              <w:jc w:val="start"/>
              <w:rPr/>
            </w:pPr>
            <w:r>
              <w:rPr>
                <w:rFonts w:ascii="Calibri" w:hAnsi="Calibri"/>
                <w:b w:val="false"/>
                <w:color w:val="000000"/>
                <w:sz w:val="17"/>
              </w:rPr>
              <w:t>Teknik non-tes: Tugas-2 (Pemodelan Proses Bisnis BPMN &amp; Analisis Kebutuhan Sistem Enterprise).</w:t>
              <w:br/>
              <w:t>Kriteria: Rubrik Perancangan Proses Bisnis Skala 1-5.</w:t>
            </w:r>
          </w:p>
        </w:tc>
        <w:tc>
          <w:tcPr>
            <w:tcW w:w="1677" w:type="dxa"/>
            <w:tcBorders/>
          </w:tcPr>
          <w:p>
            <w:pPr>
              <w:pStyle w:val="normal1"/>
              <w:spacing w:lineRule="auto" w:line="252" w:before="40" w:after="40"/>
              <w:jc w:val="start"/>
              <w:rPr/>
            </w:pPr>
            <w:r>
              <w:rPr>
                <w:rFonts w:ascii="Calibri" w:hAnsi="Calibri"/>
                <w:b w:val="false"/>
                <w:color w:val="000000"/>
                <w:sz w:val="17"/>
              </w:rPr>
              <w:t>Workshop analisis inefisiensi alur bisnis dan perancangan alur proses otomatisasi terpadu.</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Pengumpulan laporan Tugas-2 (Dokumen Analisis Proses Bisnis &amp; Diagram BPMN).</w:t>
            </w:r>
          </w:p>
        </w:tc>
        <w:tc>
          <w:tcPr>
            <w:tcW w:w="3059" w:type="dxa"/>
            <w:tcBorders/>
          </w:tcPr>
          <w:p>
            <w:pPr>
              <w:pStyle w:val="normal1"/>
              <w:spacing w:lineRule="auto" w:line="252" w:before="40" w:after="40"/>
              <w:jc w:val="start"/>
              <w:rPr/>
            </w:pPr>
            <w:r>
              <w:rPr>
                <w:rFonts w:ascii="Calibri" w:hAnsi="Calibri"/>
                <w:b w:val="false"/>
                <w:color w:val="000000"/>
                <w:sz w:val="17"/>
              </w:rPr>
              <w:t>Business Process Optimization: Analisis siklus waktu, eliminasi aktivitas non-value-added, integrasi otomatisasi proses bisnis, dan dokumentasi spesifikasi proses bisnis.</w:t>
              <w:br/>
              <w:t>Pustaka: [Weske19: Bab 4-6], [Turban21: Bab 8]</w:t>
            </w:r>
          </w:p>
        </w:tc>
        <w:tc>
          <w:tcPr>
            <w:tcW w:w="1260" w:type="dxa"/>
            <w:tcBorders/>
          </w:tcPr>
          <w:p>
            <w:pPr>
              <w:pStyle w:val="normal1"/>
              <w:spacing w:lineRule="auto" w:line="252" w:before="40" w:after="40"/>
              <w:jc w:val="center"/>
              <w:rPr/>
            </w:pPr>
            <w:r>
              <w:rPr>
                <w:rFonts w:ascii="Calibri" w:hAnsi="Calibri"/>
                <w:b/>
                <w:color w:val="000000"/>
                <w:sz w:val="17"/>
              </w:rPr>
              <w:t>5%</w:t>
            </w:r>
          </w:p>
        </w:tc>
      </w:tr>
      <w:tr>
        <w:trPr/>
        <w:tc>
          <w:tcPr>
            <w:tcW w:w="547" w:type="dxa"/>
            <w:tcBorders/>
          </w:tcPr>
          <w:p>
            <w:pPr>
              <w:pStyle w:val="normal1"/>
              <w:spacing w:lineRule="auto" w:line="252" w:before="40" w:after="40"/>
              <w:jc w:val="center"/>
              <w:rPr/>
            </w:pPr>
            <w:r>
              <w:rPr>
                <w:rFonts w:ascii="Calibri" w:hAnsi="Calibri"/>
                <w:b/>
                <w:color w:val="000000"/>
                <w:sz w:val="17"/>
              </w:rPr>
              <w:t>7</w:t>
            </w:r>
          </w:p>
        </w:tc>
        <w:tc>
          <w:tcPr>
            <w:tcW w:w="2283" w:type="dxa"/>
            <w:tcBorders/>
          </w:tcPr>
          <w:p>
            <w:pPr>
              <w:pStyle w:val="normal1"/>
              <w:spacing w:lineRule="auto" w:line="252" w:before="40" w:after="40"/>
              <w:jc w:val="start"/>
              <w:rPr/>
            </w:pPr>
            <w:r>
              <w:rPr>
                <w:rFonts w:ascii="Calibri" w:hAnsi="Calibri"/>
                <w:b/>
                <w:color w:val="000000"/>
                <w:sz w:val="17"/>
              </w:rPr>
              <w:t>Sub-CPMK 4</w:t>
            </w:r>
          </w:p>
        </w:tc>
        <w:tc>
          <w:tcPr>
            <w:tcW w:w="1843" w:type="dxa"/>
            <w:tcBorders/>
          </w:tcPr>
          <w:p>
            <w:pPr>
              <w:pStyle w:val="normal1"/>
              <w:spacing w:lineRule="auto" w:line="252" w:before="40" w:after="40"/>
              <w:jc w:val="start"/>
              <w:rPr/>
            </w:pPr>
            <w:r>
              <w:rPr>
                <w:rFonts w:ascii="Calibri" w:hAnsi="Calibri"/>
                <w:b w:val="false"/>
                <w:color w:val="000000"/>
                <w:sz w:val="17"/>
              </w:rPr>
              <w:t>Ketepatan membedah arsitektur Enterprise Resource Planning (ERP), integrasi Supply Chain Management (SCM), dan Customer Relationship Management (CRM).</w:t>
            </w:r>
          </w:p>
        </w:tc>
        <w:tc>
          <w:tcPr>
            <w:tcW w:w="1629" w:type="dxa"/>
            <w:tcBorders/>
          </w:tcPr>
          <w:p>
            <w:pPr>
              <w:pStyle w:val="normal1"/>
              <w:spacing w:lineRule="auto" w:line="252" w:before="40" w:after="40"/>
              <w:jc w:val="start"/>
              <w:rPr/>
            </w:pPr>
            <w:r>
              <w:rPr>
                <w:rFonts w:ascii="Calibri" w:hAnsi="Calibri"/>
                <w:b w:val="false"/>
                <w:color w:val="000000"/>
                <w:sz w:val="17"/>
              </w:rPr>
              <w:t>Teknik non-tes: Observasi demonstrasi modul ERP Open Source (Odoo ERP) &amp; evaluasi studi kasus.</w:t>
              <w:br/>
              <w:t>Kriteria: Marking Scheme Sistem Enterprise.</w:t>
            </w:r>
          </w:p>
        </w:tc>
        <w:tc>
          <w:tcPr>
            <w:tcW w:w="1677" w:type="dxa"/>
            <w:tcBorders/>
          </w:tcPr>
          <w:p>
            <w:pPr>
              <w:pStyle w:val="normal1"/>
              <w:spacing w:lineRule="auto" w:line="252" w:before="40" w:after="40"/>
              <w:jc w:val="start"/>
              <w:rPr/>
            </w:pPr>
            <w:r>
              <w:rPr>
                <w:rFonts w:ascii="Calibri" w:hAnsi="Calibri"/>
                <w:b w:val="false"/>
                <w:color w:val="000000"/>
                <w:sz w:val="17"/>
              </w:rPr>
              <w:t>Tutorial dan hands-on lab simulasi sistem ERP (Odoo): Modul Sales, Purchase, Inventory, dan Accounting.</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Eksplorasi mandiri instance cloud Odoo dan penyelesaian modul latihan inventori.</w:t>
            </w:r>
          </w:p>
        </w:tc>
        <w:tc>
          <w:tcPr>
            <w:tcW w:w="3059" w:type="dxa"/>
            <w:tcBorders/>
          </w:tcPr>
          <w:p>
            <w:pPr>
              <w:pStyle w:val="normal1"/>
              <w:spacing w:lineRule="auto" w:line="252" w:before="40" w:after="40"/>
              <w:jc w:val="start"/>
              <w:rPr/>
            </w:pPr>
            <w:r>
              <w:rPr>
                <w:rFonts w:ascii="Calibri" w:hAnsi="Calibri"/>
                <w:b w:val="false"/>
                <w:color w:val="000000"/>
                <w:sz w:val="17"/>
              </w:rPr>
              <w:t>Enterprise Systems (ERP, SCM, CRM): Arsitektur ERP, database enterprise terpusat, integrasi supply chain upstream-downstream, bullwhip effect, modul operasional dan analitis CRM.</w:t>
              <w:br/>
              <w:t>Pustaka: [Laudon22: Bab 9], [Rainer21: Bab 10-11]</w:t>
            </w:r>
          </w:p>
        </w:tc>
        <w:tc>
          <w:tcPr>
            <w:tcW w:w="1260" w:type="dxa"/>
            <w:tcBorders/>
          </w:tcPr>
          <w:p>
            <w:pPr>
              <w:pStyle w:val="normal1"/>
              <w:spacing w:lineRule="auto" w:line="252" w:before="40" w:after="40"/>
              <w:jc w:val="center"/>
              <w:rPr/>
            </w:pPr>
            <w:r>
              <w:rPr>
                <w:rFonts w:ascii="Calibri" w:hAnsi="Calibri"/>
                <w:b/>
                <w:color w:val="000000"/>
                <w:sz w:val="17"/>
              </w:rPr>
              <w:t>10%</w:t>
            </w:r>
          </w:p>
        </w:tc>
      </w:tr>
      <w:tr>
        <w:trPr/>
        <w:tc>
          <w:tcPr>
            <w:tcW w:w="547" w:type="dxa"/>
            <w:tcBorders/>
            <w:shd w:fill="FFF2CC" w:val="clear"/>
          </w:tcPr>
          <w:p>
            <w:pPr>
              <w:pStyle w:val="normal1"/>
              <w:spacing w:lineRule="auto" w:line="252" w:before="40" w:after="40"/>
              <w:jc w:val="center"/>
              <w:rPr/>
            </w:pPr>
            <w:r>
              <w:rPr>
                <w:rFonts w:ascii="Calibri" w:hAnsi="Calibri"/>
                <w:b/>
                <w:color w:val="000000"/>
                <w:sz w:val="17"/>
              </w:rPr>
              <w:t>8</w:t>
            </w:r>
          </w:p>
        </w:tc>
        <w:tc>
          <w:tcPr>
            <w:tcW w:w="2283" w:type="dxa"/>
            <w:tcBorders/>
            <w:shd w:fill="FFF2CC" w:val="clear"/>
          </w:tcPr>
          <w:p>
            <w:pPr>
              <w:pStyle w:val="normal1"/>
              <w:spacing w:lineRule="auto" w:line="252" w:before="40" w:after="40"/>
              <w:jc w:val="start"/>
              <w:rPr/>
            </w:pPr>
            <w:r>
              <w:rPr>
                <w:rFonts w:ascii="Calibri" w:hAnsi="Calibri"/>
                <w:b/>
                <w:color w:val="000000"/>
                <w:sz w:val="17"/>
              </w:rPr>
              <w:t>Sub-CPMK 1, 2, 3, 4</w:t>
            </w:r>
          </w:p>
        </w:tc>
        <w:tc>
          <w:tcPr>
            <w:tcW w:w="1843" w:type="dxa"/>
            <w:tcBorders/>
            <w:shd w:fill="FFF2CC" w:val="clear"/>
          </w:tcPr>
          <w:p>
            <w:pPr>
              <w:pStyle w:val="normal1"/>
              <w:spacing w:lineRule="auto" w:line="252" w:before="40" w:after="40"/>
              <w:jc w:val="start"/>
              <w:rPr/>
            </w:pPr>
            <w:r>
              <w:rPr>
                <w:rFonts w:ascii="Calibri" w:hAnsi="Calibri"/>
                <w:b w:val="false"/>
                <w:color w:val="000000"/>
                <w:sz w:val="17"/>
              </w:rPr>
              <w:t>Penguasaan konsep strategis sistem informasi bisnis, model Porter, analisis etika regulasi, pemodelan BPMN, dan arsitektur sistem enterprise terpadu.</w:t>
            </w:r>
          </w:p>
        </w:tc>
        <w:tc>
          <w:tcPr>
            <w:tcW w:w="1629" w:type="dxa"/>
            <w:tcBorders/>
            <w:shd w:fill="FFF2CC" w:val="clear"/>
          </w:tcPr>
          <w:p>
            <w:pPr>
              <w:pStyle w:val="normal1"/>
              <w:spacing w:lineRule="auto" w:line="252" w:before="40" w:after="40"/>
              <w:jc w:val="start"/>
              <w:rPr/>
            </w:pPr>
            <w:r>
              <w:rPr>
                <w:rFonts w:ascii="Calibri" w:hAnsi="Calibri"/>
                <w:b w:val="false"/>
                <w:color w:val="000000"/>
                <w:sz w:val="17"/>
              </w:rPr>
              <w:t>Teknik Tes: Ujian Tertulis Tengah Semester (UTS) berbentuk soal analisis studi kasus komprehensif.</w:t>
              <w:br/>
              <w:t>Kriteria: Pedoman Penskoran Kunci Jawaban UTS.</w:t>
            </w:r>
          </w:p>
        </w:tc>
        <w:tc>
          <w:tcPr>
            <w:tcW w:w="1677" w:type="dxa"/>
            <w:tcBorders/>
            <w:shd w:fill="FFF2CC" w:val="clear"/>
          </w:tcPr>
          <w:p>
            <w:pPr>
              <w:pStyle w:val="normal1"/>
              <w:spacing w:lineRule="auto" w:line="252" w:before="40" w:after="40"/>
              <w:jc w:val="start"/>
              <w:rPr/>
            </w:pPr>
            <w:r>
              <w:rPr>
                <w:rFonts w:ascii="Calibri" w:hAnsi="Calibri"/>
                <w:b w:val="false"/>
                <w:color w:val="000000"/>
                <w:sz w:val="17"/>
              </w:rPr>
              <w:t>Evaluasi Tengah Semester / Ujian Tertulis Terjadwal di Ruang Kelas.</w:t>
              <w:br/>
              <w:t>[PB: 1x(3x50')]</w:t>
            </w:r>
          </w:p>
        </w:tc>
        <w:tc>
          <w:tcPr>
            <w:tcW w:w="1997" w:type="dxa"/>
            <w:tcBorders/>
            <w:shd w:fill="FFF2CC" w:val="clear"/>
          </w:tcPr>
          <w:p>
            <w:pPr>
              <w:pStyle w:val="normal1"/>
              <w:spacing w:lineRule="auto" w:line="252" w:before="40" w:after="40"/>
              <w:jc w:val="start"/>
              <w:rPr/>
            </w:pPr>
            <w:r>
              <w:rPr>
                <w:rFonts w:ascii="Calibri" w:hAnsi="Calibri"/>
                <w:b w:val="false"/>
                <w:color w:val="000000"/>
                <w:sz w:val="17"/>
              </w:rPr>
              <w:t>LMS Unirow: Pengumpulan arsip jawaban dan berita acara pelaksanaan UTS.</w:t>
            </w:r>
          </w:p>
        </w:tc>
        <w:tc>
          <w:tcPr>
            <w:tcW w:w="3059" w:type="dxa"/>
            <w:tcBorders/>
            <w:shd w:fill="FFF2CC" w:val="clear"/>
          </w:tcPr>
          <w:p>
            <w:pPr>
              <w:pStyle w:val="normal1"/>
              <w:spacing w:lineRule="auto" w:line="252" w:before="40" w:after="40"/>
              <w:jc w:val="start"/>
              <w:rPr/>
            </w:pPr>
            <w:r>
              <w:rPr>
                <w:rFonts w:ascii="Calibri" w:hAnsi="Calibri"/>
                <w:b w:val="false"/>
                <w:color w:val="000000"/>
                <w:sz w:val="17"/>
              </w:rPr>
              <w:t>Seluruh Materi Pertemuan 1 s.d. 7 (Pengantar SI Bisnis, Keunggulan Kompetitif Porter, Etika &amp; Regulasi, BPMN, dan Sistem Enterprise ERP/SCM/CRM).</w:t>
              <w:br/>
              <w:t>Pustaka: [Laudon22], [Rainer21], [Weske19]</w:t>
            </w:r>
          </w:p>
        </w:tc>
        <w:tc>
          <w:tcPr>
            <w:tcW w:w="1260" w:type="dxa"/>
            <w:tcBorders/>
            <w:shd w:fill="FFF2CC" w:val="clear"/>
          </w:tcPr>
          <w:p>
            <w:pPr>
              <w:pStyle w:val="normal1"/>
              <w:spacing w:lineRule="auto" w:line="252" w:before="40" w:after="40"/>
              <w:jc w:val="center"/>
              <w:rPr/>
            </w:pPr>
            <w:r>
              <w:rPr>
                <w:rFonts w:ascii="Calibri" w:hAnsi="Calibri"/>
                <w:b/>
                <w:color w:val="000000"/>
                <w:sz w:val="17"/>
              </w:rPr>
              <w:t>15%</w:t>
            </w:r>
          </w:p>
        </w:tc>
      </w:tr>
      <w:tr>
        <w:trPr/>
        <w:tc>
          <w:tcPr>
            <w:tcW w:w="547" w:type="dxa"/>
            <w:tcBorders/>
          </w:tcPr>
          <w:p>
            <w:pPr>
              <w:pStyle w:val="normal1"/>
              <w:spacing w:lineRule="auto" w:line="252" w:before="40" w:after="40"/>
              <w:jc w:val="center"/>
              <w:rPr/>
            </w:pPr>
            <w:r>
              <w:rPr>
                <w:rFonts w:ascii="Calibri" w:hAnsi="Calibri"/>
                <w:b/>
                <w:color w:val="000000"/>
                <w:sz w:val="17"/>
              </w:rPr>
              <w:t>9</w:t>
            </w:r>
          </w:p>
        </w:tc>
        <w:tc>
          <w:tcPr>
            <w:tcW w:w="2283" w:type="dxa"/>
            <w:tcBorders/>
          </w:tcPr>
          <w:p>
            <w:pPr>
              <w:pStyle w:val="normal1"/>
              <w:spacing w:lineRule="auto" w:line="252" w:before="40" w:after="40"/>
              <w:jc w:val="start"/>
              <w:rPr/>
            </w:pPr>
            <w:r>
              <w:rPr>
                <w:rFonts w:ascii="Calibri" w:hAnsi="Calibri"/>
                <w:b/>
                <w:color w:val="000000"/>
                <w:sz w:val="17"/>
              </w:rPr>
              <w:t>Sub-CPMK 5</w:t>
            </w:r>
          </w:p>
        </w:tc>
        <w:tc>
          <w:tcPr>
            <w:tcW w:w="1843" w:type="dxa"/>
            <w:tcBorders/>
          </w:tcPr>
          <w:p>
            <w:pPr>
              <w:pStyle w:val="normal1"/>
              <w:spacing w:lineRule="auto" w:line="252" w:before="40" w:after="40"/>
              <w:jc w:val="start"/>
              <w:rPr/>
            </w:pPr>
            <w:r>
              <w:rPr>
                <w:rFonts w:ascii="Calibri" w:hAnsi="Calibri"/>
                <w:b w:val="false"/>
                <w:color w:val="000000"/>
                <w:sz w:val="17"/>
              </w:rPr>
              <w:t>Ketepatan membedakan model bisnis e-commerce (B2B, B2C, C2C), revenue model digital, arsitektur marketplace, dan mekanisme digital advertising.</w:t>
            </w:r>
          </w:p>
        </w:tc>
        <w:tc>
          <w:tcPr>
            <w:tcW w:w="1629" w:type="dxa"/>
            <w:tcBorders/>
          </w:tcPr>
          <w:p>
            <w:pPr>
              <w:pStyle w:val="normal1"/>
              <w:spacing w:lineRule="auto" w:line="252" w:before="40" w:after="40"/>
              <w:jc w:val="start"/>
              <w:rPr/>
            </w:pPr>
            <w:r>
              <w:rPr>
                <w:rFonts w:ascii="Calibri" w:hAnsi="Calibri"/>
                <w:b w:val="false"/>
                <w:color w:val="000000"/>
                <w:sz w:val="17"/>
              </w:rPr>
              <w:t>Teknik non-tes: Evaluasi komparatif platform e-commerce dan model pendapatan digital.</w:t>
              <w:br/>
              <w:t>Kriteria: Marking Scheme E-Commerce.</w:t>
            </w:r>
          </w:p>
        </w:tc>
        <w:tc>
          <w:tcPr>
            <w:tcW w:w="1677" w:type="dxa"/>
            <w:tcBorders/>
          </w:tcPr>
          <w:p>
            <w:pPr>
              <w:pStyle w:val="normal1"/>
              <w:spacing w:lineRule="auto" w:line="252" w:before="40" w:after="40"/>
              <w:jc w:val="start"/>
              <w:rPr/>
            </w:pPr>
            <w:r>
              <w:rPr>
                <w:rFonts w:ascii="Calibri" w:hAnsi="Calibri"/>
                <w:b w:val="false"/>
                <w:color w:val="000000"/>
                <w:sz w:val="17"/>
              </w:rPr>
              <w:t>Diskusi kelompok terarah: Analisis struktur bisnis platform e-commerce nasional dan global (Tokopedia, Shopee, Alibaba).</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Forum diskusi mengenai tren social commerce (TikTok Shop) dan perilaku konsumen digital.</w:t>
            </w:r>
          </w:p>
        </w:tc>
        <w:tc>
          <w:tcPr>
            <w:tcW w:w="3059" w:type="dxa"/>
            <w:tcBorders/>
          </w:tcPr>
          <w:p>
            <w:pPr>
              <w:pStyle w:val="normal1"/>
              <w:spacing w:lineRule="auto" w:line="252" w:before="40" w:after="40"/>
              <w:jc w:val="start"/>
              <w:rPr/>
            </w:pPr>
            <w:r>
              <w:rPr>
                <w:rFonts w:ascii="Calibri" w:hAnsi="Calibri"/>
                <w:b w:val="false"/>
                <w:color w:val="000000"/>
                <w:sz w:val="17"/>
              </w:rPr>
              <w:t>E-Commerce: Digital Markets &amp; Digital Goods: Karakteristik pasar digital, perbandingan B2B/B2C/C2C, m-commerce, revenue models (iklan, langganan, transaksi, afiliasi), social commerce.</w:t>
              <w:br/>
              <w:t>Pustaka: [Laudon22: Bab 10], [Turban21: Bab 7]</w:t>
            </w:r>
          </w:p>
        </w:tc>
        <w:tc>
          <w:tcPr>
            <w:tcW w:w="1260" w:type="dxa"/>
            <w:tcBorders/>
          </w:tcPr>
          <w:p>
            <w:pPr>
              <w:pStyle w:val="normal1"/>
              <w:spacing w:lineRule="auto" w:line="252" w:before="40" w:after="40"/>
              <w:jc w:val="center"/>
              <w:rPr/>
            </w:pPr>
            <w:r>
              <w:rPr>
                <w:rFonts w:ascii="Calibri" w:hAnsi="Calibri"/>
                <w:b/>
                <w:color w:val="000000"/>
                <w:sz w:val="17"/>
              </w:rPr>
              <w:t>5%</w:t>
            </w:r>
          </w:p>
        </w:tc>
      </w:tr>
      <w:tr>
        <w:trPr/>
        <w:tc>
          <w:tcPr>
            <w:tcW w:w="547" w:type="dxa"/>
            <w:tcBorders/>
          </w:tcPr>
          <w:p>
            <w:pPr>
              <w:pStyle w:val="normal1"/>
              <w:spacing w:lineRule="auto" w:line="252" w:before="40" w:after="40"/>
              <w:jc w:val="center"/>
              <w:rPr/>
            </w:pPr>
            <w:r>
              <w:rPr>
                <w:rFonts w:ascii="Calibri" w:hAnsi="Calibri"/>
                <w:b/>
                <w:color w:val="000000"/>
                <w:sz w:val="17"/>
              </w:rPr>
              <w:t>10</w:t>
            </w:r>
          </w:p>
        </w:tc>
        <w:tc>
          <w:tcPr>
            <w:tcW w:w="2283" w:type="dxa"/>
            <w:tcBorders/>
          </w:tcPr>
          <w:p>
            <w:pPr>
              <w:pStyle w:val="normal1"/>
              <w:spacing w:lineRule="auto" w:line="252" w:before="40" w:after="40"/>
              <w:jc w:val="start"/>
              <w:rPr/>
            </w:pPr>
            <w:r>
              <w:rPr>
                <w:rFonts w:ascii="Calibri" w:hAnsi="Calibri"/>
                <w:b/>
                <w:color w:val="000000"/>
                <w:sz w:val="17"/>
              </w:rPr>
              <w:t>Sub-CPMK 5</w:t>
            </w:r>
          </w:p>
        </w:tc>
        <w:tc>
          <w:tcPr>
            <w:tcW w:w="1843" w:type="dxa"/>
            <w:tcBorders/>
          </w:tcPr>
          <w:p>
            <w:pPr>
              <w:pStyle w:val="normal1"/>
              <w:spacing w:lineRule="auto" w:line="252" w:before="40" w:after="40"/>
              <w:jc w:val="start"/>
              <w:rPr/>
            </w:pPr>
            <w:r>
              <w:rPr>
                <w:rFonts w:ascii="Calibri" w:hAnsi="Calibri"/>
                <w:b w:val="false"/>
                <w:color w:val="000000"/>
                <w:sz w:val="17"/>
              </w:rPr>
              <w:t>Ketepatan menganalisis integrasi payment gateway, mekanisme keamanan transaksi digital (SSL/TLS, 3D Secure), dan ekosistem financial technology (Fintech/QRIS).</w:t>
            </w:r>
          </w:p>
        </w:tc>
        <w:tc>
          <w:tcPr>
            <w:tcW w:w="1629" w:type="dxa"/>
            <w:tcBorders/>
          </w:tcPr>
          <w:p>
            <w:pPr>
              <w:pStyle w:val="normal1"/>
              <w:spacing w:lineRule="auto" w:line="252" w:before="40" w:after="40"/>
              <w:jc w:val="start"/>
              <w:rPr/>
            </w:pPr>
            <w:r>
              <w:rPr>
                <w:rFonts w:ascii="Calibri" w:hAnsi="Calibri"/>
                <w:b w:val="false"/>
                <w:color w:val="000000"/>
                <w:sz w:val="17"/>
              </w:rPr>
              <w:t>Teknik non-tes: Praktik simulasi alur pembayaran sandbox payment gateway (Midtrans / Xendit).</w:t>
              <w:br/>
              <w:t>Kriteria: Rubrik Implementasi Pembayaran Digital.</w:t>
            </w:r>
          </w:p>
        </w:tc>
        <w:tc>
          <w:tcPr>
            <w:tcW w:w="1677" w:type="dxa"/>
            <w:tcBorders/>
          </w:tcPr>
          <w:p>
            <w:pPr>
              <w:pStyle w:val="normal1"/>
              <w:spacing w:lineRule="auto" w:line="252" w:before="40" w:after="40"/>
              <w:jc w:val="start"/>
              <w:rPr/>
            </w:pPr>
            <w:r>
              <w:rPr>
                <w:rFonts w:ascii="Calibri" w:hAnsi="Calibri"/>
                <w:b w:val="false"/>
                <w:color w:val="000000"/>
                <w:sz w:val="17"/>
              </w:rPr>
              <w:t>Praktik laboratorium: Simulasi transaksi sandbox payment gateway dan verifikasi notifikasi webhook pembayaran.</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Mengunggah tangkapan layar transaksi sukses mode sandbox dan log callback sistem.</w:t>
            </w:r>
          </w:p>
        </w:tc>
        <w:tc>
          <w:tcPr>
            <w:tcW w:w="3059" w:type="dxa"/>
            <w:tcBorders/>
          </w:tcPr>
          <w:p>
            <w:pPr>
              <w:pStyle w:val="normal1"/>
              <w:spacing w:lineRule="auto" w:line="252" w:before="40" w:after="40"/>
              <w:jc w:val="start"/>
              <w:rPr/>
            </w:pPr>
            <w:r>
              <w:rPr>
                <w:rFonts w:ascii="Calibri" w:hAnsi="Calibri"/>
                <w:b w:val="false"/>
                <w:color w:val="000000"/>
                <w:sz w:val="17"/>
              </w:rPr>
              <w:t>Digital Payment Systems &amp; Fintech: Mekanisme payment gateway, standar keamanan PCI-DSS, tokenisasi, digital wallet, sistem QRIS, dan inovasi fintech dalam bisnis ritel.</w:t>
              <w:br/>
              <w:t>Pustaka: [Laudon22: Bab 10], [Rainer21: Bab 7]</w:t>
            </w:r>
          </w:p>
        </w:tc>
        <w:tc>
          <w:tcPr>
            <w:tcW w:w="1260" w:type="dxa"/>
            <w:tcBorders/>
          </w:tcPr>
          <w:p>
            <w:pPr>
              <w:pStyle w:val="normal1"/>
              <w:spacing w:lineRule="auto" w:line="252" w:before="40" w:after="40"/>
              <w:jc w:val="center"/>
              <w:rPr/>
            </w:pPr>
            <w:r>
              <w:rPr>
                <w:rFonts w:ascii="Calibri" w:hAnsi="Calibri"/>
                <w:b/>
                <w:color w:val="000000"/>
                <w:sz w:val="17"/>
              </w:rPr>
              <w:t>5%</w:t>
            </w:r>
          </w:p>
        </w:tc>
      </w:tr>
      <w:tr>
        <w:trPr/>
        <w:tc>
          <w:tcPr>
            <w:tcW w:w="547" w:type="dxa"/>
            <w:tcBorders/>
          </w:tcPr>
          <w:p>
            <w:pPr>
              <w:pStyle w:val="normal1"/>
              <w:spacing w:lineRule="auto" w:line="252" w:before="40" w:after="40"/>
              <w:jc w:val="center"/>
              <w:rPr/>
            </w:pPr>
            <w:r>
              <w:rPr>
                <w:rFonts w:ascii="Calibri" w:hAnsi="Calibri"/>
                <w:b/>
                <w:color w:val="000000"/>
                <w:sz w:val="17"/>
              </w:rPr>
              <w:t>11</w:t>
            </w:r>
          </w:p>
        </w:tc>
        <w:tc>
          <w:tcPr>
            <w:tcW w:w="2283" w:type="dxa"/>
            <w:tcBorders/>
          </w:tcPr>
          <w:p>
            <w:pPr>
              <w:pStyle w:val="normal1"/>
              <w:spacing w:lineRule="auto" w:line="252" w:before="40" w:after="40"/>
              <w:jc w:val="start"/>
              <w:rPr/>
            </w:pPr>
            <w:r>
              <w:rPr>
                <w:rFonts w:ascii="Calibri" w:hAnsi="Calibri"/>
                <w:b/>
                <w:color w:val="000000"/>
                <w:sz w:val="17"/>
              </w:rPr>
              <w:t>Sub-CPMK 6</w:t>
            </w:r>
          </w:p>
        </w:tc>
        <w:tc>
          <w:tcPr>
            <w:tcW w:w="1843" w:type="dxa"/>
            <w:tcBorders/>
          </w:tcPr>
          <w:p>
            <w:pPr>
              <w:pStyle w:val="normal1"/>
              <w:spacing w:lineRule="auto" w:line="252" w:before="40" w:after="40"/>
              <w:jc w:val="start"/>
              <w:rPr/>
            </w:pPr>
            <w:r>
              <w:rPr>
                <w:rFonts w:ascii="Calibri" w:hAnsi="Calibri"/>
                <w:b w:val="false"/>
                <w:color w:val="000000"/>
                <w:sz w:val="17"/>
              </w:rPr>
              <w:t>Ketepatan menjelaskan arsitektur Business Intelligence, perbedaan database transaksional (OLTP) vs analitikal (OLAP), dan pemodelan skema data warehouse (Star Schema).</w:t>
            </w:r>
          </w:p>
        </w:tc>
        <w:tc>
          <w:tcPr>
            <w:tcW w:w="1629" w:type="dxa"/>
            <w:tcBorders/>
          </w:tcPr>
          <w:p>
            <w:pPr>
              <w:pStyle w:val="normal1"/>
              <w:spacing w:lineRule="auto" w:line="252" w:before="40" w:after="40"/>
              <w:jc w:val="start"/>
              <w:rPr/>
            </w:pPr>
            <w:r>
              <w:rPr>
                <w:rFonts w:ascii="Calibri" w:hAnsi="Calibri"/>
                <w:b w:val="false"/>
                <w:color w:val="000000"/>
                <w:sz w:val="17"/>
              </w:rPr>
              <w:t>Teknik non-tes: Latihan perancangan skema data mart dan alur proses ETL data penjualan.</w:t>
              <w:br/>
              <w:t>Kriteria: Marking Scheme Data Warehouse.</w:t>
            </w:r>
          </w:p>
        </w:tc>
        <w:tc>
          <w:tcPr>
            <w:tcW w:w="1677" w:type="dxa"/>
            <w:tcBorders/>
          </w:tcPr>
          <w:p>
            <w:pPr>
              <w:pStyle w:val="normal1"/>
              <w:spacing w:lineRule="auto" w:line="252" w:before="40" w:after="40"/>
              <w:jc w:val="start"/>
              <w:rPr/>
            </w:pPr>
            <w:r>
              <w:rPr>
                <w:rFonts w:ascii="Calibri" w:hAnsi="Calibri"/>
                <w:b w:val="false"/>
                <w:color w:val="000000"/>
                <w:sz w:val="17"/>
              </w:rPr>
              <w:t>Kuliah interaktif dan tutorial perancangan skema dimensi (Star / Snowflake Schema) untuk data mart penjualan dan persediaan.</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Mempelajari modul pengantar data warehouse dan mengunduh dataset transaksi latihan.</w:t>
            </w:r>
          </w:p>
        </w:tc>
        <w:tc>
          <w:tcPr>
            <w:tcW w:w="3059" w:type="dxa"/>
            <w:tcBorders/>
          </w:tcPr>
          <w:p>
            <w:pPr>
              <w:pStyle w:val="normal1"/>
              <w:spacing w:lineRule="auto" w:line="252" w:before="40" w:after="40"/>
              <w:jc w:val="start"/>
              <w:rPr/>
            </w:pPr>
            <w:r>
              <w:rPr>
                <w:rFonts w:ascii="Calibri" w:hAnsi="Calibri"/>
                <w:b w:val="false"/>
                <w:color w:val="000000"/>
                <w:sz w:val="17"/>
              </w:rPr>
              <w:t>Fondasi Business Intelligence &amp; Data Warehousing: Konsep OLTP vs OLAP, data warehouse, data mart, arsitektur ETL (Extract, Transform, Load), tabel fakta dan dimensi.</w:t>
              <w:br/>
              <w:t>Pustaka: [Laudon22: Bab 6], [Sharda20: Bab 1-3]</w:t>
            </w:r>
          </w:p>
        </w:tc>
        <w:tc>
          <w:tcPr>
            <w:tcW w:w="1260" w:type="dxa"/>
            <w:tcBorders/>
          </w:tcPr>
          <w:p>
            <w:pPr>
              <w:pStyle w:val="normal1"/>
              <w:spacing w:lineRule="auto" w:line="252" w:before="40" w:after="40"/>
              <w:jc w:val="center"/>
              <w:rPr/>
            </w:pPr>
            <w:r>
              <w:rPr>
                <w:rFonts w:ascii="Calibri" w:hAnsi="Calibri"/>
                <w:b/>
                <w:color w:val="000000"/>
                <w:sz w:val="17"/>
              </w:rPr>
              <w:t>5%</w:t>
            </w:r>
          </w:p>
        </w:tc>
      </w:tr>
      <w:tr>
        <w:trPr/>
        <w:tc>
          <w:tcPr>
            <w:tcW w:w="547" w:type="dxa"/>
            <w:tcBorders/>
          </w:tcPr>
          <w:p>
            <w:pPr>
              <w:pStyle w:val="normal1"/>
              <w:spacing w:lineRule="auto" w:line="252" w:before="40" w:after="40"/>
              <w:jc w:val="center"/>
              <w:rPr/>
            </w:pPr>
            <w:r>
              <w:rPr>
                <w:rFonts w:ascii="Calibri" w:hAnsi="Calibri"/>
                <w:b/>
                <w:color w:val="000000"/>
                <w:sz w:val="17"/>
              </w:rPr>
              <w:t>12</w:t>
            </w:r>
          </w:p>
        </w:tc>
        <w:tc>
          <w:tcPr>
            <w:tcW w:w="2283" w:type="dxa"/>
            <w:tcBorders/>
          </w:tcPr>
          <w:p>
            <w:pPr>
              <w:pStyle w:val="normal1"/>
              <w:spacing w:lineRule="auto" w:line="252" w:before="40" w:after="40"/>
              <w:jc w:val="start"/>
              <w:rPr/>
            </w:pPr>
            <w:r>
              <w:rPr>
                <w:rFonts w:ascii="Calibri" w:hAnsi="Calibri"/>
                <w:b/>
                <w:color w:val="000000"/>
                <w:sz w:val="17"/>
              </w:rPr>
              <w:t>Sub-CPMK 6</w:t>
            </w:r>
          </w:p>
        </w:tc>
        <w:tc>
          <w:tcPr>
            <w:tcW w:w="1843" w:type="dxa"/>
            <w:tcBorders/>
          </w:tcPr>
          <w:p>
            <w:pPr>
              <w:pStyle w:val="normal1"/>
              <w:spacing w:lineRule="auto" w:line="252" w:before="40" w:after="40"/>
              <w:jc w:val="start"/>
              <w:rPr/>
            </w:pPr>
            <w:r>
              <w:rPr>
                <w:rFonts w:ascii="Calibri" w:hAnsi="Calibri"/>
                <w:b w:val="false"/>
                <w:color w:val="000000"/>
                <w:sz w:val="17"/>
              </w:rPr>
              <w:t>Kemampuan melakukan transformasi data, pembuatan metrik/Key Performance Indicators (KPI), dan kalkulasi ukuran analitis bisnis.</w:t>
            </w:r>
          </w:p>
        </w:tc>
        <w:tc>
          <w:tcPr>
            <w:tcW w:w="1629" w:type="dxa"/>
            <w:tcBorders/>
          </w:tcPr>
          <w:p>
            <w:pPr>
              <w:pStyle w:val="normal1"/>
              <w:spacing w:lineRule="auto" w:line="252" w:before="40" w:after="40"/>
              <w:jc w:val="start"/>
              <w:rPr/>
            </w:pPr>
            <w:r>
              <w:rPr>
                <w:rFonts w:ascii="Calibri" w:hAnsi="Calibri"/>
                <w:b w:val="false"/>
                <w:color w:val="000000"/>
                <w:sz w:val="17"/>
              </w:rPr>
              <w:t>Teknik non-tes: Praktik transformasi dataset bisnis menggunakan Business Intelligence tools (Power BI / Tableau).</w:t>
              <w:br/>
              <w:t>Kriteria: Rubrik Analisis Data Bisnis.</w:t>
            </w:r>
          </w:p>
        </w:tc>
        <w:tc>
          <w:tcPr>
            <w:tcW w:w="1677" w:type="dxa"/>
            <w:tcBorders/>
          </w:tcPr>
          <w:p>
            <w:pPr>
              <w:pStyle w:val="normal1"/>
              <w:spacing w:lineRule="auto" w:line="252" w:before="40" w:after="40"/>
              <w:jc w:val="start"/>
              <w:rPr/>
            </w:pPr>
            <w:r>
              <w:rPr>
                <w:rFonts w:ascii="Calibri" w:hAnsi="Calibri"/>
                <w:b w:val="false"/>
                <w:color w:val="000000"/>
                <w:sz w:val="17"/>
              </w:rPr>
              <w:t>Hands-on lab: Import data, pembersihan data (Power Query), pemodelan relasi tabel data, dan penentuan formula DAX/kalkulasi ukuran bisnis.</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Pengumpulan berkas kerja BI (.pbix / .twbx) progres pemodelan data.</w:t>
            </w:r>
          </w:p>
        </w:tc>
        <w:tc>
          <w:tcPr>
            <w:tcW w:w="3059" w:type="dxa"/>
            <w:tcBorders/>
          </w:tcPr>
          <w:p>
            <w:pPr>
              <w:pStyle w:val="normal1"/>
              <w:spacing w:lineRule="auto" w:line="252" w:before="40" w:after="40"/>
              <w:jc w:val="start"/>
              <w:rPr/>
            </w:pPr>
            <w:r>
              <w:rPr>
                <w:rFonts w:ascii="Calibri" w:hAnsi="Calibri"/>
                <w:b w:val="false"/>
                <w:color w:val="000000"/>
                <w:sz w:val="17"/>
              </w:rPr>
              <w:t>Business Analytics &amp; Metric Modeling: Perumusan KPI bisnis (Sales Growth, Customer Churn, Inventory Turnover), relasi relasional dalam BI, kalkulasi metrik analitis.</w:t>
              <w:br/>
              <w:t>Pustaka: [Sharda20: Bab 3-4], [Turban21: Bab 10]</w:t>
            </w:r>
          </w:p>
        </w:tc>
        <w:tc>
          <w:tcPr>
            <w:tcW w:w="1260" w:type="dxa"/>
            <w:tcBorders/>
          </w:tcPr>
          <w:p>
            <w:pPr>
              <w:pStyle w:val="normal1"/>
              <w:spacing w:lineRule="auto" w:line="252" w:before="40" w:after="40"/>
              <w:jc w:val="center"/>
              <w:rPr/>
            </w:pPr>
            <w:r>
              <w:rPr>
                <w:rFonts w:ascii="Calibri" w:hAnsi="Calibri"/>
                <w:b/>
                <w:color w:val="000000"/>
                <w:sz w:val="17"/>
              </w:rPr>
              <w:t>5%</w:t>
            </w:r>
          </w:p>
        </w:tc>
      </w:tr>
      <w:tr>
        <w:trPr/>
        <w:tc>
          <w:tcPr>
            <w:tcW w:w="547" w:type="dxa"/>
            <w:tcBorders/>
          </w:tcPr>
          <w:p>
            <w:pPr>
              <w:pStyle w:val="normal1"/>
              <w:spacing w:lineRule="auto" w:line="252" w:before="40" w:after="40"/>
              <w:jc w:val="center"/>
              <w:rPr/>
            </w:pPr>
            <w:r>
              <w:rPr>
                <w:rFonts w:ascii="Calibri" w:hAnsi="Calibri"/>
                <w:b/>
                <w:color w:val="000000"/>
                <w:sz w:val="17"/>
              </w:rPr>
              <w:t>13</w:t>
            </w:r>
          </w:p>
        </w:tc>
        <w:tc>
          <w:tcPr>
            <w:tcW w:w="2283" w:type="dxa"/>
            <w:tcBorders/>
          </w:tcPr>
          <w:p>
            <w:pPr>
              <w:pStyle w:val="normal1"/>
              <w:spacing w:lineRule="auto" w:line="252" w:before="40" w:after="40"/>
              <w:jc w:val="start"/>
              <w:rPr/>
            </w:pPr>
            <w:r>
              <w:rPr>
                <w:rFonts w:ascii="Calibri" w:hAnsi="Calibri"/>
                <w:b/>
                <w:color w:val="000000"/>
                <w:sz w:val="17"/>
              </w:rPr>
              <w:t>Sub-CPMK 6</w:t>
            </w:r>
          </w:p>
        </w:tc>
        <w:tc>
          <w:tcPr>
            <w:tcW w:w="1843" w:type="dxa"/>
            <w:tcBorders/>
          </w:tcPr>
          <w:p>
            <w:pPr>
              <w:pStyle w:val="normal1"/>
              <w:spacing w:lineRule="auto" w:line="252" w:before="40" w:after="40"/>
              <w:jc w:val="start"/>
              <w:rPr/>
            </w:pPr>
            <w:r>
              <w:rPr>
                <w:rFonts w:ascii="Calibri" w:hAnsi="Calibri"/>
                <w:b w:val="false"/>
                <w:color w:val="000000"/>
                <w:sz w:val="17"/>
              </w:rPr>
              <w:t>Kemampuan merancang visualisasi dashboard eksekutif interaktif yang memudahkan manajer dalam memantau kinerja dan mengambil keputusan strategis.</w:t>
            </w:r>
          </w:p>
        </w:tc>
        <w:tc>
          <w:tcPr>
            <w:tcW w:w="1629" w:type="dxa"/>
            <w:tcBorders/>
          </w:tcPr>
          <w:p>
            <w:pPr>
              <w:pStyle w:val="normal1"/>
              <w:spacing w:lineRule="auto" w:line="252" w:before="40" w:after="40"/>
              <w:jc w:val="start"/>
              <w:rPr/>
            </w:pPr>
            <w:r>
              <w:rPr>
                <w:rFonts w:ascii="Calibri" w:hAnsi="Calibri"/>
                <w:b w:val="false"/>
                <w:color w:val="000000"/>
                <w:sz w:val="17"/>
              </w:rPr>
              <w:t>Teknik non-tes: Tugas-3 (Proyek Perancangan Dashboard Business Intelligence Interaktif Kasus Bisnis Nyata).</w:t>
              <w:br/>
              <w:t>Kriteria: Rubrik Executive Dashboard Skala 1-5.</w:t>
            </w:r>
          </w:p>
        </w:tc>
        <w:tc>
          <w:tcPr>
            <w:tcW w:w="1677" w:type="dxa"/>
            <w:tcBorders/>
          </w:tcPr>
          <w:p>
            <w:pPr>
              <w:pStyle w:val="normal1"/>
              <w:spacing w:lineRule="auto" w:line="252" w:before="40" w:after="40"/>
              <w:jc w:val="start"/>
              <w:rPr/>
            </w:pPr>
            <w:r>
              <w:rPr>
                <w:rFonts w:ascii="Calibri" w:hAnsi="Calibri"/>
                <w:b w:val="false"/>
                <w:color w:val="000000"/>
                <w:sz w:val="17"/>
              </w:rPr>
              <w:t>Project-Based Learning (PjBL) mentoring: Bimbingan desain visualisasi dashboard, drill-down interaktif, dan storytelling data bisnis.</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Pengumpulan Tugas-3 (Tautan dashboard publik/cloud dan laporan analisis manajerial).</w:t>
            </w:r>
          </w:p>
        </w:tc>
        <w:tc>
          <w:tcPr>
            <w:tcW w:w="3059" w:type="dxa"/>
            <w:tcBorders/>
          </w:tcPr>
          <w:p>
            <w:pPr>
              <w:pStyle w:val="normal1"/>
              <w:spacing w:lineRule="auto" w:line="252" w:before="40" w:after="40"/>
              <w:jc w:val="start"/>
              <w:rPr/>
            </w:pPr>
            <w:r>
              <w:rPr>
                <w:rFonts w:ascii="Calibri" w:hAnsi="Calibri"/>
                <w:b w:val="false"/>
                <w:color w:val="000000"/>
                <w:sz w:val="17"/>
              </w:rPr>
              <w:t>Executive Dashboard Design &amp; Decision Support: Prinsip visualisasi data bisnis, interactivity (slicers, cross-filtering, drill-through), visualisasi tren dan peramalan sederhana.</w:t>
              <w:br/>
              <w:t>Pustaka: [Sharda20: Bab 4], [Laudon22: Bab 12]</w:t>
            </w:r>
          </w:p>
        </w:tc>
        <w:tc>
          <w:tcPr>
            <w:tcW w:w="1260" w:type="dxa"/>
            <w:tcBorders/>
          </w:tcPr>
          <w:p>
            <w:pPr>
              <w:pStyle w:val="normal1"/>
              <w:spacing w:lineRule="auto" w:line="252" w:before="40" w:after="40"/>
              <w:jc w:val="center"/>
              <w:rPr/>
            </w:pPr>
            <w:r>
              <w:rPr>
                <w:rFonts w:ascii="Calibri" w:hAnsi="Calibri"/>
                <w:b/>
                <w:color w:val="000000"/>
                <w:sz w:val="17"/>
              </w:rPr>
              <w:t>5%</w:t>
            </w:r>
          </w:p>
        </w:tc>
      </w:tr>
      <w:tr>
        <w:trPr/>
        <w:tc>
          <w:tcPr>
            <w:tcW w:w="547" w:type="dxa"/>
            <w:tcBorders/>
          </w:tcPr>
          <w:p>
            <w:pPr>
              <w:pStyle w:val="normal1"/>
              <w:spacing w:lineRule="auto" w:line="252" w:before="40" w:after="40"/>
              <w:jc w:val="center"/>
              <w:rPr/>
            </w:pPr>
            <w:r>
              <w:rPr>
                <w:rFonts w:ascii="Calibri" w:hAnsi="Calibri"/>
                <w:b/>
                <w:color w:val="000000"/>
                <w:sz w:val="17"/>
              </w:rPr>
              <w:t>14</w:t>
            </w:r>
          </w:p>
        </w:tc>
        <w:tc>
          <w:tcPr>
            <w:tcW w:w="2283" w:type="dxa"/>
            <w:tcBorders/>
          </w:tcPr>
          <w:p>
            <w:pPr>
              <w:pStyle w:val="normal1"/>
              <w:spacing w:lineRule="auto" w:line="252" w:before="40" w:after="40"/>
              <w:jc w:val="start"/>
              <w:rPr/>
            </w:pPr>
            <w:r>
              <w:rPr>
                <w:rFonts w:ascii="Calibri" w:hAnsi="Calibri"/>
                <w:b/>
                <w:color w:val="000000"/>
                <w:sz w:val="17"/>
              </w:rPr>
              <w:t>Sub-CPMK 7</w:t>
            </w:r>
          </w:p>
        </w:tc>
        <w:tc>
          <w:tcPr>
            <w:tcW w:w="1843" w:type="dxa"/>
            <w:tcBorders/>
          </w:tcPr>
          <w:p>
            <w:pPr>
              <w:pStyle w:val="normal1"/>
              <w:spacing w:lineRule="auto" w:line="252" w:before="40" w:after="40"/>
              <w:jc w:val="start"/>
              <w:rPr/>
            </w:pPr>
            <w:r>
              <w:rPr>
                <w:rFonts w:ascii="Calibri" w:hAnsi="Calibri"/>
                <w:b w:val="false"/>
                <w:color w:val="000000"/>
                <w:sz w:val="17"/>
              </w:rPr>
              <w:t>Ketepatan menganalisis peluang penerapan Artificial Intelligence (AI) generatif, machine learning, dan Knowledge Management Systems (KMS) dalam operasi bisnis.</w:t>
            </w:r>
          </w:p>
        </w:tc>
        <w:tc>
          <w:tcPr>
            <w:tcW w:w="1629" w:type="dxa"/>
            <w:tcBorders/>
          </w:tcPr>
          <w:p>
            <w:pPr>
              <w:pStyle w:val="normal1"/>
              <w:spacing w:lineRule="auto" w:line="252" w:before="40" w:after="40"/>
              <w:jc w:val="start"/>
              <w:rPr/>
            </w:pPr>
            <w:r>
              <w:rPr>
                <w:rFonts w:ascii="Calibri" w:hAnsi="Calibri"/>
                <w:b w:val="false"/>
                <w:color w:val="000000"/>
                <w:sz w:val="17"/>
              </w:rPr>
              <w:t>Teknik non-tes: Telaah kasus penerapan AI dalam CRM dan rantai pasok modern.</w:t>
              <w:br/>
              <w:t>Kriteria: Marking Scheme Analisis AI Bisnis.</w:t>
            </w:r>
          </w:p>
        </w:tc>
        <w:tc>
          <w:tcPr>
            <w:tcW w:w="1677" w:type="dxa"/>
            <w:tcBorders/>
          </w:tcPr>
          <w:p>
            <w:pPr>
              <w:pStyle w:val="normal1"/>
              <w:spacing w:lineRule="auto" w:line="252" w:before="40" w:after="40"/>
              <w:jc w:val="start"/>
              <w:rPr/>
            </w:pPr>
            <w:r>
              <w:rPr>
                <w:rFonts w:ascii="Calibri" w:hAnsi="Calibri"/>
                <w:b w:val="false"/>
                <w:color w:val="000000"/>
                <w:sz w:val="17"/>
              </w:rPr>
              <w:t>Seminar kelas &amp; diskusi kelompok: Peluang otomasi proses bisnis (RPA), chatbot layanan pelanggan cerdas, dan sistem penangkap pengetahuan organisasi.</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Akses artikel ilmiah mengenai adopsi generative AI pada industri retail dan perbankan.</w:t>
            </w:r>
          </w:p>
        </w:tc>
        <w:tc>
          <w:tcPr>
            <w:tcW w:w="3059" w:type="dxa"/>
            <w:tcBorders/>
          </w:tcPr>
          <w:p>
            <w:pPr>
              <w:pStyle w:val="normal1"/>
              <w:spacing w:lineRule="auto" w:line="252" w:before="40" w:after="40"/>
              <w:jc w:val="start"/>
              <w:rPr/>
            </w:pPr>
            <w:r>
              <w:rPr>
                <w:rFonts w:ascii="Calibri" w:hAnsi="Calibri"/>
                <w:b w:val="false"/>
                <w:color w:val="000000"/>
                <w:sz w:val="17"/>
              </w:rPr>
              <w:t>AI &amp; Knowledge Management in Business: Knowledge Management Systems (KMS), Enterprise Content Management, otomatisasi proses bisnis (RPA), generative AI untuk produktivitas kerja.</w:t>
              <w:br/>
              <w:t>Pustaka: [Laudon22: Bab 11], [Sharda20: Bab 8]</w:t>
            </w:r>
          </w:p>
        </w:tc>
        <w:tc>
          <w:tcPr>
            <w:tcW w:w="1260" w:type="dxa"/>
            <w:tcBorders/>
          </w:tcPr>
          <w:p>
            <w:pPr>
              <w:pStyle w:val="normal1"/>
              <w:spacing w:lineRule="auto" w:line="252" w:before="40" w:after="40"/>
              <w:jc w:val="center"/>
              <w:rPr/>
            </w:pPr>
            <w:r>
              <w:rPr>
                <w:rFonts w:ascii="Calibri" w:hAnsi="Calibri"/>
                <w:b/>
                <w:color w:val="000000"/>
                <w:sz w:val="17"/>
              </w:rPr>
              <w:t>5%</w:t>
            </w:r>
          </w:p>
        </w:tc>
      </w:tr>
      <w:tr>
        <w:trPr/>
        <w:tc>
          <w:tcPr>
            <w:tcW w:w="547" w:type="dxa"/>
            <w:tcBorders/>
          </w:tcPr>
          <w:p>
            <w:pPr>
              <w:pStyle w:val="normal1"/>
              <w:spacing w:lineRule="auto" w:line="252" w:before="40" w:after="40"/>
              <w:jc w:val="center"/>
              <w:rPr/>
            </w:pPr>
            <w:r>
              <w:rPr>
                <w:rFonts w:ascii="Calibri" w:hAnsi="Calibri"/>
                <w:b/>
                <w:color w:val="000000"/>
                <w:sz w:val="17"/>
              </w:rPr>
              <w:t>15</w:t>
            </w:r>
          </w:p>
        </w:tc>
        <w:tc>
          <w:tcPr>
            <w:tcW w:w="2283" w:type="dxa"/>
            <w:tcBorders/>
          </w:tcPr>
          <w:p>
            <w:pPr>
              <w:pStyle w:val="normal1"/>
              <w:spacing w:lineRule="auto" w:line="252" w:before="40" w:after="40"/>
              <w:jc w:val="start"/>
              <w:rPr/>
            </w:pPr>
            <w:r>
              <w:rPr>
                <w:rFonts w:ascii="Calibri" w:hAnsi="Calibri"/>
                <w:b/>
                <w:color w:val="000000"/>
                <w:sz w:val="17"/>
              </w:rPr>
              <w:t>Sub-CPMK 7</w:t>
            </w:r>
          </w:p>
        </w:tc>
        <w:tc>
          <w:tcPr>
            <w:tcW w:w="1843" w:type="dxa"/>
            <w:tcBorders/>
          </w:tcPr>
          <w:p>
            <w:pPr>
              <w:pStyle w:val="normal1"/>
              <w:spacing w:lineRule="auto" w:line="252" w:before="40" w:after="40"/>
              <w:jc w:val="start"/>
              <w:rPr/>
            </w:pPr>
            <w:r>
              <w:rPr>
                <w:rFonts w:ascii="Calibri" w:hAnsi="Calibri"/>
                <w:b w:val="false"/>
                <w:color w:val="000000"/>
                <w:sz w:val="17"/>
              </w:rPr>
              <w:t>Ketepatan menyusun rencana tata kelola keamanan informasi bisnis, analisis kerentanan sistem enterprise, dan Business Continuity Plan (BCP) menghadapi insiden siber.</w:t>
            </w:r>
          </w:p>
        </w:tc>
        <w:tc>
          <w:tcPr>
            <w:tcW w:w="1629" w:type="dxa"/>
            <w:tcBorders/>
          </w:tcPr>
          <w:p>
            <w:pPr>
              <w:pStyle w:val="normal1"/>
              <w:spacing w:lineRule="auto" w:line="252" w:before="40" w:after="40"/>
              <w:jc w:val="start"/>
              <w:rPr/>
            </w:pPr>
            <w:r>
              <w:rPr>
                <w:rFonts w:ascii="Calibri" w:hAnsi="Calibri"/>
                <w:b w:val="false"/>
                <w:color w:val="000000"/>
                <w:sz w:val="17"/>
              </w:rPr>
              <w:t>Teknik non-tes: Penyusunan rencana mitigasi risiko dan audit keamanan sistem bisnis.</w:t>
              <w:br/>
              <w:t>Kriteria: Rubrik Keamanan &amp; Audit Sistem.</w:t>
            </w:r>
          </w:p>
        </w:tc>
        <w:tc>
          <w:tcPr>
            <w:tcW w:w="1677" w:type="dxa"/>
            <w:tcBorders/>
          </w:tcPr>
          <w:p>
            <w:pPr>
              <w:pStyle w:val="normal1"/>
              <w:spacing w:lineRule="auto" w:line="252" w:before="40" w:after="40"/>
              <w:jc w:val="start"/>
              <w:rPr/>
            </w:pPr>
            <w:r>
              <w:rPr>
                <w:rFonts w:ascii="Calibri" w:hAnsi="Calibri"/>
                <w:b w:val="false"/>
                <w:color w:val="000000"/>
                <w:sz w:val="17"/>
              </w:rPr>
              <w:t>Contextual Learning: Studi kasus dampak insiden ransomware pada operasional bisnis dan penyusunan strategi Disaster Recovery Planning (DRP).</w:t>
              <w:br/>
              <w:t>[PB: 1x(3x50')], [PT: 1x(3x60')], [KM: 1x(3x60')]</w:t>
            </w:r>
          </w:p>
        </w:tc>
        <w:tc>
          <w:tcPr>
            <w:tcW w:w="1997" w:type="dxa"/>
            <w:tcBorders/>
          </w:tcPr>
          <w:p>
            <w:pPr>
              <w:pStyle w:val="normal1"/>
              <w:spacing w:lineRule="auto" w:line="252" w:before="40" w:after="40"/>
              <w:jc w:val="start"/>
              <w:rPr/>
            </w:pPr>
            <w:r>
              <w:rPr>
                <w:rFonts w:ascii="Calibri" w:hAnsi="Calibri"/>
                <w:b w:val="false"/>
                <w:color w:val="000000"/>
                <w:sz w:val="17"/>
              </w:rPr>
              <w:t>LMS Unirow: Mengunggah lembar kerja analisis risiko siber dan kesiapan implementasi proyek akhir.</w:t>
            </w:r>
          </w:p>
        </w:tc>
        <w:tc>
          <w:tcPr>
            <w:tcW w:w="3059" w:type="dxa"/>
            <w:tcBorders/>
          </w:tcPr>
          <w:p>
            <w:pPr>
              <w:pStyle w:val="normal1"/>
              <w:spacing w:lineRule="auto" w:line="252" w:before="40" w:after="40"/>
              <w:jc w:val="start"/>
              <w:rPr/>
            </w:pPr>
            <w:r>
              <w:rPr>
                <w:rFonts w:ascii="Calibri" w:hAnsi="Calibri"/>
                <w:b w:val="false"/>
                <w:color w:val="000000"/>
                <w:sz w:val="17"/>
              </w:rPr>
              <w:t>Keamanan Sistem Informasi &amp; Business Continuity: Ancaman siber terhadap sistem bisnis, kontrol keamanan administratif dan teknis, Disaster Recovery Planning (DRP), dan Business Continuity Planning (BCP).</w:t>
              <w:br/>
              <w:t>Pustaka: [Laudon22: Bab 8], [Rainer21: Bab 4]</w:t>
            </w:r>
          </w:p>
        </w:tc>
        <w:tc>
          <w:tcPr>
            <w:tcW w:w="1260" w:type="dxa"/>
            <w:tcBorders/>
          </w:tcPr>
          <w:p>
            <w:pPr>
              <w:pStyle w:val="normal1"/>
              <w:spacing w:lineRule="auto" w:line="252" w:before="40" w:after="40"/>
              <w:jc w:val="center"/>
              <w:rPr/>
            </w:pPr>
            <w:r>
              <w:rPr>
                <w:rFonts w:ascii="Calibri" w:hAnsi="Calibri"/>
                <w:b/>
                <w:color w:val="000000"/>
                <w:sz w:val="17"/>
              </w:rPr>
              <w:t>5%</w:t>
            </w:r>
          </w:p>
        </w:tc>
      </w:tr>
      <w:tr>
        <w:trPr/>
        <w:tc>
          <w:tcPr>
            <w:tcW w:w="547" w:type="dxa"/>
            <w:tcBorders/>
            <w:shd w:fill="FFF2CC" w:val="clear"/>
          </w:tcPr>
          <w:p>
            <w:pPr>
              <w:pStyle w:val="normal1"/>
              <w:spacing w:lineRule="auto" w:line="252" w:before="40" w:after="40"/>
              <w:jc w:val="center"/>
              <w:rPr/>
            </w:pPr>
            <w:r>
              <w:rPr>
                <w:rFonts w:ascii="Calibri" w:hAnsi="Calibri"/>
                <w:b/>
                <w:color w:val="000000"/>
                <w:sz w:val="17"/>
              </w:rPr>
              <w:t>16</w:t>
            </w:r>
          </w:p>
        </w:tc>
        <w:tc>
          <w:tcPr>
            <w:tcW w:w="2283" w:type="dxa"/>
            <w:tcBorders/>
            <w:shd w:fill="FFF2CC" w:val="clear"/>
          </w:tcPr>
          <w:p>
            <w:pPr>
              <w:pStyle w:val="normal1"/>
              <w:spacing w:lineRule="auto" w:line="252" w:before="40" w:after="40"/>
              <w:jc w:val="start"/>
              <w:rPr/>
            </w:pPr>
            <w:r>
              <w:rPr>
                <w:rFonts w:ascii="Calibri" w:hAnsi="Calibri"/>
                <w:b/>
                <w:color w:val="000000"/>
                <w:sz w:val="17"/>
              </w:rPr>
              <w:t>Sub-CPMK 5, 6, 7, 8</w:t>
            </w:r>
          </w:p>
        </w:tc>
        <w:tc>
          <w:tcPr>
            <w:tcW w:w="1843" w:type="dxa"/>
            <w:tcBorders/>
            <w:shd w:fill="FFF2CC" w:val="clear"/>
          </w:tcPr>
          <w:p>
            <w:pPr>
              <w:pStyle w:val="normal1"/>
              <w:spacing w:lineRule="auto" w:line="252" w:before="40" w:after="40"/>
              <w:jc w:val="start"/>
              <w:rPr/>
            </w:pPr>
            <w:r>
              <w:rPr>
                <w:rFonts w:ascii="Calibri" w:hAnsi="Calibri"/>
                <w:b w:val="false"/>
                <w:color w:val="000000"/>
                <w:sz w:val="17"/>
              </w:rPr>
              <w:t>Kualitas hasil perancangan solusi sistem informasi bisnis digital utuh, kedalaman analisis manajerial, daya guna dashboard BI, serta kemahiran dalam presentasi dan argumentasi.</w:t>
            </w:r>
          </w:p>
        </w:tc>
        <w:tc>
          <w:tcPr>
            <w:tcW w:w="1629" w:type="dxa"/>
            <w:tcBorders/>
            <w:shd w:fill="FFF2CC" w:val="clear"/>
          </w:tcPr>
          <w:p>
            <w:pPr>
              <w:pStyle w:val="normal1"/>
              <w:spacing w:lineRule="auto" w:line="252" w:before="40" w:after="40"/>
              <w:jc w:val="start"/>
              <w:rPr/>
            </w:pPr>
            <w:r>
              <w:rPr>
                <w:rFonts w:ascii="Calibri" w:hAnsi="Calibri"/>
                <w:b w:val="false"/>
                <w:color w:val="000000"/>
                <w:sz w:val="17"/>
              </w:rPr>
              <w:t>Teknik Tes &amp; Non-Tes: Ujian Akhir Semester (UAS) berbentuk Expo Presentasi &amp; Live Demo Proyek Solusi SI Bisnis Tim.</w:t>
              <w:br/>
              <w:t>Kriteria: Rubrik Evaluasi Proyek Capstone Skala 1-5.</w:t>
            </w:r>
          </w:p>
        </w:tc>
        <w:tc>
          <w:tcPr>
            <w:tcW w:w="1677" w:type="dxa"/>
            <w:tcBorders/>
            <w:shd w:fill="FFF2CC" w:val="clear"/>
          </w:tcPr>
          <w:p>
            <w:pPr>
              <w:pStyle w:val="normal1"/>
              <w:spacing w:lineRule="auto" w:line="252" w:before="40" w:after="40"/>
              <w:jc w:val="start"/>
              <w:rPr/>
            </w:pPr>
            <w:r>
              <w:rPr>
                <w:rFonts w:ascii="Calibri" w:hAnsi="Calibri"/>
                <w:b w:val="false"/>
                <w:color w:val="000000"/>
                <w:sz w:val="17"/>
              </w:rPr>
              <w:t>Ujian Akhir Semester (UAS): Sesi presentasi dan demo langsung sistem informasi bisnis di hadapan dosen penguji, evaluasi laporan manajerial, dan tanya jawab komprehensif.</w:t>
              <w:br/>
              <w:t>[PB: 1x(3x50')]</w:t>
            </w:r>
          </w:p>
        </w:tc>
        <w:tc>
          <w:tcPr>
            <w:tcW w:w="1997" w:type="dxa"/>
            <w:tcBorders/>
            <w:shd w:fill="FFF2CC" w:val="clear"/>
          </w:tcPr>
          <w:p>
            <w:pPr>
              <w:pStyle w:val="normal1"/>
              <w:spacing w:lineRule="auto" w:line="252" w:before="40" w:after="40"/>
              <w:jc w:val="start"/>
              <w:rPr/>
            </w:pPr>
            <w:r>
              <w:rPr>
                <w:rFonts w:ascii="Calibri" w:hAnsi="Calibri"/>
                <w:b w:val="false"/>
                <w:color w:val="000000"/>
                <w:sz w:val="17"/>
              </w:rPr>
              <w:t>LMS Unirow: Pengumpulan repositori proyek, tautan live dashboard BI, video presentasi, dan berkas Laporan Akhir Proyek.</w:t>
            </w:r>
          </w:p>
        </w:tc>
        <w:tc>
          <w:tcPr>
            <w:tcW w:w="3059" w:type="dxa"/>
            <w:tcBorders/>
            <w:shd w:fill="FFF2CC" w:val="clear"/>
          </w:tcPr>
          <w:p>
            <w:pPr>
              <w:pStyle w:val="normal1"/>
              <w:spacing w:lineRule="auto" w:line="252" w:before="40" w:after="40"/>
              <w:jc w:val="start"/>
              <w:rPr/>
            </w:pPr>
            <w:r>
              <w:rPr>
                <w:rFonts w:ascii="Calibri" w:hAnsi="Calibri"/>
                <w:b w:val="false"/>
                <w:color w:val="000000"/>
                <w:sz w:val="17"/>
              </w:rPr>
              <w:t>Kompilasi Seluruh Materi Pembelajaran Semester (Strategi Bisnis, BPMN, ERP, E-Commerce, BI Dashboard, dan Keamanan Sistem).</w:t>
              <w:br/>
              <w:t>Pustaka: Seluruh Pustaka Utama dan Pendukung</w:t>
            </w:r>
          </w:p>
        </w:tc>
        <w:tc>
          <w:tcPr>
            <w:tcW w:w="1260" w:type="dxa"/>
            <w:tcBorders/>
            <w:shd w:fill="FFF2CC" w:val="clear"/>
          </w:tcPr>
          <w:p>
            <w:pPr>
              <w:pStyle w:val="normal1"/>
              <w:spacing w:lineRule="auto" w:line="252" w:before="40" w:after="40"/>
              <w:jc w:val="center"/>
              <w:rPr/>
            </w:pPr>
            <w:r>
              <w:rPr>
                <w:rFonts w:ascii="Calibri" w:hAnsi="Calibri"/>
                <w:b/>
                <w:color w:val="000000"/>
                <w:sz w:val="17"/>
              </w:rPr>
              <w:t>15%</w:t>
            </w:r>
          </w:p>
        </w:tc>
      </w:tr>
      <w:tr>
        <w:trPr/>
        <w:tc>
          <w:tcPr>
            <w:tcW w:w="2830" w:type="dxa"/>
            <w:gridSpan w:val="2"/>
            <w:tcBorders/>
            <w:shd w:fill="D9E1F2" w:val="clear"/>
          </w:tcPr>
          <w:p>
            <w:pPr>
              <w:pStyle w:val="normal1"/>
              <w:spacing w:lineRule="auto" w:line="252" w:before="40" w:after="40"/>
              <w:jc w:val="end"/>
              <w:rPr/>
            </w:pPr>
            <w:r>
              <w:rPr>
                <w:rFonts w:ascii="Calibri" w:hAnsi="Calibri"/>
                <w:b/>
                <w:color w:val="000000"/>
                <w:sz w:val="18"/>
              </w:rPr>
              <w:t>Total Bobot Penilaian</w:t>
            </w:r>
          </w:p>
        </w:tc>
        <w:tc>
          <w:tcPr>
            <w:tcW w:w="1843" w:type="dxa"/>
            <w:tcBorders/>
            <w:shd w:fill="D9E1F2" w:val="clear"/>
          </w:tcPr>
          <w:p>
            <w:pPr>
              <w:pStyle w:val="normal1"/>
              <w:rPr/>
            </w:pPr>
            <w:r>
              <w:rPr/>
            </w:r>
          </w:p>
        </w:tc>
        <w:tc>
          <w:tcPr>
            <w:tcW w:w="1629" w:type="dxa"/>
            <w:tcBorders/>
            <w:shd w:fill="D9E1F2" w:val="clear"/>
          </w:tcPr>
          <w:p>
            <w:pPr>
              <w:pStyle w:val="normal1"/>
              <w:rPr/>
            </w:pPr>
            <w:r>
              <w:rPr/>
            </w:r>
          </w:p>
        </w:tc>
        <w:tc>
          <w:tcPr>
            <w:tcW w:w="1677" w:type="dxa"/>
            <w:tcBorders/>
            <w:shd w:fill="D9E1F2" w:val="clear"/>
          </w:tcPr>
          <w:p>
            <w:pPr>
              <w:pStyle w:val="normal1"/>
              <w:rPr/>
            </w:pPr>
            <w:r>
              <w:rPr/>
            </w:r>
          </w:p>
        </w:tc>
        <w:tc>
          <w:tcPr>
            <w:tcW w:w="1997" w:type="dxa"/>
            <w:tcBorders/>
            <w:shd w:fill="D9E1F2" w:val="clear"/>
          </w:tcPr>
          <w:p>
            <w:pPr>
              <w:pStyle w:val="normal1"/>
              <w:rPr/>
            </w:pPr>
            <w:r>
              <w:rPr/>
            </w:r>
          </w:p>
        </w:tc>
        <w:tc>
          <w:tcPr>
            <w:tcW w:w="3059" w:type="dxa"/>
            <w:tcBorders/>
            <w:shd w:fill="D9E1F2" w:val="clear"/>
          </w:tcPr>
          <w:p>
            <w:pPr>
              <w:pStyle w:val="normal1"/>
              <w:rPr/>
            </w:pPr>
            <w:r>
              <w:rPr/>
            </w:r>
          </w:p>
        </w:tc>
        <w:tc>
          <w:tcPr>
            <w:tcW w:w="1260" w:type="dxa"/>
            <w:tcBorders/>
            <w:shd w:fill="D9E1F2" w:val="clear"/>
          </w:tcPr>
          <w:p>
            <w:pPr>
              <w:pStyle w:val="normal1"/>
              <w:spacing w:lineRule="auto" w:line="252" w:before="40" w:after="40"/>
              <w:jc w:val="center"/>
              <w:rPr/>
            </w:pPr>
            <w:r>
              <w:rPr>
                <w:rFonts w:ascii="Calibri" w:hAnsi="Calibri"/>
                <w:b/>
                <w:color w:val="000000"/>
                <w:sz w:val="18"/>
              </w:rPr>
              <w:t>100.0%</w:t>
            </w:r>
          </w:p>
        </w:tc>
      </w:tr>
    </w:tbl>
    <w:p>
      <w:pPr>
        <w:sectPr>
          <w:footerReference w:type="even" r:id="rId10"/>
          <w:footerReference w:type="default" r:id="rId11"/>
          <w:footerReference w:type="first" r:id="rId12"/>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widowControl w:val="false"/>
        <w:numPr>
          <w:ilvl w:val="0"/>
          <w:numId w:val="1"/>
        </w:numPr>
        <w:shd w:val="clear" w:fill="auto"/>
        <w:tabs>
          <w:tab w:val="clear" w:pos="720"/>
          <w:tab w:val="left" w:pos="1079" w:leader="none"/>
        </w:tabs>
        <w:spacing w:lineRule="auto" w:line="250" w:before="0" w:after="0"/>
        <w:ind w:hanging="284" w:start="1078" w:end="336"/>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Capaian Pembelajaran Lulusan PRODI (CPL-PRODI)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dimiliki oleh setiap lulusan PRODI yang merupakan internalisasi dari sikap, penguasaan pengetahuan dan ketrampilan sesuai dengan jenjang prodinya yang diperoleh melalui proses pembelajaran.</w:t>
      </w:r>
    </w:p>
    <w:p>
      <w:pPr>
        <w:pStyle w:val="normal1"/>
        <w:keepNext w:val="false"/>
        <w:keepLines w:val="false"/>
        <w:pageBreakBefore w:val="false"/>
        <w:widowControl w:val="false"/>
        <w:numPr>
          <w:ilvl w:val="0"/>
          <w:numId w:val="1"/>
        </w:numPr>
        <w:shd w:val="clear" w:fill="auto"/>
        <w:tabs>
          <w:tab w:val="clear" w:pos="720"/>
          <w:tab w:val="left" w:pos="1079" w:leader="none"/>
        </w:tabs>
        <w:spacing w:lineRule="auto" w:line="250" w:before="3" w:after="0"/>
        <w:ind w:hanging="284" w:start="1078" w:end="675"/>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CPL yang dibebankan pada mata kuliah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beberapa capaian pembelajaran lulusan program studi (CPL- PRODI) yang digunakan untuk pembentukan/pengembangan sebuah mata kuliah yang terdiri dari aspek sikap, ketrampulan umum, ketrampilan khusus dan pengetahuan.</w:t>
      </w:r>
    </w:p>
    <w:p>
      <w:pPr>
        <w:pStyle w:val="normal1"/>
        <w:keepNext w:val="false"/>
        <w:keepLines w:val="false"/>
        <w:pageBreakBefore w:val="false"/>
        <w:widowControl w:val="false"/>
        <w:numPr>
          <w:ilvl w:val="0"/>
          <w:numId w:val="1"/>
        </w:numPr>
        <w:shd w:val="clear" w:fill="auto"/>
        <w:tabs>
          <w:tab w:val="clear" w:pos="720"/>
          <w:tab w:val="left" w:pos="1079" w:leader="none"/>
        </w:tabs>
        <w:spacing w:lineRule="auto" w:line="250" w:before="2" w:after="0"/>
        <w:ind w:hanging="284" w:start="1078" w:end="372"/>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 Mata kuliah (CPMK)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dijabarkan secara spesifik dari CPL yang dibebankan pada mata kuliah, dan bersifat spesifik terhadap bahan kajian atau materi pembelajaran mata kuliah tersebut.</w:t>
      </w:r>
    </w:p>
    <w:p>
      <w:pPr>
        <w:pStyle w:val="normal1"/>
        <w:keepNext w:val="false"/>
        <w:keepLines w:val="false"/>
        <w:pageBreakBefore w:val="false"/>
        <w:widowControl w:val="false"/>
        <w:numPr>
          <w:ilvl w:val="0"/>
          <w:numId w:val="1"/>
        </w:numPr>
        <w:shd w:val="clear" w:fill="auto"/>
        <w:tabs>
          <w:tab w:val="clear" w:pos="720"/>
          <w:tab w:val="left" w:pos="1079" w:leader="none"/>
        </w:tabs>
        <w:spacing w:lineRule="auto" w:line="250" w:before="2" w:after="0"/>
        <w:ind w:hanging="284" w:start="1078" w:end="61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Indikator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kemampuan dalam proses maupun hasil belajar mahasiswa adalah pernyataan spesifik dan terukur yang mengidentifikasi kemampuan atau kinerja hasil belajar mahasiswa yang disertai bukti-bukti.</w:t>
      </w:r>
    </w:p>
    <w:p>
      <w:pPr>
        <w:pStyle w:val="normal1"/>
        <w:keepNext w:val="false"/>
        <w:keepLines w:val="false"/>
        <w:pageBreakBefore w:val="false"/>
        <w:widowControl w:val="false"/>
        <w:numPr>
          <w:ilvl w:val="0"/>
          <w:numId w:val="1"/>
        </w:numPr>
        <w:shd w:val="clear" w:fill="auto"/>
        <w:tabs>
          <w:tab w:val="clear" w:pos="720"/>
          <w:tab w:val="left" w:pos="1079" w:leader="none"/>
        </w:tabs>
        <w:spacing w:lineRule="auto" w:line="250" w:before="1" w:after="0"/>
        <w:ind w:hanging="284" w:start="1078" w:end="22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Kriteria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pPr>
        <w:pStyle w:val="normal1"/>
        <w:keepNext w:val="false"/>
        <w:keepLines w:val="false"/>
        <w:pageBreakBefore w:val="false"/>
        <w:widowControl w:val="false"/>
        <w:numPr>
          <w:ilvl w:val="0"/>
          <w:numId w:val="1"/>
        </w:numPr>
        <w:shd w:val="clear" w:fill="auto"/>
        <w:tabs>
          <w:tab w:val="clear" w:pos="720"/>
          <w:tab w:val="left" w:pos="1079" w:leader="none"/>
        </w:tabs>
        <w:spacing w:lineRule="auto" w:line="240" w:before="3"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Teknik penilaian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tes dan non-tes.</w:t>
      </w:r>
    </w:p>
    <w:p>
      <w:pPr>
        <w:pStyle w:val="normal1"/>
        <w:keepNext w:val="false"/>
        <w:keepLines w:val="false"/>
        <w:pageBreakBefore w:val="false"/>
        <w:widowControl w:val="false"/>
        <w:numPr>
          <w:ilvl w:val="0"/>
          <w:numId w:val="1"/>
        </w:numPr>
        <w:shd w:val="clear" w:fill="auto"/>
        <w:tabs>
          <w:tab w:val="clear" w:pos="720"/>
          <w:tab w:val="left" w:pos="1079" w:leader="none"/>
        </w:tabs>
        <w:spacing w:lineRule="auto" w:line="250" w:before="10" w:after="0"/>
        <w:ind w:hanging="284" w:start="1078" w:end="57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Bentuk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Kuliah, Responsi, Tutorial, Seminar atau yang setara, Praktikum, Praktik Studio, Praktik Bengkel, Praktik Lapangan, Penelitian, Pengabdian Kepada Masyarakat dan/atau bentuk pembelajaran lain yang setara.</w:t>
      </w:r>
    </w:p>
    <w:p>
      <w:pPr>
        <w:pStyle w:val="normal1"/>
        <w:keepNext w:val="false"/>
        <w:keepLines w:val="false"/>
        <w:pageBreakBefore w:val="false"/>
        <w:widowControl w:val="false"/>
        <w:numPr>
          <w:ilvl w:val="0"/>
          <w:numId w:val="1"/>
        </w:numPr>
        <w:shd w:val="clear" w:fill="auto"/>
        <w:tabs>
          <w:tab w:val="clear" w:pos="720"/>
          <w:tab w:val="left" w:pos="1079" w:leader="none"/>
        </w:tabs>
        <w:spacing w:lineRule="auto" w:line="250" w:before="2" w:after="0"/>
        <w:ind w:hanging="284" w:start="1078" w:end="203"/>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Metode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Small Group Discussion, Role-Play &amp; Simulation, Discovery Learning, Self-Directed Learning, Cooperative Learning, Collaborative Learning, Contextual Learning, Project Based Learning, dan metode lainnya yang setara.</w:t>
      </w:r>
    </w:p>
    <w:p>
      <w:pPr>
        <w:pStyle w:val="normal1"/>
        <w:keepNext w:val="false"/>
        <w:keepLines w:val="false"/>
        <w:pageBreakBefore w:val="false"/>
        <w:widowControl w:val="false"/>
        <w:numPr>
          <w:ilvl w:val="0"/>
          <w:numId w:val="1"/>
        </w:numPr>
        <w:shd w:val="clear" w:fill="auto"/>
        <w:tabs>
          <w:tab w:val="clear" w:pos="720"/>
          <w:tab w:val="left" w:pos="1079" w:leader="none"/>
        </w:tabs>
        <w:spacing w:lineRule="auto" w:line="250" w:before="3" w:after="0"/>
        <w:ind w:hanging="284" w:start="1078" w:end="169"/>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Materi Pembelajaran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rincian atau uraian dari bahan kajian yang dapat disajikan dalam bentuk beberapa pokok dan sub-pokok bahasan.</w:t>
      </w:r>
    </w:p>
    <w:p>
      <w:pPr>
        <w:pStyle w:val="normal1"/>
        <w:keepNext w:val="false"/>
        <w:keepLines w:val="false"/>
        <w:pageBreakBefore w:val="false"/>
        <w:widowControl w:val="false"/>
        <w:numPr>
          <w:ilvl w:val="0"/>
          <w:numId w:val="1"/>
        </w:numPr>
        <w:shd w:val="clear" w:fill="auto"/>
        <w:tabs>
          <w:tab w:val="clear" w:pos="720"/>
          <w:tab w:val="left" w:pos="1079" w:leader="none"/>
        </w:tabs>
        <w:spacing w:lineRule="auto" w:line="250" w:before="1"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=Proses Belajar,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=Penugasan Terstruktur,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keepNext w:val="false"/>
        <w:keepLines w:val="false"/>
        <w:pageBreakBefore w:val="false"/>
        <w:widowControl w:val="false"/>
        <w:numPr>
          <w:ilvl w:val="0"/>
          <w:numId w:val="1"/>
        </w:numPr>
        <w:shd w:val="clear" w:fill="auto"/>
        <w:tabs>
          <w:tab w:val="clear" w:pos="720"/>
          <w:tab w:val="left" w:pos="1079" w:leader="none"/>
        </w:tabs>
        <w:spacing w:lineRule="auto" w:line="250" w:before="10"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 Kegiatan Belajar Terbimbing,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=Kegiatan Penugasan Terstuktur,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jc w:val="both"/>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jc w:val="center"/>
        <w:rPr>
          <w:rFonts w:ascii="Arial" w:hAnsi="Arial" w:eastAsia="Arial" w:cs="Arial"/>
          <w:sz w:val="20"/>
          <w:szCs w:val="20"/>
        </w:rPr>
      </w:pPr>
      <w:r>
        <w:rPr>
          <w:b/>
        </w:rPr>
        <w:t>RPS ini telah divalidasi pada tanggal 24 September 2026</w:t>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t>Ketua Program Studi</w:t>
        <w:tab/>
        <w:tab/>
        <w:tab/>
        <w:tab/>
        <w:tab/>
        <w:tab/>
        <w:tab/>
        <w:t>UJM Program Studi</w:t>
      </w:r>
    </w:p>
    <w:p>
      <w:pPr>
        <w:pStyle w:val="normal1"/>
        <w:rPr>
          <w:rFonts w:ascii="Arial" w:hAnsi="Arial" w:eastAsia="Arial" w:cs="Arial"/>
          <w:sz w:val="20"/>
          <w:szCs w:val="20"/>
        </w:rPr>
      </w:pPr>
      <w:r>
        <w:rPr/>
        <w:t>PROGRAM STUDI S1 INFORMATIKA</w:t>
        <w:tab/>
        <w:tab/>
        <w:tab/>
        <w:tab/>
        <w:tab/>
        <w:t>PROGRAM STUDI S1 INFORMATIKA</w:t>
      </w:r>
    </w:p>
    <w:p>
      <w:pPr>
        <w:pStyle w:val="normal1"/>
        <w:rPr>
          <w:rFonts w:ascii="Arial" w:hAnsi="Arial" w:eastAsia="Arial" w:cs="Arial"/>
          <w:sz w:val="20"/>
          <w:szCs w:val="20"/>
        </w:rPr>
      </w:pPr>
      <w:r>
        <w:rPr/>
        <w:drawing>
          <wp:inline distT="0" distB="0" distL="0" distR="0">
            <wp:extent cx="738505" cy="662940"/>
            <wp:effectExtent l="0" t="0" r="0" b="0"/>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a:picLocks noChangeAspect="1" noChangeArrowheads="1"/>
                    </pic:cNvPicPr>
                  </pic:nvPicPr>
                  <pic:blipFill>
                    <a:blip r:embed="rId13"/>
                    <a:stretch>
                      <a:fillRect/>
                    </a:stretch>
                  </pic:blipFill>
                  <pic:spPr bwMode="auto">
                    <a:xfrm>
                      <a:off x="0" y="0"/>
                      <a:ext cx="738505" cy="662940"/>
                    </a:xfrm>
                    <a:prstGeom prst="rect">
                      <a:avLst/>
                    </a:prstGeom>
                    <a:noFill/>
                  </pic:spPr>
                </pic:pic>
              </a:graphicData>
            </a:graphic>
          </wp:inline>
        </w:drawing>
      </w:r>
      <w:r>
        <w:rPr>
          <w:rFonts w:eastAsia="Arial" w:cs="Arial" w:ascii="Arial" w:hAnsi="Arial"/>
          <w:sz w:val="20"/>
          <w:szCs w:val="20"/>
        </w:rPr>
        <w:tab/>
        <w:tab/>
        <w:tab/>
        <w:tab/>
        <w:tab/>
        <w:tab/>
        <w:tab/>
        <w:tab/>
      </w:r>
      <w:r>
        <w:rPr/>
        <w:drawing>
          <wp:inline distT="0" distB="0" distL="0" distR="0">
            <wp:extent cx="738505" cy="662940"/>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4"/>
                    <a:stretch>
                      <a:fillRect/>
                    </a:stretch>
                  </pic:blipFill>
                  <pic:spPr bwMode="auto">
                    <a:xfrm>
                      <a:off x="0" y="0"/>
                      <a:ext cx="738505" cy="662940"/>
                    </a:xfrm>
                    <a:prstGeom prst="rect">
                      <a:avLst/>
                    </a:prstGeom>
                    <a:noFill/>
                  </pic:spPr>
                </pic:pic>
              </a:graphicData>
            </a:graphic>
          </wp:inline>
        </w:drawing>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b/>
          <w:u w:val="single"/>
        </w:rPr>
        <w:t>AMALUDIN ARIFIA, M.Kom.</w:t>
        <w:tab/>
        <w:tab/>
        <w:tab/>
        <w:tab/>
        <w:tab/>
        <w:t>UJM Program Studi Informatika</w:t>
      </w:r>
    </w:p>
    <w:p>
      <w:pPr>
        <w:pStyle w:val="normal1"/>
        <w:rPr>
          <w:rFonts w:ascii="Arial" w:hAnsi="Arial" w:eastAsia="Arial" w:cs="Arial"/>
          <w:sz w:val="20"/>
          <w:szCs w:val="20"/>
        </w:rPr>
      </w:pPr>
      <w:r>
        <w:rPr/>
        <w:t>NIDN: 07xxxxxxxx</w:t>
        <w:tab/>
        <w:tab/>
        <w:tab/>
        <w:tab/>
        <w:tab/>
        <w:t>NIDN: 07xxxxxxxx</w:t>
      </w:r>
    </w:p>
    <w:p>
      <w:pPr>
        <w:pStyle w:val="normal1"/>
        <w:rPr>
          <w:rFonts w:ascii="Arial" w:hAnsi="Arial" w:eastAsia="Arial" w:cs="Arial"/>
          <w:sz w:val="20"/>
          <w:szCs w:val="20"/>
        </w:rPr>
      </w:pPr>
      <w:r>
        <w:rPr>
          <w:rFonts w:eastAsia="Arial" w:cs="Arial" w:ascii="Arial" w:hAnsi="Arial"/>
          <w:sz w:val="20"/>
          <w:szCs w:val="20"/>
        </w:rPr>
      </w:r>
    </w:p>
    <w:p>
      <w:pPr>
        <w:pStyle w:val="normal1"/>
        <w:jc w:val="end"/>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val="false"/>
        <w:shd w:val="clear" w:fill="auto"/>
        <w:spacing w:lineRule="auto" w:line="240" w:before="0"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rPr/>
      </w:pPr>
      <w:r>
        <w:rPr/>
      </w:r>
      <w:r>
        <w:br w:type="page"/>
      </w:r>
    </w:p>
    <w:p>
      <w:pPr>
        <w:pStyle w:val="Heading1"/>
        <w:spacing w:before="0" w:after="0"/>
        <w:jc w:val="center"/>
        <w:rPr/>
      </w:pPr>
      <w:r>
        <w:rPr/>
        <w:t>RANCANGAN TUGAS TERSTRUKTUR MAHASISWA</w:t>
      </w:r>
    </w:p>
    <w:p>
      <w:pPr>
        <w:pStyle w:val="normal1"/>
        <w:rPr/>
      </w:pPr>
      <w:r>
        <w:rPr>
          <w:b/>
          <w:sz w:val="22"/>
        </w:rPr>
        <w:t>TUGAS 1: ANALISIS MODEL BISNIS DIGITAL DAN EVALUASI KEUNGGULAN KOMPETITIF INDUSTRI NYATA</w:t>
      </w:r>
    </w:p>
    <w:tbl>
      <w:tblPr>
        <w:tblW w:w="98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33"/>
        <w:gridCol w:w="4933"/>
      </w:tblGrid>
      <w:tr>
        <w:trPr/>
        <w:tc>
          <w:tcPr>
            <w:tcW w:w="4933" w:type="dxa"/>
            <w:tcBorders/>
            <w:shd w:fill="F2F2F2" w:val="clear"/>
          </w:tcPr>
          <w:p>
            <w:pPr>
              <w:pStyle w:val="normal1"/>
              <w:spacing w:lineRule="auto" w:line="252" w:before="40" w:after="40"/>
              <w:jc w:val="start"/>
              <w:rPr/>
            </w:pPr>
            <w:r>
              <w:rPr>
                <w:rFonts w:ascii="Calibri" w:hAnsi="Calibri"/>
                <w:b/>
                <w:color w:val="000000"/>
                <w:sz w:val="19"/>
              </w:rPr>
              <w:t>Mata Kuliah / SKS</w:t>
            </w:r>
          </w:p>
        </w:tc>
        <w:tc>
          <w:tcPr>
            <w:tcW w:w="4933" w:type="dxa"/>
            <w:tcBorders/>
          </w:tcPr>
          <w:p>
            <w:pPr>
              <w:pStyle w:val="normal1"/>
              <w:spacing w:lineRule="auto" w:line="252" w:before="40" w:after="40"/>
              <w:jc w:val="start"/>
              <w:rPr/>
            </w:pPr>
            <w:r>
              <w:rPr>
                <w:rFonts w:ascii="Calibri" w:hAnsi="Calibri"/>
                <w:b w:val="false"/>
                <w:color w:val="000000"/>
                <w:sz w:val="19"/>
              </w:rPr>
              <w:t>Sistem Informasi Bisnis / 3 SKS</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Sub-CPMK yang Disasar</w:t>
            </w:r>
          </w:p>
        </w:tc>
        <w:tc>
          <w:tcPr>
            <w:tcW w:w="4933" w:type="dxa"/>
            <w:tcBorders/>
          </w:tcPr>
          <w:p>
            <w:pPr>
              <w:pStyle w:val="normal1"/>
              <w:spacing w:lineRule="auto" w:line="252" w:before="40" w:after="40"/>
              <w:jc w:val="start"/>
              <w:rPr/>
            </w:pPr>
            <w:r>
              <w:rPr>
                <w:rFonts w:ascii="Calibri" w:hAnsi="Calibri"/>
                <w:b w:val="false"/>
                <w:color w:val="000000"/>
                <w:sz w:val="19"/>
              </w:rPr>
              <w:t>Sub-CPMK 2</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Bentuk Tugas / Alokasi</w:t>
            </w:r>
          </w:p>
        </w:tc>
        <w:tc>
          <w:tcPr>
            <w:tcW w:w="4933" w:type="dxa"/>
            <w:tcBorders/>
          </w:tcPr>
          <w:p>
            <w:pPr>
              <w:pStyle w:val="normal1"/>
              <w:spacing w:lineRule="auto" w:line="252" w:before="40" w:after="40"/>
              <w:jc w:val="start"/>
              <w:rPr/>
            </w:pPr>
            <w:r>
              <w:rPr>
                <w:rFonts w:ascii="Calibri" w:hAnsi="Calibri"/>
                <w:b w:val="false"/>
                <w:color w:val="000000"/>
                <w:sz w:val="19"/>
              </w:rPr>
              <w:t>Kelompok (3-4 Mahasiswa) | Waktu: Minggu ke-3 s.d. ke-4 (2 Minggu)</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Deskripsi Pengerjaan</w:t>
            </w:r>
          </w:p>
        </w:tc>
        <w:tc>
          <w:tcPr>
            <w:tcW w:w="4933" w:type="dxa"/>
            <w:tcBorders/>
          </w:tcPr>
          <w:p>
            <w:pPr>
              <w:pStyle w:val="normal1"/>
              <w:spacing w:lineRule="auto" w:line="252" w:before="40" w:after="40"/>
              <w:jc w:val="start"/>
              <w:rPr/>
            </w:pPr>
            <w:r>
              <w:rPr>
                <w:rFonts w:ascii="Calibri" w:hAnsi="Calibri"/>
                <w:b w:val="false"/>
                <w:color w:val="000000"/>
                <w:sz w:val="19"/>
              </w:rPr>
              <w:t>Mahasiswa secara berkelompok memilih satu perusahaan nyata di sektor industri retail, transportasi, manufaktur, atau jasa keuangan yang telah melakukan transformasi digital. Kelompok membedah model bisnis perusahaan tersebut menggunakan kerangka Model 5 Kekuatan Michael Porter, menganalisis aktivitas rantai nilai (Value Chain) yang didukung oleh teknologi informasi, serta mengidentifikasi faktor penentu keunggulan kompetitifnya.</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Indikator Penilaian</w:t>
            </w:r>
          </w:p>
        </w:tc>
        <w:tc>
          <w:tcPr>
            <w:tcW w:w="4933" w:type="dxa"/>
            <w:tcBorders/>
          </w:tcPr>
          <w:p>
            <w:pPr>
              <w:pStyle w:val="normal1"/>
              <w:spacing w:lineRule="auto" w:line="252" w:before="40" w:after="40"/>
              <w:jc w:val="start"/>
              <w:rPr/>
            </w:pPr>
            <w:r>
              <w:rPr>
                <w:rFonts w:ascii="Calibri" w:hAnsi="Calibri"/>
                <w:b w:val="false"/>
                <w:color w:val="000000"/>
                <w:sz w:val="19"/>
              </w:rPr>
              <w:t>Ketepatan identifikasi 5 kekuatan Porter, ketajaman analisis aktivitas rantai nilai (utama &amp; pendukung), kejelasan justifikasi keunggulan kompetitif, dan mutu laporan manajerial.</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Bentuk &amp; Format Luaran</w:t>
            </w:r>
          </w:p>
        </w:tc>
        <w:tc>
          <w:tcPr>
            <w:tcW w:w="4933" w:type="dxa"/>
            <w:tcBorders/>
          </w:tcPr>
          <w:p>
            <w:pPr>
              <w:pStyle w:val="normal1"/>
              <w:spacing w:lineRule="auto" w:line="252" w:before="40" w:after="40"/>
              <w:jc w:val="start"/>
              <w:rPr/>
            </w:pPr>
            <w:r>
              <w:rPr>
                <w:rFonts w:ascii="Calibri" w:hAnsi="Calibri"/>
                <w:b w:val="false"/>
                <w:color w:val="000000"/>
                <w:sz w:val="19"/>
              </w:rPr>
              <w:t>Laporan Analisis Kasus Bisnis formal (PDF 10-15 halaman) dan slide presentasi infografis. (Bobot: 10%)</w:t>
            </w:r>
          </w:p>
        </w:tc>
      </w:tr>
    </w:tbl>
    <w:p>
      <w:pPr>
        <w:pStyle w:val="normal1"/>
        <w:rPr/>
      </w:pPr>
      <w:r>
        <w:rPr/>
      </w:r>
    </w:p>
    <w:p>
      <w:pPr>
        <w:pStyle w:val="normal1"/>
        <w:rPr/>
      </w:pPr>
      <w:r>
        <w:rPr>
          <w:b/>
          <w:sz w:val="22"/>
        </w:rPr>
        <w:t>TUGAS 2: PEMODELAN PROSES BISNIS TERINTEGRASI (BPMN 2.0) DAN ANALISIS KEBUTUHAN SISTEM ENTERPRISE</w:t>
      </w:r>
    </w:p>
    <w:tbl>
      <w:tblPr>
        <w:tblW w:w="98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33"/>
        <w:gridCol w:w="4933"/>
      </w:tblGrid>
      <w:tr>
        <w:trPr/>
        <w:tc>
          <w:tcPr>
            <w:tcW w:w="4933" w:type="dxa"/>
            <w:tcBorders/>
            <w:shd w:fill="F2F2F2" w:val="clear"/>
          </w:tcPr>
          <w:p>
            <w:pPr>
              <w:pStyle w:val="normal1"/>
              <w:spacing w:lineRule="auto" w:line="252" w:before="40" w:after="40"/>
              <w:jc w:val="start"/>
              <w:rPr/>
            </w:pPr>
            <w:r>
              <w:rPr>
                <w:rFonts w:ascii="Calibri" w:hAnsi="Calibri"/>
                <w:b/>
                <w:color w:val="000000"/>
                <w:sz w:val="19"/>
              </w:rPr>
              <w:t>Mata Kuliah / SKS</w:t>
            </w:r>
          </w:p>
        </w:tc>
        <w:tc>
          <w:tcPr>
            <w:tcW w:w="4933" w:type="dxa"/>
            <w:tcBorders/>
          </w:tcPr>
          <w:p>
            <w:pPr>
              <w:pStyle w:val="normal1"/>
              <w:spacing w:lineRule="auto" w:line="252" w:before="40" w:after="40"/>
              <w:jc w:val="start"/>
              <w:rPr/>
            </w:pPr>
            <w:r>
              <w:rPr>
                <w:rFonts w:ascii="Calibri" w:hAnsi="Calibri"/>
                <w:b w:val="false"/>
                <w:color w:val="000000"/>
                <w:sz w:val="19"/>
              </w:rPr>
              <w:t>Sistem Informasi Bisnis / 3 SKS</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Sub-CPMK yang Disasar</w:t>
            </w:r>
          </w:p>
        </w:tc>
        <w:tc>
          <w:tcPr>
            <w:tcW w:w="4933" w:type="dxa"/>
            <w:tcBorders/>
          </w:tcPr>
          <w:p>
            <w:pPr>
              <w:pStyle w:val="normal1"/>
              <w:spacing w:lineRule="auto" w:line="252" w:before="40" w:after="40"/>
              <w:jc w:val="start"/>
              <w:rPr/>
            </w:pPr>
            <w:r>
              <w:rPr>
                <w:rFonts w:ascii="Calibri" w:hAnsi="Calibri"/>
                <w:b w:val="false"/>
                <w:color w:val="000000"/>
                <w:sz w:val="19"/>
              </w:rPr>
              <w:t>Sub-CPMK 3 &amp; 4</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Bentuk Tugas / Alokasi</w:t>
            </w:r>
          </w:p>
        </w:tc>
        <w:tc>
          <w:tcPr>
            <w:tcW w:w="4933" w:type="dxa"/>
            <w:tcBorders/>
          </w:tcPr>
          <w:p>
            <w:pPr>
              <w:pStyle w:val="normal1"/>
              <w:spacing w:lineRule="auto" w:line="252" w:before="40" w:after="40"/>
              <w:jc w:val="start"/>
              <w:rPr/>
            </w:pPr>
            <w:r>
              <w:rPr>
                <w:rFonts w:ascii="Calibri" w:hAnsi="Calibri"/>
                <w:b w:val="false"/>
                <w:color w:val="000000"/>
                <w:sz w:val="19"/>
              </w:rPr>
              <w:t>Kelompok (3-4 Mahasiswa) | Waktu: Minggu ke-5 s.d. ke-6 (2 Minggu)</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Deskripsi Pengerjaan</w:t>
            </w:r>
          </w:p>
        </w:tc>
        <w:tc>
          <w:tcPr>
            <w:tcW w:w="4933" w:type="dxa"/>
            <w:tcBorders/>
          </w:tcPr>
          <w:p>
            <w:pPr>
              <w:pStyle w:val="normal1"/>
              <w:spacing w:lineRule="auto" w:line="252" w:before="40" w:after="40"/>
              <w:jc w:val="start"/>
              <w:rPr/>
            </w:pPr>
            <w:r>
              <w:rPr>
                <w:rFonts w:ascii="Calibri" w:hAnsi="Calibri"/>
                <w:b w:val="false"/>
                <w:color w:val="000000"/>
                <w:sz w:val="19"/>
              </w:rPr>
              <w:t>Kelompok melakukan analisis alur kerja operasional pada studi kasus organisasi nyata atau UMKM (misal: proses pengadaan barang, manajemen persediaan, atau pemrosesan pesanan pelanggan). Mahasiswa memodelkan proses bisnis kondisi berjalan (As-Is) dan proses usulan perbaikan otomatisasi (To-Be) menggunakan standar notasi BPMN 2.0 dengan tools CASE, serta merumuskan kebutuhan modul sistem enterprise (ERP/CRM) yang diperlukan.</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Indikator Penilaian</w:t>
            </w:r>
          </w:p>
        </w:tc>
        <w:tc>
          <w:tcPr>
            <w:tcW w:w="4933" w:type="dxa"/>
            <w:tcBorders/>
          </w:tcPr>
          <w:p>
            <w:pPr>
              <w:pStyle w:val="normal1"/>
              <w:spacing w:lineRule="auto" w:line="252" w:before="40" w:after="40"/>
              <w:jc w:val="start"/>
              <w:rPr/>
            </w:pPr>
            <w:r>
              <w:rPr>
                <w:rFonts w:ascii="Calibri" w:hAnsi="Calibri"/>
                <w:b w:val="false"/>
                <w:color w:val="000000"/>
                <w:sz w:val="19"/>
              </w:rPr>
              <w:t>Kepatuhan terhadap notasi standar BPMN 2.0, konsistensi swimlanes antar departemen, ketajaman identifikasi inefisiensi (bottleneck), dan kelayakan solusi perbaikan proses (To-Be).</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Bentuk &amp; Format Luaran</w:t>
            </w:r>
          </w:p>
        </w:tc>
        <w:tc>
          <w:tcPr>
            <w:tcW w:w="4933" w:type="dxa"/>
            <w:tcBorders/>
          </w:tcPr>
          <w:p>
            <w:pPr>
              <w:pStyle w:val="normal1"/>
              <w:spacing w:lineRule="auto" w:line="252" w:before="40" w:after="40"/>
              <w:jc w:val="start"/>
              <w:rPr/>
            </w:pPr>
            <w:r>
              <w:rPr>
                <w:rFonts w:ascii="Calibri" w:hAnsi="Calibri"/>
                <w:b w:val="false"/>
                <w:color w:val="000000"/>
                <w:sz w:val="19"/>
              </w:rPr>
              <w:t>Dokumen Analisis &amp; Desain Proses Bisnis (PDF) beserta berkas sumber diagram pemodelan (.bpmn / .png). (Bobot: 10%)</w:t>
            </w:r>
          </w:p>
        </w:tc>
      </w:tr>
    </w:tbl>
    <w:p>
      <w:pPr>
        <w:pStyle w:val="normal1"/>
        <w:rPr/>
      </w:pPr>
      <w:r>
        <w:rPr/>
      </w:r>
    </w:p>
    <w:p>
      <w:pPr>
        <w:pStyle w:val="normal1"/>
        <w:rPr/>
      </w:pPr>
      <w:r>
        <w:rPr>
          <w:b/>
          <w:sz w:val="22"/>
        </w:rPr>
        <w:t>TUGAS 3: PERANCANGAN SOLUSI SISTEM INFORMASI BISNIS DAN EXECUTIVE DASHBOARD BUSINESS INTELLIGENCE</w:t>
      </w:r>
    </w:p>
    <w:tbl>
      <w:tblPr>
        <w:tblW w:w="98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33"/>
        <w:gridCol w:w="4933"/>
      </w:tblGrid>
      <w:tr>
        <w:trPr/>
        <w:tc>
          <w:tcPr>
            <w:tcW w:w="4933" w:type="dxa"/>
            <w:tcBorders/>
            <w:shd w:fill="F2F2F2" w:val="clear"/>
          </w:tcPr>
          <w:p>
            <w:pPr>
              <w:pStyle w:val="normal1"/>
              <w:spacing w:lineRule="auto" w:line="252" w:before="40" w:after="40"/>
              <w:jc w:val="start"/>
              <w:rPr/>
            </w:pPr>
            <w:r>
              <w:rPr>
                <w:rFonts w:ascii="Calibri" w:hAnsi="Calibri"/>
                <w:b/>
                <w:color w:val="000000"/>
                <w:sz w:val="19"/>
              </w:rPr>
              <w:t>Mata Kuliah / SKS</w:t>
            </w:r>
          </w:p>
        </w:tc>
        <w:tc>
          <w:tcPr>
            <w:tcW w:w="4933" w:type="dxa"/>
            <w:tcBorders/>
          </w:tcPr>
          <w:p>
            <w:pPr>
              <w:pStyle w:val="normal1"/>
              <w:spacing w:lineRule="auto" w:line="252" w:before="40" w:after="40"/>
              <w:jc w:val="start"/>
              <w:rPr/>
            </w:pPr>
            <w:r>
              <w:rPr>
                <w:rFonts w:ascii="Calibri" w:hAnsi="Calibri"/>
                <w:b w:val="false"/>
                <w:color w:val="000000"/>
                <w:sz w:val="19"/>
              </w:rPr>
              <w:t>Sistem Informasi Bisnis / 3 SKS</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Sub-CPMK yang Disasar</w:t>
            </w:r>
          </w:p>
        </w:tc>
        <w:tc>
          <w:tcPr>
            <w:tcW w:w="4933" w:type="dxa"/>
            <w:tcBorders/>
          </w:tcPr>
          <w:p>
            <w:pPr>
              <w:pStyle w:val="normal1"/>
              <w:spacing w:lineRule="auto" w:line="252" w:before="40" w:after="40"/>
              <w:jc w:val="start"/>
              <w:rPr/>
            </w:pPr>
            <w:r>
              <w:rPr>
                <w:rFonts w:ascii="Calibri" w:hAnsi="Calibri"/>
                <w:b w:val="false"/>
                <w:color w:val="000000"/>
                <w:sz w:val="19"/>
              </w:rPr>
              <w:t>Sub-CPMK 6</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Bentuk Tugas / Alokasi</w:t>
            </w:r>
          </w:p>
        </w:tc>
        <w:tc>
          <w:tcPr>
            <w:tcW w:w="4933" w:type="dxa"/>
            <w:tcBorders/>
          </w:tcPr>
          <w:p>
            <w:pPr>
              <w:pStyle w:val="normal1"/>
              <w:spacing w:lineRule="auto" w:line="252" w:before="40" w:after="40"/>
              <w:jc w:val="start"/>
              <w:rPr/>
            </w:pPr>
            <w:r>
              <w:rPr>
                <w:rFonts w:ascii="Calibri" w:hAnsi="Calibri"/>
                <w:b w:val="false"/>
                <w:color w:val="000000"/>
                <w:sz w:val="19"/>
              </w:rPr>
              <w:t>Kelompok (3-4 Mahasiswa) | Waktu: Minggu ke-11 s.d. ke-13 (3 Minggu)</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Deskripsi Pengerjaan</w:t>
            </w:r>
          </w:p>
        </w:tc>
        <w:tc>
          <w:tcPr>
            <w:tcW w:w="4933" w:type="dxa"/>
            <w:tcBorders/>
          </w:tcPr>
          <w:p>
            <w:pPr>
              <w:pStyle w:val="normal1"/>
              <w:spacing w:lineRule="auto" w:line="252" w:before="40" w:after="40"/>
              <w:jc w:val="start"/>
              <w:rPr/>
            </w:pPr>
            <w:r>
              <w:rPr>
                <w:rFonts w:ascii="Calibri" w:hAnsi="Calibri"/>
                <w:b w:val="false"/>
                <w:color w:val="000000"/>
                <w:sz w:val="19"/>
              </w:rPr>
              <w:t>Kelompok merancang solusi sistem informasi bisnis terpadu yang memadukan integrasi data transaksi dengan perancangan dashboard Business Intelligence interaktif (menggunakan Power BI / Tableau / Looker Studio). Dashboard harus menampilkan visualisasi metrik bisnis utama (KPI), tren penjualan, analisis kinerja produk, dan fasilitas filter interaktif untuk membantu eksekutif mengambil keputusan strategis berdasarkan dataset riil.</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Indikator Penilaian</w:t>
            </w:r>
          </w:p>
        </w:tc>
        <w:tc>
          <w:tcPr>
            <w:tcW w:w="4933" w:type="dxa"/>
            <w:tcBorders/>
          </w:tcPr>
          <w:p>
            <w:pPr>
              <w:pStyle w:val="normal1"/>
              <w:spacing w:lineRule="auto" w:line="252" w:before="40" w:after="40"/>
              <w:jc w:val="start"/>
              <w:rPr/>
            </w:pPr>
            <w:r>
              <w:rPr>
                <w:rFonts w:ascii="Calibri" w:hAnsi="Calibri"/>
                <w:b w:val="false"/>
                <w:color w:val="000000"/>
                <w:sz w:val="19"/>
              </w:rPr>
              <w:t>Ketepatan perancangan skema data mart (star schema), validitas kalkulasi metrik/KPI, keindahan dan ergonomi visualisasi data, interaktivitas dashboard, dan wawasan manajerial yang dihasilkan.</w:t>
            </w:r>
          </w:p>
        </w:tc>
      </w:tr>
      <w:tr>
        <w:trPr/>
        <w:tc>
          <w:tcPr>
            <w:tcW w:w="4933" w:type="dxa"/>
            <w:tcBorders/>
            <w:shd w:fill="F2F2F2" w:val="clear"/>
          </w:tcPr>
          <w:p>
            <w:pPr>
              <w:pStyle w:val="normal1"/>
              <w:spacing w:lineRule="auto" w:line="252" w:before="40" w:after="40"/>
              <w:jc w:val="start"/>
              <w:rPr/>
            </w:pPr>
            <w:r>
              <w:rPr>
                <w:rFonts w:ascii="Calibri" w:hAnsi="Calibri"/>
                <w:b/>
                <w:color w:val="000000"/>
                <w:sz w:val="19"/>
              </w:rPr>
              <w:t>Bentuk &amp; Format Luaran</w:t>
            </w:r>
          </w:p>
        </w:tc>
        <w:tc>
          <w:tcPr>
            <w:tcW w:w="4933" w:type="dxa"/>
            <w:tcBorders/>
          </w:tcPr>
          <w:p>
            <w:pPr>
              <w:pStyle w:val="normal1"/>
              <w:spacing w:lineRule="auto" w:line="252" w:before="40" w:after="40"/>
              <w:jc w:val="start"/>
              <w:rPr/>
            </w:pPr>
            <w:r>
              <w:rPr>
                <w:rFonts w:ascii="Calibri" w:hAnsi="Calibri"/>
                <w:b w:val="false"/>
                <w:color w:val="000000"/>
                <w:sz w:val="19"/>
              </w:rPr>
              <w:t>Berkas kerja dashboard BI (.pbix / .twbx / cloud link) dan Laporan Analitik Eksekutif (PDF). (Bobot: 10%)</w:t>
            </w:r>
          </w:p>
        </w:tc>
      </w:tr>
    </w:tbl>
    <w:p>
      <w:pPr>
        <w:pStyle w:val="normal1"/>
        <w:rPr/>
      </w:pPr>
      <w:r>
        <w:rPr/>
      </w:r>
    </w:p>
    <w:p>
      <w:pPr>
        <w:pStyle w:val="Heading2"/>
        <w:rPr/>
      </w:pPr>
      <w:r>
        <w:rPr/>
        <w:t>RUBRIK PENILAIAN OBE SKALA 1–5 (STANDAR APTIKOM &amp; UNIROW)</w:t>
      </w:r>
    </w:p>
    <w:tbl>
      <w:tblPr>
        <w:tblW w:w="986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66"/>
        <w:gridCol w:w="2466"/>
        <w:gridCol w:w="2466"/>
        <w:gridCol w:w="2466"/>
      </w:tblGrid>
      <w:tr>
        <w:trPr/>
        <w:tc>
          <w:tcPr>
            <w:tcW w:w="2466" w:type="dxa"/>
            <w:tcBorders/>
            <w:shd w:fill="D9E1F2" w:val="clear"/>
          </w:tcPr>
          <w:p>
            <w:pPr>
              <w:pStyle w:val="normal1"/>
              <w:spacing w:lineRule="auto" w:line="252" w:before="40" w:after="40"/>
              <w:jc w:val="center"/>
              <w:rPr/>
            </w:pPr>
            <w:r>
              <w:rPr>
                <w:rFonts w:ascii="Calibri" w:hAnsi="Calibri"/>
                <w:b/>
                <w:color w:val="000000"/>
                <w:sz w:val="18"/>
              </w:rPr>
              <w:t>Skala</w:t>
            </w:r>
          </w:p>
        </w:tc>
        <w:tc>
          <w:tcPr>
            <w:tcW w:w="2466" w:type="dxa"/>
            <w:tcBorders/>
            <w:shd w:fill="D9E1F2" w:val="clear"/>
          </w:tcPr>
          <w:p>
            <w:pPr>
              <w:pStyle w:val="normal1"/>
              <w:spacing w:lineRule="auto" w:line="252" w:before="40" w:after="40"/>
              <w:jc w:val="center"/>
              <w:rPr/>
            </w:pPr>
            <w:r>
              <w:rPr>
                <w:rFonts w:ascii="Calibri" w:hAnsi="Calibri"/>
                <w:b/>
                <w:color w:val="000000"/>
                <w:sz w:val="18"/>
              </w:rPr>
              <w:t>Kategori Mutu</w:t>
            </w:r>
          </w:p>
        </w:tc>
        <w:tc>
          <w:tcPr>
            <w:tcW w:w="2466" w:type="dxa"/>
            <w:tcBorders/>
            <w:shd w:fill="D9E1F2" w:val="clear"/>
          </w:tcPr>
          <w:p>
            <w:pPr>
              <w:pStyle w:val="normal1"/>
              <w:spacing w:lineRule="auto" w:line="252" w:before="40" w:after="40"/>
              <w:jc w:val="center"/>
              <w:rPr/>
            </w:pPr>
            <w:r>
              <w:rPr>
                <w:rFonts w:ascii="Calibri" w:hAnsi="Calibri"/>
                <w:b/>
                <w:color w:val="000000"/>
                <w:sz w:val="18"/>
              </w:rPr>
              <w:t>Rentang Skor</w:t>
            </w:r>
          </w:p>
        </w:tc>
        <w:tc>
          <w:tcPr>
            <w:tcW w:w="2466" w:type="dxa"/>
            <w:tcBorders/>
            <w:shd w:fill="D9E1F2" w:val="clear"/>
          </w:tcPr>
          <w:p>
            <w:pPr>
              <w:pStyle w:val="normal1"/>
              <w:spacing w:lineRule="auto" w:line="252" w:before="40" w:after="40"/>
              <w:jc w:val="center"/>
              <w:rPr/>
            </w:pPr>
            <w:r>
              <w:rPr>
                <w:rFonts w:ascii="Calibri" w:hAnsi="Calibri"/>
                <w:b/>
                <w:color w:val="000000"/>
                <w:sz w:val="18"/>
              </w:rPr>
              <w:t>Deskripsi Kinerja Ketercapaian</w:t>
            </w:r>
          </w:p>
        </w:tc>
      </w:tr>
      <w:tr>
        <w:trPr/>
        <w:tc>
          <w:tcPr>
            <w:tcW w:w="2466" w:type="dxa"/>
            <w:tcBorders/>
          </w:tcPr>
          <w:p>
            <w:pPr>
              <w:pStyle w:val="normal1"/>
              <w:spacing w:lineRule="auto" w:line="252" w:before="40" w:after="40"/>
              <w:jc w:val="center"/>
              <w:rPr/>
            </w:pPr>
            <w:r>
              <w:rPr>
                <w:rFonts w:ascii="Calibri" w:hAnsi="Calibri"/>
                <w:b/>
                <w:color w:val="000000"/>
                <w:sz w:val="17"/>
              </w:rPr>
              <w:t>5</w:t>
            </w:r>
          </w:p>
        </w:tc>
        <w:tc>
          <w:tcPr>
            <w:tcW w:w="2466" w:type="dxa"/>
            <w:tcBorders/>
          </w:tcPr>
          <w:p>
            <w:pPr>
              <w:pStyle w:val="normal1"/>
              <w:spacing w:lineRule="auto" w:line="252" w:before="40" w:after="40"/>
              <w:jc w:val="center"/>
              <w:rPr/>
            </w:pPr>
            <w:r>
              <w:rPr>
                <w:rFonts w:ascii="Calibri" w:hAnsi="Calibri"/>
                <w:b/>
                <w:color w:val="000000"/>
                <w:sz w:val="17"/>
              </w:rPr>
              <w:t>Sangat Kompeten</w:t>
            </w:r>
          </w:p>
        </w:tc>
        <w:tc>
          <w:tcPr>
            <w:tcW w:w="2466" w:type="dxa"/>
            <w:tcBorders/>
          </w:tcPr>
          <w:p>
            <w:pPr>
              <w:pStyle w:val="normal1"/>
              <w:spacing w:lineRule="auto" w:line="252" w:before="40" w:after="40"/>
              <w:jc w:val="center"/>
              <w:rPr/>
            </w:pPr>
            <w:r>
              <w:rPr>
                <w:rFonts w:ascii="Calibri" w:hAnsi="Calibri"/>
                <w:b w:val="false"/>
                <w:color w:val="000000"/>
                <w:sz w:val="17"/>
              </w:rPr>
              <w:t>81 - 100</w:t>
            </w:r>
          </w:p>
        </w:tc>
        <w:tc>
          <w:tcPr>
            <w:tcW w:w="2466" w:type="dxa"/>
            <w:tcBorders/>
          </w:tcPr>
          <w:p>
            <w:pPr>
              <w:pStyle w:val="normal1"/>
              <w:spacing w:lineRule="auto" w:line="252" w:before="40" w:after="40"/>
              <w:jc w:val="start"/>
              <w:rPr/>
            </w:pPr>
            <w:r>
              <w:rPr>
                <w:rFonts w:ascii="Calibri" w:hAnsi="Calibri"/>
                <w:b w:val="false"/>
                <w:color w:val="000000"/>
                <w:sz w:val="17"/>
              </w:rPr>
              <w:t>Mahasiswa menunjukkan penguasaan sangat mendalam terhadap konsep sistem informasi bisnis. Analisis keunggulan kompetitif dan rantai nilai sangat tajam dan komprehensif, pemodelan BPMN sangat konsisten dan akurat sesuai standar industri, rancangan dashboard BI sangat estetis, interaktif, dan memberikan wawasan manajerial yang sangat bernilai tinggi, laporan disusun secara profesional, dan presentasi sangat meyakinkan.</w:t>
            </w:r>
          </w:p>
        </w:tc>
      </w:tr>
      <w:tr>
        <w:trPr/>
        <w:tc>
          <w:tcPr>
            <w:tcW w:w="2466" w:type="dxa"/>
            <w:tcBorders/>
          </w:tcPr>
          <w:p>
            <w:pPr>
              <w:pStyle w:val="normal1"/>
              <w:spacing w:lineRule="auto" w:line="252" w:before="40" w:after="40"/>
              <w:jc w:val="center"/>
              <w:rPr/>
            </w:pPr>
            <w:r>
              <w:rPr>
                <w:rFonts w:ascii="Calibri" w:hAnsi="Calibri"/>
                <w:b/>
                <w:color w:val="000000"/>
                <w:sz w:val="17"/>
              </w:rPr>
              <w:t>4</w:t>
            </w:r>
          </w:p>
        </w:tc>
        <w:tc>
          <w:tcPr>
            <w:tcW w:w="2466" w:type="dxa"/>
            <w:tcBorders/>
          </w:tcPr>
          <w:p>
            <w:pPr>
              <w:pStyle w:val="normal1"/>
              <w:spacing w:lineRule="auto" w:line="252" w:before="40" w:after="40"/>
              <w:jc w:val="center"/>
              <w:rPr/>
            </w:pPr>
            <w:r>
              <w:rPr>
                <w:rFonts w:ascii="Calibri" w:hAnsi="Calibri"/>
                <w:b/>
                <w:color w:val="000000"/>
                <w:sz w:val="17"/>
              </w:rPr>
              <w:t>Kompeten</w:t>
            </w:r>
          </w:p>
        </w:tc>
        <w:tc>
          <w:tcPr>
            <w:tcW w:w="2466" w:type="dxa"/>
            <w:tcBorders/>
          </w:tcPr>
          <w:p>
            <w:pPr>
              <w:pStyle w:val="normal1"/>
              <w:spacing w:lineRule="auto" w:line="252" w:before="40" w:after="40"/>
              <w:jc w:val="center"/>
              <w:rPr/>
            </w:pPr>
            <w:r>
              <w:rPr>
                <w:rFonts w:ascii="Calibri" w:hAnsi="Calibri"/>
                <w:b w:val="false"/>
                <w:color w:val="000000"/>
                <w:sz w:val="17"/>
              </w:rPr>
              <w:t>61 - 80</w:t>
            </w:r>
          </w:p>
        </w:tc>
        <w:tc>
          <w:tcPr>
            <w:tcW w:w="2466" w:type="dxa"/>
            <w:tcBorders/>
          </w:tcPr>
          <w:p>
            <w:pPr>
              <w:pStyle w:val="normal1"/>
              <w:spacing w:lineRule="auto" w:line="252" w:before="40" w:after="40"/>
              <w:jc w:val="start"/>
              <w:rPr/>
            </w:pPr>
            <w:r>
              <w:rPr>
                <w:rFonts w:ascii="Calibri" w:hAnsi="Calibri"/>
                <w:b w:val="false"/>
                <w:color w:val="000000"/>
                <w:sz w:val="17"/>
              </w:rPr>
              <w:t>Mahasiswa mampu menerapkan konsep sistem informasi bisnis dengan baik. Analisis strategi Porter dan rantai nilai tepat, diagram BPMN memenuhi kaidah pemodelan dengan sedikit catatan minor, dashboard BI berfungsi dengan baik menampilkan KPI utama, dokumentasi laporan terstruktur rapi, dan kolaborasi tim berjalan efektif.</w:t>
            </w:r>
          </w:p>
        </w:tc>
      </w:tr>
      <w:tr>
        <w:trPr/>
        <w:tc>
          <w:tcPr>
            <w:tcW w:w="2466" w:type="dxa"/>
            <w:tcBorders/>
          </w:tcPr>
          <w:p>
            <w:pPr>
              <w:pStyle w:val="normal1"/>
              <w:spacing w:lineRule="auto" w:line="252" w:before="40" w:after="40"/>
              <w:jc w:val="center"/>
              <w:rPr/>
            </w:pPr>
            <w:r>
              <w:rPr>
                <w:rFonts w:ascii="Calibri" w:hAnsi="Calibri"/>
                <w:b/>
                <w:color w:val="000000"/>
                <w:sz w:val="17"/>
              </w:rPr>
              <w:t>3</w:t>
            </w:r>
          </w:p>
        </w:tc>
        <w:tc>
          <w:tcPr>
            <w:tcW w:w="2466" w:type="dxa"/>
            <w:tcBorders/>
          </w:tcPr>
          <w:p>
            <w:pPr>
              <w:pStyle w:val="normal1"/>
              <w:spacing w:lineRule="auto" w:line="252" w:before="40" w:after="40"/>
              <w:jc w:val="center"/>
              <w:rPr/>
            </w:pPr>
            <w:r>
              <w:rPr>
                <w:rFonts w:ascii="Calibri" w:hAnsi="Calibri"/>
                <w:b/>
                <w:color w:val="000000"/>
                <w:sz w:val="17"/>
              </w:rPr>
              <w:t>Cukup Kompeten</w:t>
            </w:r>
          </w:p>
        </w:tc>
        <w:tc>
          <w:tcPr>
            <w:tcW w:w="2466" w:type="dxa"/>
            <w:tcBorders/>
          </w:tcPr>
          <w:p>
            <w:pPr>
              <w:pStyle w:val="normal1"/>
              <w:spacing w:lineRule="auto" w:line="252" w:before="40" w:after="40"/>
              <w:jc w:val="center"/>
              <w:rPr/>
            </w:pPr>
            <w:r>
              <w:rPr>
                <w:rFonts w:ascii="Calibri" w:hAnsi="Calibri"/>
                <w:b w:val="false"/>
                <w:color w:val="000000"/>
                <w:sz w:val="17"/>
              </w:rPr>
              <w:t>41 - 60</w:t>
            </w:r>
          </w:p>
        </w:tc>
        <w:tc>
          <w:tcPr>
            <w:tcW w:w="2466" w:type="dxa"/>
            <w:tcBorders/>
          </w:tcPr>
          <w:p>
            <w:pPr>
              <w:pStyle w:val="normal1"/>
              <w:spacing w:lineRule="auto" w:line="252" w:before="40" w:after="40"/>
              <w:jc w:val="start"/>
              <w:rPr/>
            </w:pPr>
            <w:r>
              <w:rPr>
                <w:rFonts w:ascii="Calibri" w:hAnsi="Calibri"/>
                <w:b w:val="false"/>
                <w:color w:val="000000"/>
                <w:sz w:val="17"/>
              </w:rPr>
              <w:t>Mahasiswa memahami konsep dasar sistem informasi bisnis. Analisis keunggulan kompetitif memadai namun kurang mendalam, beberapa notasi BPMN kurang tepat atau membingungkan, dashboard BI menyajikan grafik dasar namun minim fasilitas interaktivitas analitik, dan laporan memiliki beberapa kekurangan format.</w:t>
            </w:r>
          </w:p>
        </w:tc>
      </w:tr>
      <w:tr>
        <w:trPr/>
        <w:tc>
          <w:tcPr>
            <w:tcW w:w="2466" w:type="dxa"/>
            <w:tcBorders/>
          </w:tcPr>
          <w:p>
            <w:pPr>
              <w:pStyle w:val="normal1"/>
              <w:spacing w:lineRule="auto" w:line="252" w:before="40" w:after="40"/>
              <w:jc w:val="center"/>
              <w:rPr/>
            </w:pPr>
            <w:r>
              <w:rPr>
                <w:rFonts w:ascii="Calibri" w:hAnsi="Calibri"/>
                <w:b/>
                <w:color w:val="000000"/>
                <w:sz w:val="17"/>
              </w:rPr>
              <w:t>2</w:t>
            </w:r>
          </w:p>
        </w:tc>
        <w:tc>
          <w:tcPr>
            <w:tcW w:w="2466" w:type="dxa"/>
            <w:tcBorders/>
          </w:tcPr>
          <w:p>
            <w:pPr>
              <w:pStyle w:val="normal1"/>
              <w:spacing w:lineRule="auto" w:line="252" w:before="40" w:after="40"/>
              <w:jc w:val="center"/>
              <w:rPr/>
            </w:pPr>
            <w:r>
              <w:rPr>
                <w:rFonts w:ascii="Calibri" w:hAnsi="Calibri"/>
                <w:b/>
                <w:color w:val="000000"/>
                <w:sz w:val="17"/>
              </w:rPr>
              <w:t>Kurang Kompeten</w:t>
            </w:r>
          </w:p>
        </w:tc>
        <w:tc>
          <w:tcPr>
            <w:tcW w:w="2466" w:type="dxa"/>
            <w:tcBorders/>
          </w:tcPr>
          <w:p>
            <w:pPr>
              <w:pStyle w:val="normal1"/>
              <w:spacing w:lineRule="auto" w:line="252" w:before="40" w:after="40"/>
              <w:jc w:val="center"/>
              <w:rPr/>
            </w:pPr>
            <w:r>
              <w:rPr>
                <w:rFonts w:ascii="Calibri" w:hAnsi="Calibri"/>
                <w:b w:val="false"/>
                <w:color w:val="000000"/>
                <w:sz w:val="17"/>
              </w:rPr>
              <w:t>21 - 40</w:t>
            </w:r>
          </w:p>
        </w:tc>
        <w:tc>
          <w:tcPr>
            <w:tcW w:w="2466" w:type="dxa"/>
            <w:tcBorders/>
          </w:tcPr>
          <w:p>
            <w:pPr>
              <w:pStyle w:val="normal1"/>
              <w:spacing w:lineRule="auto" w:line="252" w:before="40" w:after="40"/>
              <w:jc w:val="start"/>
              <w:rPr/>
            </w:pPr>
            <w:r>
              <w:rPr>
                <w:rFonts w:ascii="Calibri" w:hAnsi="Calibri"/>
                <w:b w:val="false"/>
                <w:color w:val="000000"/>
                <w:sz w:val="17"/>
              </w:rPr>
              <w:t>Mahasiswa menunjukkan pemahaman terbatas mengenai sistem informasi bisnis. Analisis strategi keliru atau dangkal, pemodelan proses bisnis melanggar aturan standar BPMN, dashboard BI tidak menampilkan KPI yang relevan atau tidak berfungsi, dan dokumentasi tugas sangat minim.</w:t>
            </w:r>
          </w:p>
        </w:tc>
      </w:tr>
      <w:tr>
        <w:trPr/>
        <w:tc>
          <w:tcPr>
            <w:tcW w:w="2466" w:type="dxa"/>
            <w:tcBorders/>
          </w:tcPr>
          <w:p>
            <w:pPr>
              <w:pStyle w:val="normal1"/>
              <w:spacing w:lineRule="auto" w:line="252" w:before="40" w:after="40"/>
              <w:jc w:val="center"/>
              <w:rPr/>
            </w:pPr>
            <w:r>
              <w:rPr>
                <w:rFonts w:ascii="Calibri" w:hAnsi="Calibri"/>
                <w:b/>
                <w:color w:val="000000"/>
                <w:sz w:val="17"/>
              </w:rPr>
              <w:t>1</w:t>
            </w:r>
          </w:p>
        </w:tc>
        <w:tc>
          <w:tcPr>
            <w:tcW w:w="2466" w:type="dxa"/>
            <w:tcBorders/>
          </w:tcPr>
          <w:p>
            <w:pPr>
              <w:pStyle w:val="normal1"/>
              <w:spacing w:lineRule="auto" w:line="252" w:before="40" w:after="40"/>
              <w:jc w:val="center"/>
              <w:rPr/>
            </w:pPr>
            <w:r>
              <w:rPr>
                <w:rFonts w:ascii="Calibri" w:hAnsi="Calibri"/>
                <w:b/>
                <w:color w:val="000000"/>
                <w:sz w:val="17"/>
              </w:rPr>
              <w:t>Tidak Kompeten</w:t>
            </w:r>
          </w:p>
        </w:tc>
        <w:tc>
          <w:tcPr>
            <w:tcW w:w="2466" w:type="dxa"/>
            <w:tcBorders/>
          </w:tcPr>
          <w:p>
            <w:pPr>
              <w:pStyle w:val="normal1"/>
              <w:spacing w:lineRule="auto" w:line="252" w:before="40" w:after="40"/>
              <w:jc w:val="center"/>
              <w:rPr/>
            </w:pPr>
            <w:r>
              <w:rPr>
                <w:rFonts w:ascii="Calibri" w:hAnsi="Calibri"/>
                <w:b w:val="false"/>
                <w:color w:val="000000"/>
                <w:sz w:val="17"/>
              </w:rPr>
              <w:t>0 - 20</w:t>
            </w:r>
          </w:p>
        </w:tc>
        <w:tc>
          <w:tcPr>
            <w:tcW w:w="2466" w:type="dxa"/>
            <w:tcBorders/>
          </w:tcPr>
          <w:p>
            <w:pPr>
              <w:pStyle w:val="normal1"/>
              <w:spacing w:lineRule="auto" w:line="252" w:before="40" w:after="40"/>
              <w:jc w:val="start"/>
              <w:rPr/>
            </w:pPr>
            <w:r>
              <w:rPr>
                <w:rFonts w:ascii="Calibri" w:hAnsi="Calibri"/>
                <w:b w:val="false"/>
                <w:color w:val="000000"/>
                <w:sz w:val="17"/>
              </w:rPr>
              <w:t>Mahasiswa tidak mampu mendemonstrasikan capaian pembelajaran. Tidak mampu melakukan analisis maupun pemodelan proses bisnis, tidak ada artefak dashboard atau laporan yang diserahkan, atau terindikasi plagiarisme berat.</w:t>
            </w:r>
          </w:p>
        </w:tc>
      </w:tr>
    </w:tbl>
    <w:sectPr>
      <w:footerReference w:type="even" r:id="rId15"/>
      <w:footerReference w:type="default" r:id="rId16"/>
      <w:footerReference w:type="first" r:id="rId17"/>
      <w:type w:val="nextPage"/>
      <w:pgSz w:w="11906" w:h="16838"/>
      <w:pgMar w:left="1020" w:right="1020" w:gutter="0" w:header="0" w:top="1580" w:footer="623" w:bottom="8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Roboto Bk">
    <w:charset w:val="01" w:characterSet="utf-8"/>
    <w:family w:val="roman"/>
    <w:pitch w:val="variable"/>
  </w:font>
  <w:font w:name="Roboto">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Arial MT">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libri">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78" w:hanging="284"/>
      </w:pPr>
      <w:rPr>
        <w:rFonts w:ascii="Arial" w:hAnsi="Arial" w:eastAsia="Arial" w:cs="Arial"/>
        <w:color w:val="231F20"/>
        <w:sz w:val="20"/>
        <w:szCs w:val="20"/>
      </w:rPr>
    </w:lvl>
    <w:lvl w:ilvl="1">
      <w:start w:val="0"/>
      <w:numFmt w:val="bullet"/>
      <w:lvlText w:val=""/>
      <w:lvlJc w:val="start"/>
      <w:pPr>
        <w:tabs>
          <w:tab w:val="num" w:pos="0"/>
        </w:tabs>
        <w:ind w:start="1958" w:hanging="284"/>
      </w:pPr>
      <w:rPr>
        <w:rFonts w:ascii="Symbol" w:hAnsi="Symbol" w:cs="Symbol" w:hint="default"/>
      </w:rPr>
    </w:lvl>
    <w:lvl w:ilvl="2">
      <w:start w:val="0"/>
      <w:numFmt w:val="bullet"/>
      <w:lvlText w:val=""/>
      <w:lvlJc w:val="start"/>
      <w:pPr>
        <w:tabs>
          <w:tab w:val="num" w:pos="0"/>
        </w:tabs>
        <w:ind w:start="2837" w:hanging="284"/>
      </w:pPr>
      <w:rPr>
        <w:rFonts w:ascii="Symbol" w:hAnsi="Symbol" w:cs="Symbol" w:hint="default"/>
      </w:rPr>
    </w:lvl>
    <w:lvl w:ilvl="3">
      <w:start w:val="0"/>
      <w:numFmt w:val="bullet"/>
      <w:lvlText w:val=""/>
      <w:lvlJc w:val="start"/>
      <w:pPr>
        <w:tabs>
          <w:tab w:val="num" w:pos="0"/>
        </w:tabs>
        <w:ind w:start="3715" w:hanging="284"/>
      </w:pPr>
      <w:rPr>
        <w:rFonts w:ascii="Symbol" w:hAnsi="Symbol" w:cs="Symbol" w:hint="default"/>
      </w:rPr>
    </w:lvl>
    <w:lvl w:ilvl="4">
      <w:start w:val="0"/>
      <w:numFmt w:val="bullet"/>
      <w:lvlText w:val=""/>
      <w:lvlJc w:val="start"/>
      <w:pPr>
        <w:tabs>
          <w:tab w:val="num" w:pos="0"/>
        </w:tabs>
        <w:ind w:start="4594" w:hanging="284"/>
      </w:pPr>
      <w:rPr>
        <w:rFonts w:ascii="Symbol" w:hAnsi="Symbol" w:cs="Symbol" w:hint="default"/>
      </w:rPr>
    </w:lvl>
    <w:lvl w:ilvl="5">
      <w:start w:val="0"/>
      <w:numFmt w:val="bullet"/>
      <w:lvlText w:val=""/>
      <w:lvlJc w:val="start"/>
      <w:pPr>
        <w:tabs>
          <w:tab w:val="num" w:pos="0"/>
        </w:tabs>
        <w:ind w:start="5472" w:hanging="284"/>
      </w:pPr>
      <w:rPr>
        <w:rFonts w:ascii="Symbol" w:hAnsi="Symbol" w:cs="Symbol" w:hint="default"/>
      </w:rPr>
    </w:lvl>
    <w:lvl w:ilvl="6">
      <w:start w:val="0"/>
      <w:numFmt w:val="bullet"/>
      <w:lvlText w:val=""/>
      <w:lvlJc w:val="start"/>
      <w:pPr>
        <w:tabs>
          <w:tab w:val="num" w:pos="0"/>
        </w:tabs>
        <w:ind w:start="6351" w:hanging="284"/>
      </w:pPr>
      <w:rPr>
        <w:rFonts w:ascii="Symbol" w:hAnsi="Symbol" w:cs="Symbol" w:hint="default"/>
      </w:rPr>
    </w:lvl>
    <w:lvl w:ilvl="7">
      <w:start w:val="0"/>
      <w:numFmt w:val="bullet"/>
      <w:lvlText w:val=""/>
      <w:lvlJc w:val="start"/>
      <w:pPr>
        <w:tabs>
          <w:tab w:val="num" w:pos="0"/>
        </w:tabs>
        <w:ind w:start="7229" w:hanging="284"/>
      </w:pPr>
      <w:rPr>
        <w:rFonts w:ascii="Symbol" w:hAnsi="Symbol" w:cs="Symbol" w:hint="default"/>
      </w:rPr>
    </w:lvl>
    <w:lvl w:ilvl="8">
      <w:start w:val="0"/>
      <w:numFmt w:val="bullet"/>
      <w:lvlText w:val=""/>
      <w:lvlJc w:val="start"/>
      <w:pPr>
        <w:tabs>
          <w:tab w:val="num" w:pos="0"/>
        </w:tabs>
        <w:ind w:start="8108" w:hanging="284"/>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embedTrueTypeFonts/>
  <w:defaultTabStop w:val="720"/>
  <w:autoHyphenation w:val="true"/>
  <w:hyphenationZone w:val="0"/>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id-ID"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start"/>
    </w:pPr>
    <w:rPr>
      <w:rFonts w:ascii="Cambria" w:hAnsi="Cambria" w:eastAsia="Cambria" w:cs="Cambria"/>
      <w:color w:val="auto"/>
      <w:kern w:val="0"/>
      <w:sz w:val="22"/>
      <w:szCs w:val="22"/>
      <w:lang w:val="id-ID" w:eastAsia="zh-CN" w:bidi="hi-IN"/>
    </w:rPr>
  </w:style>
  <w:style w:type="paragraph" w:styleId="Heading1">
    <w:name w:val="heading 1"/>
    <w:basedOn w:val="normal1"/>
    <w:next w:val="normal1"/>
    <w:uiPriority w:val="9"/>
    <w:qFormat/>
    <w:pPr>
      <w:spacing w:before="81" w:after="0"/>
      <w:jc w:val="end"/>
      <w:outlineLvl w:val="0"/>
    </w:pPr>
    <w:rPr>
      <w:b/>
      <w:bCs/>
      <w:sz w:val="72"/>
      <w:szCs w:val="72"/>
    </w:rPr>
  </w:style>
  <w:style w:type="paragraph" w:styleId="Heading2">
    <w:name w:val="heading 2"/>
    <w:basedOn w:val="normal1"/>
    <w:next w:val="normal1"/>
    <w:uiPriority w:val="9"/>
    <w:unhideWhenUsed/>
    <w:qFormat/>
    <w:pPr>
      <w:spacing w:before="89" w:after="0"/>
      <w:ind w:start="305" w:end="62"/>
      <w:jc w:val="center"/>
      <w:outlineLvl w:val="1"/>
    </w:pPr>
    <w:rPr>
      <w:rFonts w:ascii="Roboto Bk" w:hAnsi="Roboto Bk" w:eastAsia="Roboto Bk" w:cs="Roboto Bk"/>
      <w:b/>
      <w:bCs/>
      <w:sz w:val="50"/>
      <w:szCs w:val="50"/>
    </w:rPr>
  </w:style>
  <w:style w:type="paragraph" w:styleId="Heading3">
    <w:name w:val="heading 3"/>
    <w:basedOn w:val="normal1"/>
    <w:next w:val="normal1"/>
    <w:uiPriority w:val="9"/>
    <w:unhideWhenUsed/>
    <w:qFormat/>
    <w:pPr>
      <w:spacing w:before="76" w:after="0"/>
      <w:outlineLvl w:val="2"/>
    </w:pPr>
    <w:rPr>
      <w:b/>
      <w:bCs/>
      <w:sz w:val="46"/>
      <w:szCs w:val="46"/>
    </w:rPr>
  </w:style>
  <w:style w:type="paragraph" w:styleId="Heading4">
    <w:name w:val="heading 4"/>
    <w:basedOn w:val="normal1"/>
    <w:next w:val="normal1"/>
    <w:uiPriority w:val="9"/>
    <w:unhideWhenUsed/>
    <w:qFormat/>
    <w:pPr>
      <w:spacing w:before="91" w:after="0"/>
      <w:ind w:hanging="2299" w:start="982" w:end="720"/>
      <w:outlineLvl w:val="3"/>
    </w:pPr>
    <w:rPr>
      <w:rFonts w:ascii="Roboto" w:hAnsi="Roboto" w:eastAsia="Roboto" w:cs="Roboto"/>
      <w:b/>
      <w:bCs/>
      <w:sz w:val="40"/>
      <w:szCs w:val="40"/>
    </w:rPr>
  </w:style>
  <w:style w:type="paragraph" w:styleId="Heading5">
    <w:name w:val="heading 5"/>
    <w:basedOn w:val="normal1"/>
    <w:next w:val="normal1"/>
    <w:uiPriority w:val="9"/>
    <w:unhideWhenUsed/>
    <w:qFormat/>
    <w:pPr>
      <w:ind w:start="305"/>
      <w:jc w:val="center"/>
      <w:outlineLvl w:val="4"/>
    </w:pPr>
    <w:rPr>
      <w:rFonts w:ascii="Roboto Bk" w:hAnsi="Roboto Bk" w:eastAsia="Roboto Bk" w:cs="Roboto Bk"/>
      <w:b/>
      <w:bCs/>
      <w:sz w:val="36"/>
      <w:szCs w:val="36"/>
    </w:rPr>
  </w:style>
  <w:style w:type="paragraph" w:styleId="Heading6">
    <w:name w:val="heading 6"/>
    <w:basedOn w:val="normal1"/>
    <w:next w:val="normal1"/>
    <w:uiPriority w:val="9"/>
    <w:unhideWhenUsed/>
    <w:qFormat/>
    <w:pPr>
      <w:ind w:start="305" w:end="63"/>
      <w:jc w:val="center"/>
      <w:outlineLvl w:val="5"/>
    </w:pPr>
    <w:rPr>
      <w:rFonts w:ascii="Roboto" w:hAnsi="Roboto" w:eastAsia="Roboto" w:cs="Roboto"/>
      <w:b/>
      <w:bCs/>
      <w:sz w:val="34"/>
      <w:szCs w:val="34"/>
    </w:rPr>
  </w:style>
  <w:style w:type="paragraph" w:styleId="Heading7">
    <w:name w:val="heading 7"/>
    <w:basedOn w:val="normal1"/>
    <w:uiPriority w:val="1"/>
    <w:qFormat/>
    <w:pPr>
      <w:ind w:start="477"/>
      <w:outlineLvl w:val="6"/>
    </w:pPr>
    <w:rPr>
      <w:rFonts w:ascii="Arial" w:hAnsi="Arial" w:eastAsia="Arial" w:cs="Arial"/>
      <w:b/>
      <w:bCs/>
      <w:sz w:val="32"/>
      <w:szCs w:val="32"/>
    </w:rPr>
  </w:style>
  <w:style w:type="paragraph" w:styleId="Heading8">
    <w:name w:val="heading 8"/>
    <w:basedOn w:val="normal1"/>
    <w:uiPriority w:val="1"/>
    <w:qFormat/>
    <w:pPr>
      <w:spacing w:before="19" w:after="0"/>
      <w:ind w:start="20"/>
      <w:outlineLvl w:val="7"/>
    </w:pPr>
    <w:rPr>
      <w:rFonts w:ascii="Arial MT" w:hAnsi="Arial MT" w:eastAsia="Arial MT" w:cs="Arial MT"/>
      <w:sz w:val="28"/>
      <w:szCs w:val="28"/>
    </w:rPr>
  </w:style>
  <w:style w:type="paragraph" w:styleId="Heading9">
    <w:name w:val="heading 9"/>
    <w:basedOn w:val="normal1"/>
    <w:uiPriority w:val="1"/>
    <w:qFormat/>
    <w:pPr>
      <w:ind w:hanging="568" w:start="1214"/>
      <w:outlineLvl w:val="8"/>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b2a2f"/>
    <w:rPr>
      <w:rFonts w:ascii="Cambria" w:hAnsi="Cambria" w:eastAsia="Cambria" w:cs="Cambria"/>
      <w:lang w:val="id-ID"/>
    </w:rPr>
  </w:style>
  <w:style w:type="character" w:styleId="FooterChar" w:customStyle="1">
    <w:name w:val="Footer Char"/>
    <w:basedOn w:val="DefaultParagraphFont"/>
    <w:link w:val="Footer"/>
    <w:uiPriority w:val="99"/>
    <w:qFormat/>
    <w:rsid w:val="00eb2a2f"/>
    <w:rPr>
      <w:rFonts w:ascii="Cambria" w:hAnsi="Cambria" w:eastAsia="Cambria" w:cs="Cambria"/>
      <w:lang w:val="id-ID"/>
    </w:rPr>
  </w:style>
  <w:style w:type="character" w:styleId="CommentReference">
    <w:name w:val="annotation reference"/>
    <w:basedOn w:val="DefaultParagraphFont"/>
    <w:uiPriority w:val="99"/>
    <w:semiHidden/>
    <w:unhideWhenUsed/>
    <w:qFormat/>
    <w:rsid w:val="00a744f2"/>
    <w:rPr>
      <w:sz w:val="16"/>
      <w:szCs w:val="16"/>
    </w:rPr>
  </w:style>
  <w:style w:type="character" w:styleId="CommentTextChar" w:customStyle="1">
    <w:name w:val="Comment Text Char"/>
    <w:basedOn w:val="DefaultParagraphFont"/>
    <w:link w:val="CommentText"/>
    <w:uiPriority w:val="99"/>
    <w:semiHidden/>
    <w:qFormat/>
    <w:rsid w:val="00a744f2"/>
    <w:rPr>
      <w:rFonts w:ascii="Cambria" w:hAnsi="Cambria" w:eastAsia="Cambria" w:cs="Cambria"/>
      <w:sz w:val="20"/>
      <w:szCs w:val="20"/>
      <w:lang w:val="id-ID"/>
    </w:rPr>
  </w:style>
  <w:style w:type="character" w:styleId="CommentSubjectChar" w:customStyle="1">
    <w:name w:val="Comment Subject Char"/>
    <w:basedOn w:val="CommentTextChar"/>
    <w:link w:val="annotationsubject"/>
    <w:uiPriority w:val="99"/>
    <w:semiHidden/>
    <w:qFormat/>
    <w:rsid w:val="00a744f2"/>
    <w:rPr>
      <w:rFonts w:ascii="Cambria" w:hAnsi="Cambria" w:eastAsia="Cambria" w:cs="Cambria"/>
      <w:b/>
      <w:bCs/>
      <w:sz w:val="20"/>
      <w:szCs w:val="20"/>
      <w:lang w:val="id-I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start"/>
    </w:pPr>
    <w:rPr>
      <w:rFonts w:ascii="Cambria" w:hAnsi="Cambria" w:eastAsia="Cambria" w:cs="Cambria"/>
      <w:color w:val="auto"/>
      <w:kern w:val="0"/>
      <w:sz w:val="22"/>
      <w:szCs w:val="22"/>
      <w:lang w:val="id-ID"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TOC1">
    <w:name w:val="toc 1"/>
    <w:basedOn w:val="normal1"/>
    <w:uiPriority w:val="1"/>
    <w:qFormat/>
    <w:pPr>
      <w:spacing w:before="295" w:after="0"/>
      <w:ind w:start="193"/>
    </w:pPr>
    <w:rPr>
      <w:b/>
      <w:bCs/>
      <w:sz w:val="24"/>
      <w:szCs w:val="24"/>
    </w:rPr>
  </w:style>
  <w:style w:type="paragraph" w:styleId="TOC2">
    <w:name w:val="toc 2"/>
    <w:basedOn w:val="normal1"/>
    <w:uiPriority w:val="1"/>
    <w:qFormat/>
    <w:pPr>
      <w:spacing w:before="7" w:after="0"/>
      <w:ind w:start="193"/>
    </w:pPr>
    <w:rPr>
      <w:sz w:val="24"/>
      <w:szCs w:val="24"/>
    </w:rPr>
  </w:style>
  <w:style w:type="paragraph" w:styleId="TOC3">
    <w:name w:val="toc 3"/>
    <w:basedOn w:val="normal1"/>
    <w:uiPriority w:val="1"/>
    <w:qFormat/>
    <w:pPr>
      <w:spacing w:before="6" w:after="0"/>
      <w:ind w:start="930"/>
    </w:pPr>
    <w:rPr>
      <w:sz w:val="24"/>
      <w:szCs w:val="24"/>
    </w:rPr>
  </w:style>
  <w:style w:type="paragraph" w:styleId="ListParagraph">
    <w:name w:val="List Paragraph"/>
    <w:basedOn w:val="normal1"/>
    <w:uiPriority w:val="1"/>
    <w:qFormat/>
    <w:pPr>
      <w:ind w:hanging="567" w:start="1214"/>
      <w:jc w:val="both"/>
    </w:pPr>
    <w:rPr/>
  </w:style>
  <w:style w:type="paragraph" w:styleId="TableParagraph" w:customStyle="1">
    <w:name w:val="Table Paragraph"/>
    <w:basedOn w:val="normal1"/>
    <w:uiPriority w:val="1"/>
    <w:qFormat/>
    <w:pPr/>
    <w:rPr>
      <w:rFonts w:ascii="Arial MT" w:hAnsi="Arial MT" w:eastAsia="Arial MT" w:cs="Arial MT"/>
    </w:rPr>
  </w:style>
  <w:style w:type="paragraph" w:styleId="HeaderandFooter">
    <w:name w:val="Header and Footer"/>
    <w:basedOn w:val="Normal"/>
    <w:qFormat/>
    <w:pPr/>
    <w:rPr/>
  </w:style>
  <w:style w:type="paragraph" w:styleId="Header">
    <w:name w:val="header"/>
    <w:basedOn w:val="normal1"/>
    <w:link w:val="HeaderChar"/>
    <w:uiPriority w:val="99"/>
    <w:unhideWhenUsed/>
    <w:rsid w:val="00eb2a2f"/>
    <w:pPr>
      <w:tabs>
        <w:tab w:val="clear" w:pos="720"/>
        <w:tab w:val="center" w:pos="4513" w:leader="none"/>
        <w:tab w:val="right" w:pos="9026" w:leader="none"/>
      </w:tabs>
    </w:pPr>
    <w:rPr/>
  </w:style>
  <w:style w:type="paragraph" w:styleId="Footer">
    <w:name w:val="footer"/>
    <w:basedOn w:val="normal1"/>
    <w:link w:val="FooterChar"/>
    <w:uiPriority w:val="99"/>
    <w:unhideWhenUsed/>
    <w:rsid w:val="00eb2a2f"/>
    <w:pPr>
      <w:tabs>
        <w:tab w:val="clear" w:pos="720"/>
        <w:tab w:val="center" w:pos="4513" w:leader="none"/>
        <w:tab w:val="right" w:pos="9026" w:leader="none"/>
      </w:tabs>
    </w:pPr>
    <w:rPr/>
  </w:style>
  <w:style w:type="paragraph" w:styleId="CommentText">
    <w:name w:val="annotation text"/>
    <w:basedOn w:val="normal1"/>
    <w:link w:val="CommentTextChar"/>
    <w:uiPriority w:val="99"/>
    <w:semiHidden/>
    <w:unhideWhenUsed/>
    <w:rsid w:val="00a744f2"/>
    <w:pPr/>
    <w:rPr>
      <w:sz w:val="20"/>
      <w:szCs w:val="20"/>
    </w:rPr>
  </w:style>
  <w:style w:type="paragraph" w:styleId="annotationsubject">
    <w:name w:val="annotation subject"/>
    <w:basedOn w:val="CommentText"/>
    <w:next w:val="CommentText"/>
    <w:link w:val="CommentSubjectChar"/>
    <w:uiPriority w:val="99"/>
    <w:semiHidden/>
    <w:unhideWhenUsed/>
    <w:qFormat/>
    <w:rsid w:val="00a744f2"/>
    <w:pPr/>
    <w:rPr>
      <w:b/>
      <w:bC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image" Target="media/image3.png"/><Relationship Id="rId14" Type="http://schemas.openxmlformats.org/officeDocument/2006/relationships/image" Target="media/image3.png"/><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Nqf7As26l18xulSe3rQvigq2omw==">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LibreOffice/26.2.5.2$Linux_X86_64 LibreOffice_project/6d2b0d33fb0f5da53a12f98bed3e9973e56ff1f0</Application>
  <AppVersion>15.0000</AppVersion>
  <Pages>12</Pages>
  <Words>3703</Words>
  <Characters>24711</Characters>
  <CharactersWithSpaces>28133</CharactersWithSpaces>
  <Paragraphs>326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2024-08-01T05:36:00Z</dcterms:created>
  <dc:creator>AFIRMASI-0197</dc:creator>
  <dc:description/>
  <dc:language>en-US</dc:language>
  <cp:lastModifiedBy/>
  <dcterms:modified xsi:type="dcterms:W3CDTF">2026-09-24T22:31:15Z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2024-07-20T00:00:00Z</vt:lpwstr>
  </property>
  <property fmtid="{D5CDD505-2E9C-101B-9397-08002B2CF9AE}" pid="3" name="Creator">
    <vt:lpwstr>Acrobat Pro DC 22.2.20191</vt:lpwstr>
  </property>
  <property fmtid="{D5CDD505-2E9C-101B-9397-08002B2CF9AE}" pid="4" name="LastSaved">
    <vt:lpwstr>2024-07-28T00:00:00Z</vt:lpwstr>
  </property>
</Properties>
</file>