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40" w:before="5" w:after="0"/>
        <w:ind w:hanging="0" w:start="0" w:end="0"/>
        <w:jc w:val="start"/>
        <w:rPr>
          <w:rFonts w:ascii="Roboto" w:hAnsi="Roboto" w:eastAsia="Roboto" w:cs="Roboto"/>
          <w:b w:val="false"/>
          <w:bCs w:val="false"/>
          <w:i w:val="false"/>
          <w:iCs w:val="false"/>
          <w:caps w:val="false"/>
          <w:smallCaps w:val="false"/>
          <w:strike w:val="false"/>
          <w:dstrike w:val="false"/>
          <w:color w:val="000000"/>
          <w:position w:val="0"/>
          <w:sz w:val="13"/>
          <w:szCs w:val="13"/>
          <w:u w:val="none"/>
          <w:shd w:fill="auto" w:val="clear"/>
          <w:vertAlign w:val="baseline"/>
        </w:rPr>
      </w:pPr>
      <w:r>
        <w:rPr>
          <w:rFonts w:eastAsia="Roboto" w:cs="Roboto" w:ascii="Roboto" w:hAnsi="Roboto"/>
          <w:b w:val="false"/>
          <w:bCs w:val="false"/>
          <w:i w:val="false"/>
          <w:iCs w:val="false"/>
          <w:caps w:val="false"/>
          <w:smallCaps w:val="false"/>
          <w:strike w:val="false"/>
          <w:dstrike w:val="false"/>
          <w:color w:val="000000"/>
          <w:position w:val="0"/>
          <w:sz w:val="13"/>
          <w:szCs w:val="13"/>
          <w:u w:val="none"/>
          <w:shd w:fill="auto" w:val="clear"/>
          <w:vertAlign w:val="baseline"/>
        </w:rPr>
        <mc:AlternateContent>
          <mc:Choice Requires="wps">
            <w:drawing>
              <wp:anchor distT="0" distB="0" distL="0" distR="0" simplePos="0" relativeHeight="2" behindDoc="0" locked="0" layoutInCell="0" allowOverlap="1">
                <wp:simplePos x="0" y="0"/>
                <wp:positionH relativeFrom="page">
                  <wp:posOffset>282575</wp:posOffset>
                </wp:positionH>
                <wp:positionV relativeFrom="page">
                  <wp:posOffset>6494780</wp:posOffset>
                </wp:positionV>
                <wp:extent cx="239395" cy="267970"/>
                <wp:effectExtent l="0" t="0" r="0" b="0"/>
                <wp:wrapNone/>
                <wp:docPr id="1" name="Shape 7"/>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117</w:t>
                            </w:r>
                          </w:p>
                        </w:txbxContent>
                      </wps:txbx>
                      <wps:bodyPr lIns="0" tIns="0" rIns="0" bIns="0" anchor="t">
                        <a:noAutofit/>
                      </wps:bodyPr>
                    </wps:wsp>
                  </a:graphicData>
                </a:graphic>
              </wp:anchor>
            </w:drawing>
          </mc:Choice>
          <mc:Fallback>
            <w:pict>
              <v:rect id="shape_0" stroked="f" o:allowincell="f" style="position:absolute;margin-left:22.2pt;margin-top:511.4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117</w:t>
                      </w:r>
                    </w:p>
                  </w:txbxContent>
                </v:textbox>
                <w10:wrap type="none"/>
              </v:rect>
            </w:pict>
          </mc:Fallback>
        </mc:AlternateContent>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3"/>
          <w:szCs w:val="23"/>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3"/>
          <w:szCs w:val="23"/>
          <w:u w:val="none"/>
          <w:shd w:fill="auto" w:val="clear"/>
          <w:vertAlign w:val="baseline"/>
        </w:rPr>
      </w:r>
    </w:p>
    <w:tbl>
      <w:tblPr>
        <w:tblStyle w:val="Table1"/>
        <w:tblW w:w="14292" w:type="dxa"/>
        <w:jc w:val="start"/>
        <w:tblInd w:w="128" w:type="dxa"/>
        <w:tblLayout w:type="fixed"/>
        <w:tblCellMar>
          <w:top w:w="0" w:type="dxa"/>
          <w:start w:w="108" w:type="dxa"/>
          <w:bottom w:w="0" w:type="dxa"/>
          <w:end w:w="108" w:type="dxa"/>
        </w:tblCellMar>
        <w:tblLook w:val="0000"/>
      </w:tblPr>
      <w:tblGrid>
        <w:gridCol w:w="1797"/>
        <w:gridCol w:w="1031"/>
        <w:gridCol w:w="3473"/>
        <w:gridCol w:w="3674"/>
        <w:gridCol w:w="3056"/>
        <w:gridCol w:w="1261"/>
      </w:tblGrid>
      <w:tr>
        <w:trPr>
          <w:trHeight w:val="1027" w:hRule="atLeast"/>
        </w:trPr>
        <w:tc>
          <w:tcPr>
            <w:tcW w:w="1797" w:type="dxa"/>
            <w:tcBorders>
              <w:top w:val="single" w:sz="4" w:space="0" w:color="231F20"/>
              <w:start w:val="single" w:sz="4" w:space="0" w:color="231F20"/>
              <w:bottom w:val="single" w:sz="4" w:space="0" w:color="231F20"/>
              <w:end w:val="single" w:sz="4" w:space="0" w:color="231F20"/>
            </w:tcBorders>
            <w:shd w:fill="auto" w:val="clear"/>
          </w:tcPr>
          <w:p>
            <w:pPr>
              <w:pStyle w:val="normal1"/>
              <w:keepNext w:val="false"/>
              <w:keepLines w:val="false"/>
              <w:widowControl w:val="false"/>
              <w:pBdr/>
              <w:shd w:val="clear" w:fill="auto"/>
              <w:spacing w:lineRule="auto" w:line="240" w:before="0" w:after="0"/>
              <w:ind w:hanging="0" w:start="0" w:end="0"/>
              <w:jc w:val="start"/>
              <w:rPr>
                <w:rFonts w:ascii="Arial" w:hAnsi="Arial" w:eastAsia="Arial" w:cs="Arial"/>
                <w:b/>
                <w:bCs/>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2"/>
                <w:szCs w:val="22"/>
                <w:u w:val="none"/>
                <w:shd w:fill="auto" w:val="clear"/>
                <w:vertAlign w:val="baseline"/>
              </w:rPr>
              <w:drawing>
                <wp:anchor distT="0" distB="0" distL="0" distR="0" simplePos="0" relativeHeight="4" behindDoc="0" locked="0" layoutInCell="1" allowOverlap="1">
                  <wp:simplePos x="0" y="0"/>
                  <wp:positionH relativeFrom="column">
                    <wp:posOffset>255270</wp:posOffset>
                  </wp:positionH>
                  <wp:positionV relativeFrom="paragraph">
                    <wp:posOffset>27940</wp:posOffset>
                  </wp:positionV>
                  <wp:extent cx="615950" cy="602615"/>
                  <wp:effectExtent l="0" t="0" r="0" b="0"/>
                  <wp:wrapNone/>
                  <wp:docPr id="2" name="image1.jpg" descr="UNIROW LOGO WA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UNIROW LOGO WARNA"/>
                          <pic:cNvPicPr>
                            <a:picLocks noChangeAspect="1" noChangeArrowheads="1"/>
                          </pic:cNvPicPr>
                        </pic:nvPicPr>
                        <pic:blipFill>
                          <a:blip r:embed="rId2"/>
                          <a:stretch>
                            <a:fillRect/>
                          </a:stretch>
                        </pic:blipFill>
                        <pic:spPr bwMode="auto">
                          <a:xfrm>
                            <a:off x="0" y="0"/>
                            <a:ext cx="615950" cy="602615"/>
                          </a:xfrm>
                          <a:prstGeom prst="rect">
                            <a:avLst/>
                          </a:prstGeom>
                          <a:noFill/>
                        </pic:spPr>
                      </pic:pic>
                    </a:graphicData>
                  </a:graphic>
                </wp:anchor>
              </w:drawing>
            </w:r>
          </w:p>
          <w:p>
            <w:pPr>
              <w:pStyle w:val="normal1"/>
              <w:keepNext w:val="false"/>
              <w:keepLines w:val="false"/>
              <w:widowControl w:val="false"/>
              <w:pBdr/>
              <w:shd w:val="clear" w:fill="auto"/>
              <w:spacing w:lineRule="auto" w:line="240" w:before="0" w:after="0"/>
              <w:ind w:hanging="0" w:start="353"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1234" w:type="dxa"/>
            <w:gridSpan w:val="4"/>
            <w:tcBorders>
              <w:top w:val="single" w:sz="4" w:space="0" w:color="231F20"/>
              <w:start w:val="single" w:sz="4" w:space="0" w:color="231F20"/>
              <w:bottom w:val="single" w:sz="6" w:space="0" w:color="231F20"/>
              <w:end w:val="single" w:sz="4" w:space="0" w:color="231F20"/>
            </w:tcBorders>
            <w:shd w:fill="auto" w:val="clear"/>
          </w:tcPr>
          <w:p>
            <w:pPr>
              <w:spacing w:before="40" w:after="40" w:line="252" w:lineRule="auto"/>
              <w:jc w:val="center"/>
            </w:pPr>
            <w:r>
              <w:rPr>
                <w:rFonts w:ascii="Calibri" w:hAnsi="Calibri"/>
                <w:b/>
                <w:color w:val="000000"/>
                <w:sz w:val="20"/>
              </w:rPr>
              <w:t>UNIVERSITAS PGRI RONGGOLAWE</w:t>
              <w:br/>
              <w:t>FAKULTAS SAINS DAN TEKNOLOGI</w:t>
              <w:br/>
              <w:t>PROGRAM STUDI S1 INFORMATIKA</w:t>
            </w:r>
          </w:p>
        </w:tc>
        <w:tc>
          <w:tcPr>
            <w:tcW w:w="1261" w:type="dxa"/>
            <w:tcBorders>
              <w:top w:val="single" w:sz="4" w:space="0" w:color="231F20"/>
              <w:start w:val="single" w:sz="4" w:space="0" w:color="231F20"/>
              <w:bottom w:val="single" w:sz="4" w:space="0" w:color="231F20"/>
              <w:end w:val="single" w:sz="4" w:space="0" w:color="231F20"/>
            </w:tcBorders>
            <w:shd w:fill="auto" w:val="clear"/>
          </w:tcPr>
          <w:p>
            <w:pPr>
              <w:spacing w:before="40" w:after="40" w:line="252" w:lineRule="auto"/>
              <w:jc w:val="center"/>
            </w:pPr>
            <w:r>
              <w:rPr>
                <w:rFonts w:ascii="Calibri" w:hAnsi="Calibri"/>
                <w:b/>
                <w:color w:val="000000"/>
                <w:sz w:val="18"/>
              </w:rPr>
              <w:t>Kode Dokumen:</w:t>
              <w:br/>
              <w:t>RPS-INF-IF440524</w:t>
            </w:r>
          </w:p>
        </w:tc>
      </w:tr>
      <w:tr>
        <w:trPr>
          <w:trHeight w:val="276" w:hRule="atLeast"/>
        </w:trPr>
        <w:tc>
          <w:tcPr>
            <w:tcW w:w="14292" w:type="dxa"/>
            <w:gridSpan w:val="6"/>
            <w:tcBorders>
              <w:top w:val="single" w:sz="6" w:space="0" w:color="231F20"/>
              <w:start w:val="single" w:sz="4" w:space="0" w:color="231F20"/>
              <w:bottom w:val="single" w:sz="6" w:space="0" w:color="231F20"/>
              <w:end w:val="single" w:sz="4" w:space="0" w:color="231F20"/>
            </w:tcBorders>
            <w:shd w:fill="auto" w:val="clear"/>
          </w:tcPr>
          <w:p>
            <w:pPr>
              <w:pStyle w:val="normal1"/>
              <w:keepNext w:val="false"/>
              <w:keepLines w:val="false"/>
              <w:widowControl w:val="false"/>
              <w:pBdr/>
              <w:shd w:val="clear" w:fill="auto"/>
              <w:spacing w:lineRule="auto" w:line="240" w:before="34" w:after="0"/>
              <w:ind w:hanging="0" w:start="5715" w:end="570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RENCANA PEMBELAJARAN SEMESTER</w:t>
            </w:r>
          </w:p>
        </w:tc>
      </w:tr>
      <w:tr>
        <w:trPr>
          <w:trHeight w:val="492" w:hRule="atLeast"/>
        </w:trPr>
        <w:tc>
          <w:tcPr>
            <w:tcW w:w="179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MATA KULIAH (MK)</w:t>
            </w:r>
          </w:p>
        </w:tc>
        <w:tc>
          <w:tcPr>
            <w:tcW w:w="1031"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302"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KODE</w:t>
            </w:r>
          </w:p>
        </w:tc>
        <w:tc>
          <w:tcPr>
            <w:tcW w:w="3473" w:type="dxa"/>
            <w:tcBorders>
              <w:top w:val="single" w:sz="6" w:space="0" w:color="231F20"/>
              <w:start w:val="single" w:sz="4" w:space="0" w:color="231F20"/>
              <w:bottom w:val="single" w:sz="6"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1132" w:end="112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Rumpun MK</w:t>
            </w:r>
          </w:p>
        </w:tc>
        <w:tc>
          <w:tcPr>
            <w:tcW w:w="3674"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204" w:end="19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BOBOT (sks)</w:t>
            </w:r>
          </w:p>
        </w:tc>
        <w:tc>
          <w:tcPr>
            <w:tcW w:w="3056"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42" w:after="0"/>
              <w:ind w:hanging="0" w:start="1064" w:end="10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SEMESTER</w:t>
            </w:r>
          </w:p>
        </w:tc>
        <w:tc>
          <w:tcPr>
            <w:tcW w:w="1261"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34" w:after="0"/>
              <w:ind w:firstLine="321" w:start="202" w:end="171"/>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Tgl Penyusunan</w:t>
            </w:r>
          </w:p>
        </w:tc>
      </w:tr>
      <w:tr>
        <w:trPr>
          <w:trHeight w:val="276" w:hRule="atLeast"/>
        </w:trPr>
        <w:tc>
          <w:tcPr>
            <w:tcW w:w="1797"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Basis Data Lanjut</w:t>
            </w:r>
          </w:p>
        </w:tc>
        <w:tc>
          <w:tcPr>
            <w:tcW w:w="1031"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IF440524</w:t>
            </w:r>
          </w:p>
        </w:tc>
        <w:tc>
          <w:tcPr>
            <w:tcW w:w="3473" w:type="dxa"/>
            <w:tcBorders>
              <w:top w:val="single" w:sz="6"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Rekayasa Perangkat Lunak &amp; Data</w:t>
            </w:r>
          </w:p>
        </w:tc>
        <w:tc>
          <w:tcPr>
            <w:tcW w:w="3674"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3</w:t>
            </w:r>
          </w:p>
        </w:tc>
        <w:tc>
          <w:tcPr>
            <w:tcW w:w="3056"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4</w:t>
            </w:r>
          </w:p>
        </w:tc>
        <w:tc>
          <w:tcPr>
            <w:tcW w:w="1261"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t>24 September 2026</w:t>
            </w:r>
          </w:p>
        </w:tc>
      </w:tr>
      <w:tr>
        <w:trPr>
          <w:trHeight w:val="278" w:hRule="atLeast"/>
        </w:trPr>
        <w:tc>
          <w:tcPr>
            <w:tcW w:w="1797" w:type="dxa"/>
            <w:vMerge w:val="restart"/>
            <w:tcBorders>
              <w:top w:val="single" w:sz="4" w:space="0" w:color="231F20"/>
              <w:start w:val="single" w:sz="6" w:space="0" w:color="231F20"/>
              <w:bottom w:val="single" w:sz="4" w:space="0" w:color="231F20"/>
              <w:end w:val="single" w:sz="6" w:space="0" w:color="231F20"/>
            </w:tcBorders>
          </w:tcPr>
          <w:p>
            <w:pPr>
              <w:pStyle w:val="normal1"/>
              <w:keepNext w:val="false"/>
              <w:keepLines w:val="false"/>
              <w:widowControl w:val="false"/>
              <w:pBdr/>
              <w:shd w:val="clear" w:fill="auto"/>
              <w:spacing w:lineRule="auto" w:line="25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OTORISASI / PENGESAHAN</w:t>
            </w:r>
          </w:p>
        </w:tc>
        <w:tc>
          <w:tcPr>
            <w:tcW w:w="4504" w:type="dxa"/>
            <w:gridSpan w:val="2"/>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37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Dosen Pengembang RPS</w:t>
            </w:r>
          </w:p>
        </w:tc>
        <w:tc>
          <w:tcPr>
            <w:tcW w:w="3674"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228"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Koordinator RMK</w:t>
            </w:r>
          </w:p>
        </w:tc>
        <w:tc>
          <w:tcPr>
            <w:tcW w:w="4317" w:type="dxa"/>
            <w:gridSpan w:val="2"/>
            <w:tcBorders>
              <w:top w:val="single" w:sz="6"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4" w:after="0"/>
              <w:ind w:hanging="0" w:start="1796" w:end="178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Ka PRODI</w:t>
            </w:r>
          </w:p>
        </w:tc>
      </w:tr>
      <w:tr>
        <w:trPr>
          <w:trHeight w:val="1390" w:hRule="atLeast"/>
        </w:trPr>
        <w:tc>
          <w:tcPr>
            <w:tcW w:w="1797" w:type="dxa"/>
            <w:vMerge w:val="continue"/>
            <w:tcBorders>
              <w:top w:val="single" w:sz="4" w:space="0" w:color="231F20"/>
              <w:start w:val="single" w:sz="6" w:space="0" w:color="231F20"/>
              <w:bottom w:val="single" w:sz="4" w:space="0" w:color="231F20"/>
              <w:end w:val="single" w:sz="6"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ANDY HARYOKO, ST., MT</w:t>
            </w:r>
          </w:p>
        </w:tc>
        <w:tc>
          <w:tcPr>
            <w:tcW w:w="3674" w:type="dxa"/>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ANDY HARYOKO, ST., MT</w:t>
            </w:r>
          </w:p>
        </w:tc>
        <w:tc>
          <w:tcPr>
            <w:tcW w:w="4317" w:type="dxa"/>
            <w:gridSpan w:val="2"/>
            <w:tcBorders>
              <w:top w:val="single" w:sz="4" w:space="0" w:color="231F20"/>
              <w:start w:val="single" w:sz="4" w:space="0" w:color="231F20"/>
              <w:bottom w:val="single" w:sz="4" w:space="0" w:color="231F20"/>
              <w:end w:val="single" w:sz="4" w:space="0" w:color="231F20"/>
            </w:tcBorders>
          </w:tcPr>
          <w:p>
            <w:pPr>
              <w:spacing w:before="40" w:after="40" w:line="252" w:lineRule="auto"/>
              <w:jc w:val="center"/>
            </w:pPr>
            <w:r>
              <w:rPr>
                <w:rFonts w:ascii="Calibri" w:hAnsi="Calibri"/>
                <w:b w:val="0"/>
                <w:color w:val="000000"/>
                <w:sz w:val="18"/>
              </w:rPr>
              <w:br/>
              <w:br/>
              <w:t>TTD</w:t>
              <w:br/>
              <w:br/>
              <w:t>AMALUDIN ARIFIA, M.Kom.</w:t>
              <w:br/>
              <w:t>NIDN: 07xxxxxxxx</w:t>
            </w:r>
          </w:p>
        </w:tc>
      </w:tr>
      <w:tr>
        <w:trPr>
          <w:trHeight w:val="276" w:hRule="atLeast"/>
        </w:trPr>
        <w:tc>
          <w:tcPr>
            <w:tcW w:w="1797" w:type="dxa"/>
            <w:vMerge w:val="restart"/>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Capaian Pembelajaran</w:t>
            </w:r>
          </w:p>
        </w:tc>
        <w:tc>
          <w:tcPr>
            <w:tcW w:w="4504" w:type="dxa"/>
            <w:gridSpan w:val="2"/>
            <w:tcBorders>
              <w:top w:val="single" w:sz="4" w:space="0" w:color="231F20"/>
              <w:start w:val="dashed"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CPL-PRODI yang dibebankan pada 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CPL03</w:t>
              <w:br/>
              <w:br/>
              <w:t>CPL04</w:t>
              <w:br/>
              <w:br/>
              <w:t>CPL08</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CPL03: Memiliki kemampuan memahami cara kerja sistem komputer serta menerapkan berbagai algoritma/metode untuk memecahkan masalah dalam suatu organisasi.</w:t>
              <w:br/>
              <w:br/>
              <w:t>CPL04: Memiliki kompetensi dalam menganalisis persoalan computing yang kompleks untuk mengidentifikasi solusi pengelolaan proyek teknologi di bidang informatika/ilmu komputer dengan mempertimbangkan perkembangan ilmu transdisiplin.</w:t>
              <w:br/>
              <w:br/>
              <w:t>CPL08: Memiliki kemampuan untuk mengimplementasikan kebutuhan computing dengan menggunakan berbagai metode/algoritma yang sesuai dengan kebutuhan pengguna.</w:t>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dashed" w:sz="4" w:space="0" w:color="231F20"/>
              <w:bottom w:val="single" w:sz="4" w:space="0" w:color="231F20"/>
              <w:end w:val="single" w:sz="4" w:space="0" w:color="231F20"/>
            </w:tcBorders>
            <w:shd w:fill="EDECE0"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Capaian Pembelajaran Mata Kuliah (CPMK)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CPMK1 (100%)</w:t>
              <w:br/>
              <w:br/>
              <w:t>CPMK2 (100%)</w:t>
              <w:br/>
              <w:br/>
              <w:t>CPMK3 (100%)</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CPMK1 [induk CPL03]: Mampu menganalisis arsitektur internal Database Management System (DBMS), struktur penyimpanan data fisik (indexing, B+ Tree, Hash), serta mekanisme pemrosesan dan optimasi query (query optimization &amp; execution plans) [C4].</w:t>
              <w:br/>
              <w:br/>
              <w:t>CPMK2 [induk CPL04]: Mampu mengevaluasi manajemen transaksi ACID, protokol kontrol konkurensi (2PL, Timestamping, MVCC), teknik crash recovery (Write-Ahead Logging, ARIES), serta merancang tata kelola keamanan basis data enterprise [C5].</w:t>
              <w:br/>
              <w:br/>
              <w:t>CPMK3 [induk CPL08]: Mampu mengimplementasikan pemrograman basis data tingkat lanjut (Stored Procedures, Triggers, Views, CTE) serta merancang arsitektur basis data terdistribusi (sharding, replikasi) dan non-relasional (NoSQL: MongoDB, Redis) [C6, P4].</w:t>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4504" w:type="dxa"/>
            <w:gridSpan w:val="2"/>
            <w:tcBorders>
              <w:top w:val="single" w:sz="4" w:space="0" w:color="231F20"/>
              <w:start w:val="dashed" w:sz="4" w:space="0" w:color="231F20"/>
              <w:bottom w:val="single" w:sz="4" w:space="0" w:color="231F20"/>
              <w:end w:val="single" w:sz="4" w:space="0" w:color="231F20"/>
            </w:tcBorders>
            <w:shd w:fill="EDECE0"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Kemampuan akhir tiap tahapan belajar MK (SubCPMK)</w:t>
            </w:r>
          </w:p>
        </w:tc>
        <w:tc>
          <w:tcPr>
            <w:tcW w:w="7991" w:type="dxa"/>
            <w:gridSpan w:val="3"/>
            <w:tcBorders>
              <w:top w:val="single" w:sz="6" w:space="0" w:color="231F20"/>
              <w:start w:val="single" w:sz="4" w:space="0" w:color="231F20"/>
              <w:bottom w:val="single" w:sz="6"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r>
      <w:tr>
        <w:trPr>
          <w:trHeight w:val="276" w:hRule="atLeast"/>
        </w:trPr>
        <w:tc>
          <w:tcPr>
            <w:tcW w:w="1797" w:type="dxa"/>
            <w:vMerge w:val="continue"/>
            <w:tcBorders>
              <w:top w:val="single" w:sz="4" w:space="0" w:color="231F20"/>
              <w:start w:val="single" w:sz="6" w:space="0" w:color="231F20"/>
              <w:bottom w:val="single" w:sz="4" w:space="0" w:color="231F20"/>
              <w:end w:val="dashed"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1" w:type="dxa"/>
            <w:tcBorders>
              <w:top w:val="single" w:sz="4" w:space="0" w:color="231F20"/>
              <w:start w:val="dashed" w:sz="4" w:space="0" w:color="231F20"/>
              <w:bottom w:val="single" w:sz="4" w:space="0" w:color="231F20"/>
              <w:end w:val="single" w:sz="4" w:space="0" w:color="231F20"/>
            </w:tcBorders>
          </w:tcPr>
          <w:p>
            <w:pPr>
              <w:spacing w:before="40" w:after="40" w:line="252" w:lineRule="auto"/>
              <w:jc w:val="left"/>
            </w:pPr>
            <w:r>
              <w:rPr>
                <w:rFonts w:ascii="Calibri" w:hAnsi="Calibri"/>
                <w:b/>
                <w:color w:val="000000"/>
                <w:sz w:val="18"/>
              </w:rPr>
              <w:t>Sub-CPMK 1</w:t>
              <w:br/>
              <w:br/>
              <w:t>Sub-CPMK 2</w:t>
              <w:br/>
              <w:br/>
              <w:t>Sub-CPMK 3</w:t>
              <w:br/>
              <w:br/>
              <w:t>Sub-CPMK 4</w:t>
              <w:br/>
              <w:br/>
              <w:t>Sub-CPMK 5</w:t>
              <w:br/>
              <w:br/>
              <w:t>Sub-CPMK 6</w:t>
              <w:br/>
              <w:br/>
              <w:t>Sub-CPMK 7</w:t>
              <w:br/>
              <w:br/>
              <w:t>Sub-CPMK 8 (UTS &amp; UAS)</w:t>
            </w:r>
          </w:p>
        </w:tc>
        <w:tc>
          <w:tcPr>
            <w:tcW w:w="11464" w:type="dxa"/>
            <w:gridSpan w:val="4"/>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Sub-CPMK 1: Mahasiswa mampu menjelaskan arsitektur internal DBMS, hirarki penyimpanan memori-disk, organisasi file rekaman, dan algoritma indexing (B+ Tree &amp; Hash Index) [C2, A2].</w:t>
              <w:br/>
              <w:br/>
              <w:t>Sub-CPMK 2: Mahasiswa mampu mengimplementasikan pemrograman database tingkat lanjut menggunakan Stored Procedure, Triggers, Cursor, User-Defined Functions, dan Window Functions untuk otomatisasi logika bisnis [C3, P4].</w:t>
              <w:br/>
              <w:br/>
              <w:t>Sub-CPMK 3: Mahasiswa mampu menganalisis rencana eksekusi query (EXPLAIN ANALYZE), mengestimasi cost operasi relasional, dan melakukan optimasi query (query tuning) berbasis strategi indeks [C4, P4].</w:t>
              <w:br/>
              <w:br/>
              <w:t>Sub-CPMK 4: Mahasiswa mampu menganalisis siklus hidup transaksi ACID, anomali konkurensi (Dirty Read, Non-repeatable Read, Phantom Read), dan mekanisme penguncian Two-Phase Locking (2PL) serta deadlock handling [C4].</w:t>
              <w:br/>
              <w:br/>
              <w:t>Sub-CPMK 5: Mahasiswa mampu mengevaluasi algoritma crash recovery (Write-Ahead Logging &amp; Checkpointing) serta merancang tata kelola keamanan basis data (Role-Based Access Control, enkripsi data, dan proteksi SQL Injection) [C5, A3].</w:t>
              <w:br/>
              <w:br/>
              <w:t>Sub-CPMK 6: Mahasiswa mampu merancang arsitektur basis data terdistribusi (fragmentasi horizontal/vertikal, replikasi data master-slave/multi-master, dan partisi/sharding) dengan mempertimbangkan Teorema CAP [C6, P4].</w:t>
              <w:br/>
              <w:br/>
              <w:t>Sub-CPMK 7: Mahasiswa mampu mengimplementasikan dan mengevaluasi basis data non-relasional (NoSQL: Document Store MongoDB dan In-Memory Cache Redis) untuk penanganan data tak terstruktur dan kinerja tinggi [C5, P4].</w:t>
              <w:br/>
              <w:br/>
              <w:t>Sub-CPMK 8 (UTS &amp; UAS): Mahasiswa mampu mendemonstrasikan evaluasi penguasaan teoretis melalui UTS tertulis (15%) dan unjuk kerja proyek optimasi serta integrasi basis data enterprise melalui UAS (15%) [C5, C6, P5, A4].</w:t>
            </w:r>
          </w:p>
        </w:tc>
      </w:tr>
    </w:tbl>
    <w:p>
      <w:pPr>
        <w:sectPr>
          <w:footerReference w:type="even" r:id="rId3"/>
          <w:footerReference w:type="default" r:id="rId4"/>
          <w:type w:val="nextPage"/>
          <w:pgSz w:orient="landscape" w:w="16838" w:h="11906"/>
          <w:pgMar w:left="1020" w:right="1280" w:gutter="0" w:header="0" w:top="1100" w:footer="0" w:bottom="280"/>
          <w:pgNumType w:start="1" w:fmt="decimal"/>
          <w:formProt w:val="false"/>
          <w:textDirection w:val="lrTb"/>
          <w:docGrid w:type="default" w:linePitch="100" w:charSpace="0"/>
        </w:sectPr>
      </w:pPr>
      <w:r>
        <w:br w:type="page"/>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
          <w:szCs w:val="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
          <w:szCs w:val="2"/>
          <w:u w:val="none"/>
          <w:shd w:fill="auto" w:val="clear"/>
          <w:vertAlign w:val="baseline"/>
        </w:rPr>
      </w:r>
    </w:p>
    <w:p>
      <w:pPr>
        <w:pStyle w:val="normal1"/>
        <w:keepNext w:val="false"/>
        <w:keepLines w:val="false"/>
        <w:pageBreakBefore w:val="false"/>
        <w:widowControl w:val="false"/>
        <w:pBdr/>
        <w:shd w:val="clear" w:fill="auto"/>
        <w:spacing w:lineRule="auto" w:line="240" w:before="5" w:after="0"/>
        <w:ind w:hanging="0" w:start="0" w:end="0"/>
        <w:jc w:val="start"/>
        <w:rPr>
          <w:rFonts w:ascii="Arial" w:hAnsi="Arial" w:eastAsia="Arial" w:cs="Arial"/>
          <w:b/>
          <w:bCs/>
          <w:i w:val="false"/>
          <w:iCs w:val="false"/>
          <w:caps w:val="false"/>
          <w:smallCaps w:val="false"/>
          <w:strike w:val="false"/>
          <w:dstrike w:val="false"/>
          <w:color w:val="000000"/>
          <w:position w:val="0"/>
          <w:sz w:val="2"/>
          <w:szCs w:val="2"/>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
          <w:szCs w:val="2"/>
          <w:u w:val="none"/>
          <w:shd w:fill="auto" w:val="clear"/>
          <w:vertAlign w:val="baseline"/>
        </w:rPr>
        <mc:AlternateContent>
          <mc:Choice Requires="wps">
            <w:drawing>
              <wp:anchor distT="0" distB="0" distL="0" distR="0" simplePos="0" relativeHeight="5" behindDoc="0" locked="0" layoutInCell="0" allowOverlap="1">
                <wp:simplePos x="0" y="0"/>
                <wp:positionH relativeFrom="page">
                  <wp:posOffset>282575</wp:posOffset>
                </wp:positionH>
                <wp:positionV relativeFrom="page">
                  <wp:posOffset>751840</wp:posOffset>
                </wp:positionV>
                <wp:extent cx="239395" cy="267970"/>
                <wp:effectExtent l="0" t="0" r="0" b="0"/>
                <wp:wrapNone/>
                <wp:docPr id="3" name="Shape 8"/>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118</w:t>
                            </w:r>
                          </w:p>
                        </w:txbxContent>
                      </wps:txbx>
                      <wps:bodyPr lIns="0" tIns="0" rIns="0" bIns="0" anchor="t">
                        <a:noAutofit/>
                      </wps:bodyPr>
                    </wps:wsp>
                  </a:graphicData>
                </a:graphic>
              </wp:anchor>
            </w:drawing>
          </mc:Choice>
          <mc:Fallback>
            <w:pict>
              <v:rect id="shape_0" stroked="f" o:allowincell="f" style="position:absolute;margin-left:22.2pt;margin-top:59.2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118</w:t>
                      </w:r>
                    </w:p>
                  </w:txbxContent>
                </v:textbox>
                <w10:wrap type="none"/>
              </v:rect>
            </w:pict>
          </mc:Fallback>
        </mc:AlternateContent>
        <mc:AlternateContent>
          <mc:Choice Requires="wps">
            <w:drawing>
              <wp:anchor distT="0" distB="0" distL="0" distR="0" simplePos="0" relativeHeight="9" behindDoc="0" locked="0" layoutInCell="0" allowOverlap="1">
                <wp:simplePos x="0" y="0"/>
                <wp:positionH relativeFrom="page">
                  <wp:posOffset>371475</wp:posOffset>
                </wp:positionH>
                <wp:positionV relativeFrom="page">
                  <wp:posOffset>-2451735</wp:posOffset>
                </wp:positionV>
                <wp:extent cx="151765" cy="4641215"/>
                <wp:effectExtent l="0" t="0" r="0" b="0"/>
                <wp:wrapNone/>
                <wp:docPr id="4" name="Shape 2"/>
                <a:graphic xmlns:a="http://schemas.openxmlformats.org/drawingml/2006/main">
                  <a:graphicData uri="http://schemas.microsoft.com/office/word/2010/wordprocessingShape">
                    <wps:wsp>
                      <wps:cNvSpPr/>
                      <wps:spPr>
                        <a:xfrm rot="5400000">
                          <a:off x="0" y="0"/>
                          <a:ext cx="151920" cy="464112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6D6E71"/>
                                <w:position w:val="0"/>
                                <w:sz w:val="16"/>
                                <w:vertAlign w:val="baseline"/>
                              </w:rPr>
                              <w:t>Panduan Penyusunan Kurikulum Pendidikan Tinggi Mendukung Merdeka Belajar-Kampus Merdeka Menuju Indonesia Emas</w:t>
                            </w:r>
                          </w:p>
                        </w:txbxContent>
                      </wps:txbx>
                      <wps:bodyPr lIns="0" tIns="0" rIns="0" bIns="0" anchor="t">
                        <a:noAutofit/>
                      </wps:bodyPr>
                    </wps:wsp>
                  </a:graphicData>
                </a:graphic>
              </wp:anchor>
            </w:drawing>
          </mc:Choice>
          <mc:Fallback>
            <w:pict>
              <v:rect id="shape_0" stroked="f" o:allowincell="f" style="position:absolute;margin-left:29.25pt;margin-top:-193.1pt;width:11.9pt;height:365.4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6D6E71"/>
                          <w:position w:val="0"/>
                          <w:sz w:val="16"/>
                          <w:vertAlign w:val="baseline"/>
                        </w:rPr>
                        <w:t>Panduan Penyusunan Kurikulum Pendidikan Tinggi Mendukung Merdeka Belajar-Kampus Merdeka Menuju Indonesia Emas</w:t>
                      </w:r>
                    </w:p>
                  </w:txbxContent>
                </v:textbox>
                <w10:wrap type="none"/>
              </v:rect>
            </w:pict>
          </mc:Fallback>
        </mc:AlternateContent>
        <mc:AlternateContent>
          <mc:Choice Requires="wpg">
            <w:drawing>
              <wp:anchor distT="0" distB="0" distL="0" distR="0" simplePos="0" relativeHeight="13" behindDoc="0" locked="0" layoutInCell="0" allowOverlap="1">
                <wp:simplePos x="0" y="0"/>
                <wp:positionH relativeFrom="page">
                  <wp:posOffset>185420</wp:posOffset>
                </wp:positionH>
                <wp:positionV relativeFrom="page">
                  <wp:posOffset>720090</wp:posOffset>
                </wp:positionV>
                <wp:extent cx="387985" cy="5940425"/>
                <wp:effectExtent l="0" t="5715" r="6985" b="6985"/>
                <wp:wrapNone/>
                <wp:docPr id="5" name="Shape1"/>
                <a:graphic xmlns:a="http://schemas.openxmlformats.org/drawingml/2006/main">
                  <a:graphicData uri="http://schemas.microsoft.com/office/word/2010/wordprocessingGroup">
                    <wpg:wgp>
                      <wpg:cNvGrpSpPr/>
                      <wpg:grpSpPr>
                        <a:xfrm>
                          <a:off x="0" y="0"/>
                          <a:ext cx="388080" cy="5940360"/>
                          <a:chOff x="0" y="0"/>
                          <a:chExt cx="388080" cy="5940360"/>
                        </a:xfrm>
                      </wpg:grpSpPr>
                      <wpg:grpSp>
                        <wpg:cNvGrpSpPr/>
                        <wpg:grpSpPr>
                          <a:xfrm>
                            <a:off x="0" y="0"/>
                            <a:ext cx="388080" cy="5940360"/>
                          </a:xfrm>
                        </wpg:grpSpPr>
                        <wps:wsp>
                          <wps:cNvPr id="6" name="Shape 4"/>
                          <wps:cNvSpPr/>
                          <wps:spPr>
                            <a:xfrm>
                              <a:off x="0" y="720"/>
                              <a:ext cx="385920" cy="5937120"/>
                            </a:xfrm>
                            <a:prstGeom prst="rect">
                              <a:avLst/>
                            </a:prstGeom>
                            <a:noFill/>
                            <a:ln w="0">
                              <a:noFill/>
                            </a:ln>
                          </wps:spPr>
                          <wps:style>
                            <a:lnRef idx="0"/>
                            <a:fillRef idx="0"/>
                            <a:effectRef idx="0"/>
                            <a:fontRef idx="minor"/>
                          </wps:style>
                          <wps:txbx>
                            <w:txbxContent>
                              <w:p>
                                <w:pPr>
                                  <w:pStyle w:val="normal1"/>
                                  <w:spacing w:lineRule="auto" w:line="240" w:before="0" w:after="0"/>
                                  <w:ind w:hanging="0" w:start="0" w:end="0"/>
                                  <w:jc w:val="start"/>
                                  <w:rPr/>
                                </w:pPr>
                                <w:r>
                                  <w:rPr/>
                                </w:r>
                              </w:p>
                            </w:txbxContent>
                          </wps:txbx>
                          <wps:bodyPr tIns="91440" bIns="91440" anchor="ctr">
                            <a:noAutofit/>
                          </wps:bodyPr>
                        </wps:wsp>
                        <pic:pic xmlns:pic="http://schemas.openxmlformats.org/drawingml/2006/picture">
                          <pic:nvPicPr>
                            <pic:cNvPr id="7" name="Shape 5"/>
                            <pic:cNvPicPr/>
                          </pic:nvPicPr>
                          <pic:blipFill>
                            <a:blip r:embed="rId5"/>
                            <a:stretch/>
                          </pic:blipFill>
                          <pic:spPr>
                            <a:xfrm>
                              <a:off x="0" y="0"/>
                              <a:ext cx="387360" cy="397440"/>
                            </a:xfrm>
                            <a:prstGeom prst="rect">
                              <a:avLst/>
                            </a:prstGeom>
                            <a:noFill/>
                            <a:ln w="0">
                              <a:noFill/>
                            </a:ln>
                          </pic:spPr>
                        </pic:pic>
                        <wps:wsp>
                          <wps:cNvPr id="8" name=""/>
                          <wps:cNvSpPr/>
                          <wps:spPr>
                            <a:xfrm>
                              <a:off x="387360" y="720"/>
                              <a:ext cx="720" cy="5939640"/>
                            </a:xfrm>
                            <a:prstGeom prst="straightConnector1">
                              <a:avLst/>
                            </a:prstGeom>
                            <a:noFill/>
                            <a:ln w="12700">
                              <a:solidFill>
                                <a:srgbClr val="6D6E71"/>
                              </a:solidFill>
                              <a:round/>
                            </a:ln>
                          </wps:spPr>
                          <wps:style>
                            <a:lnRef idx="0"/>
                            <a:fillRef idx="0"/>
                            <a:effectRef idx="0"/>
                            <a:fontRef idx="minor"/>
                          </wps:style>
                          <wps:bodyPr/>
                        </wps:wsp>
                      </wpg:grpSp>
                    </wpg:wgp>
                  </a:graphicData>
                </a:graphic>
              </wp:anchor>
            </w:drawing>
          </mc:Choice>
          <mc:Fallback>
            <w:pict>
              <v:group id="shape_0" alt="Shape1" style="position:absolute;margin-left:14.6pt;margin-top:56.7pt;width:30.55pt;height:467.8pt" coordorigin="292,1134" coordsize="611,9356">
                <v:group id="shape_0" style="position:absolute;left:292;top:1134;width:611;height:9356">
                  <v:rect id="shape_0" stroked="f" o:allowincell="f" style="position:absolute;left:292;top:1135;width:607;height:9349;mso-wrap-style:none;v-text-anchor:middle;mso-position-horizontal-relative:page;mso-position-vertical-relative:page">
                    <v:fill o:detectmouseclick="t" on="false"/>
                    <v:stroke color="#3465a4" joinstyle="round" endcap="flat"/>
                    <v:textbox>
                      <w:txbxContent>
                        <w:p>
                          <w:pPr>
                            <w:pStyle w:val="normal1"/>
                            <w:spacing w:lineRule="auto" w:line="240" w:before="0" w:after="0"/>
                            <w:ind w:hanging="0" w:start="0" w:end="0"/>
                            <w:jc w:val="start"/>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left:292;top:1134;width:609;height:625;mso-wrap-style:none;v-text-anchor:middle;mso-position-horizontal-relative:page;mso-position-vertical-relative:page" type="_x0000_t75">
                    <v:imagedata r:id="rId6"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02;top:1135;width:0;height:9353;mso-wrap-style:none;v-text-anchor:middle;mso-position-horizontal-relative:page;mso-position-vertical-relative:page" type="_x0000_t32" path="m0,0l-2147483648,-2147483647e">
                    <v:fill o:detectmouseclick="t" on="false"/>
                    <v:stroke color="#6d6e71" weight="12600" joinstyle="round" endcap="flat"/>
                    <w10:wrap type="none"/>
                  </v:shape>
                </v:group>
              </v:group>
            </w:pict>
          </mc:Fallback>
        </mc:AlternateContent>
      </w:r>
    </w:p>
    <w:tbl>
      <w:tblPr>
        <w:tblStyle w:val="Table3"/>
        <w:tblW w:w="14294" w:type="dxa"/>
        <w:jc w:val="start"/>
        <w:tblInd w:w="128" w:type="dxa"/>
        <w:tblLayout w:type="fixed"/>
        <w:tblCellMar>
          <w:top w:w="0" w:type="dxa"/>
          <w:start w:w="108" w:type="dxa"/>
          <w:bottom w:w="0" w:type="dxa"/>
          <w:end w:w="108" w:type="dxa"/>
        </w:tblCellMar>
        <w:tblLook w:val="0000"/>
      </w:tblPr>
      <w:tblGrid>
        <w:gridCol w:w="1798"/>
        <w:gridCol w:w="1030"/>
        <w:gridCol w:w="3472"/>
        <w:gridCol w:w="7994"/>
      </w:tblGrid>
      <w:tr>
        <w:trPr>
          <w:trHeight w:val="281" w:hRule="atLeast"/>
        </w:trPr>
        <w:tc>
          <w:tcPr>
            <w:tcW w:w="1798" w:type="dxa"/>
            <w:vMerge w:val="restart"/>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4502" w:type="dxa"/>
            <w:gridSpan w:val="2"/>
            <w:tcBorders>
              <w:top w:val="single" w:sz="4" w:space="0" w:color="231F20"/>
              <w:start w:val="single" w:sz="4" w:space="0" w:color="231F20"/>
              <w:bottom w:val="single" w:sz="4" w:space="0" w:color="231F20"/>
              <w:end w:val="single" w:sz="4" w:space="0" w:color="231F20"/>
            </w:tcBorders>
            <w:shd w:fill="D3D5D6" w:val="clear"/>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Korelasi CPL terhadap Sub-CPMK</w:t>
            </w:r>
          </w:p>
        </w:tc>
        <w:tc>
          <w:tcPr>
            <w:tcW w:w="7994"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194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bl>
            <w:tblPr>
              <w:tblStyle w:val="Table2"/>
              <w:tblW w:w="7271" w:type="dxa"/>
              <w:jc w:val="start"/>
              <w:tblInd w:w="10" w:type="dxa"/>
              <w:tblLayout w:type="fixed"/>
              <w:tblCellMar>
                <w:top w:w="0" w:type="dxa"/>
                <w:start w:w="108" w:type="dxa"/>
                <w:bottom w:w="0" w:type="dxa"/>
                <w:end w:w="108" w:type="dxa"/>
              </w:tblCellMar>
              <w:tblLook w:val="0000"/>
            </w:tblPr>
            <w:tblGrid>
              <w:gridCol w:w="1006"/>
              <w:gridCol w:w="872"/>
              <w:gridCol w:w="874"/>
              <w:gridCol w:w="874"/>
              <w:gridCol w:w="828"/>
              <w:gridCol w:w="1567"/>
              <w:gridCol w:w="1250"/>
            </w:tblGrid>
            <w:tr>
              <w:trPr>
                <w:trHeight w:val="271" w:hRule="atLeast"/>
              </w:trPr>
              <w:tc>
                <w:tcPr>
                  <w:tcW w:w="1006"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Sub-CPMK</w:t>
                  </w:r>
                </w:p>
              </w:tc>
              <w:tc>
                <w:tcPr>
                  <w:tcW w:w="872"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CPL03</w:t>
                  </w:r>
                </w:p>
              </w:tc>
              <w:tc>
                <w:tcPr>
                  <w:tcW w:w="874"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CPL04</w:t>
                  </w:r>
                </w:p>
              </w:tc>
              <w:tc>
                <w:tcPr>
                  <w:tcW w:w="874"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CPL08</w:t>
                  </w:r>
                </w:p>
              </w:tc>
              <w:tc>
                <w:tcPr>
                  <w:tcW w:w="828"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w:t>
                  </w:r>
                </w:p>
              </w:tc>
              <w:tc>
                <w:tcPr>
                  <w:tcW w:w="1567"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Bobot (%)</w:t>
                  </w:r>
                </w:p>
              </w:tc>
              <w:tc>
                <w:tcPr>
                  <w:tcW w:w="1250" w:type="dxa"/>
                  <w:tcBorders>
                    <w:top w:val="single" w:sz="8" w:space="0" w:color="231F20"/>
                    <w:start w:val="single" w:sz="8" w:space="0" w:color="231F20"/>
                    <w:bottom w:val="single" w:sz="8" w:space="0" w:color="231F20"/>
                    <w:end w:val="single" w:sz="8" w:space="0" w:color="231F20"/>
                  </w:tcBorders>
                </w:tcPr>
                <w:p>
                  <w:pPr>
                    <w:spacing w:before="40" w:after="40" w:line="252" w:lineRule="auto"/>
                    <w:jc w:val="center"/>
                  </w:pPr>
                  <w:r>
                    <w:rPr>
                      <w:rFonts w:ascii="Calibri" w:hAnsi="Calibri"/>
                      <w:b/>
                      <w:color w:val="000000"/>
                      <w:sz w:val="17"/>
                    </w:rPr>
                    <w:t>Jumlah Minggu</w:t>
                  </w:r>
                </w:p>
              </w:tc>
            </w:tr>
            <w:tr>
              <w:tc>
                <w:tcPr>
                  <w:tcW w:type="dxa" w:w="1006"/>
                </w:tcPr>
                <w:p>
                  <w:pPr>
                    <w:spacing w:before="40" w:after="40" w:line="252" w:lineRule="auto"/>
                    <w:jc w:val="left"/>
                  </w:pPr>
                  <w:r>
                    <w:rPr>
                      <w:rFonts w:ascii="Calibri" w:hAnsi="Calibri"/>
                      <w:b/>
                      <w:color w:val="000000"/>
                      <w:sz w:val="17"/>
                    </w:rPr>
                    <w:t>Sub-CPMK 1</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5%</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2</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3</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4</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1</w:t>
                  </w:r>
                </w:p>
              </w:tc>
            </w:tr>
            <w:tr>
              <w:tc>
                <w:tcPr>
                  <w:tcW w:type="dxa" w:w="1006"/>
                </w:tcPr>
                <w:p>
                  <w:pPr>
                    <w:spacing w:before="40" w:after="40" w:line="252" w:lineRule="auto"/>
                    <w:jc w:val="left"/>
                  </w:pPr>
                  <w:r>
                    <w:rPr>
                      <w:rFonts w:ascii="Calibri" w:hAnsi="Calibri"/>
                      <w:b/>
                      <w:color w:val="000000"/>
                      <w:sz w:val="17"/>
                    </w:rPr>
                    <w:t>Sub-CPMK 5</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6</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15%</w:t>
                  </w:r>
                </w:p>
              </w:tc>
              <w:tc>
                <w:tcPr>
                  <w:tcW w:type="dxa" w:w="1250"/>
                </w:tcPr>
                <w:p>
                  <w:pPr>
                    <w:spacing w:before="40" w:after="40" w:line="252" w:lineRule="auto"/>
                    <w:jc w:val="center"/>
                  </w:pPr>
                  <w:r>
                    <w:rPr>
                      <w:rFonts w:ascii="Calibri" w:hAnsi="Calibri"/>
                      <w:b w:val="0"/>
                      <w:color w:val="000000"/>
                      <w:sz w:val="17"/>
                    </w:rPr>
                    <w:t>3</w:t>
                  </w:r>
                </w:p>
              </w:tc>
            </w:tr>
            <w:tr>
              <w:tc>
                <w:tcPr>
                  <w:tcW w:type="dxa" w:w="1006"/>
                </w:tcPr>
                <w:p>
                  <w:pPr>
                    <w:spacing w:before="40" w:after="40" w:line="252" w:lineRule="auto"/>
                    <w:jc w:val="left"/>
                  </w:pPr>
                  <w:r>
                    <w:rPr>
                      <w:rFonts w:ascii="Calibri" w:hAnsi="Calibri"/>
                      <w:b/>
                      <w:color w:val="000000"/>
                      <w:sz w:val="17"/>
                    </w:rPr>
                    <w:t>Sub-CPMK 7</w:t>
                  </w:r>
                </w:p>
              </w:tc>
              <w:tc>
                <w:tcPr>
                  <w:tcW w:type="dxa" w:w="872"/>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10%</w:t>
                  </w:r>
                </w:p>
              </w:tc>
              <w:tc>
                <w:tcPr>
                  <w:tcW w:type="dxa" w:w="1250"/>
                </w:tcPr>
                <w:p>
                  <w:pPr>
                    <w:spacing w:before="40" w:after="40" w:line="252" w:lineRule="auto"/>
                    <w:jc w:val="center"/>
                  </w:pPr>
                  <w:r>
                    <w:rPr>
                      <w:rFonts w:ascii="Calibri" w:hAnsi="Calibri"/>
                      <w:b w:val="0"/>
                      <w:color w:val="000000"/>
                      <w:sz w:val="17"/>
                    </w:rPr>
                    <w:t>2</w:t>
                  </w:r>
                </w:p>
              </w:tc>
            </w:tr>
            <w:tr>
              <w:tc>
                <w:tcPr>
                  <w:tcW w:type="dxa" w:w="1006"/>
                </w:tcPr>
                <w:p>
                  <w:pPr>
                    <w:spacing w:before="40" w:after="40" w:line="252" w:lineRule="auto"/>
                    <w:jc w:val="left"/>
                  </w:pPr>
                  <w:r>
                    <w:rPr>
                      <w:rFonts w:ascii="Calibri" w:hAnsi="Calibri"/>
                      <w:b/>
                      <w:color w:val="000000"/>
                      <w:sz w:val="17"/>
                    </w:rPr>
                    <w:t>Sub-CPMK 8 (UTS &amp; UAS)</w:t>
                  </w:r>
                </w:p>
              </w:tc>
              <w:tc>
                <w:tcPr>
                  <w:tcW w:type="dxa" w:w="872"/>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t>V</w:t>
                  </w:r>
                </w:p>
              </w:tc>
              <w:tc>
                <w:tcPr>
                  <w:tcW w:type="dxa" w:w="874"/>
                </w:tcPr>
                <w:p>
                  <w:pPr>
                    <w:spacing w:before="40" w:after="40" w:line="252" w:lineRule="auto"/>
                    <w:jc w:val="center"/>
                  </w:pPr>
                  <w:r>
                    <w:rPr>
                      <w:rFonts w:ascii="Calibri" w:hAnsi="Calibri"/>
                      <w:b w:val="0"/>
                      <w:color w:val="000000"/>
                      <w:sz w:val="17"/>
                    </w:rPr>
                    <w:t>V</w:t>
                  </w:r>
                </w:p>
              </w:tc>
              <w:tc>
                <w:tcPr>
                  <w:tcW w:type="dxa" w:w="828"/>
                </w:tcPr>
                <w:p>
                  <w:pPr>
                    <w:spacing w:before="40" w:after="40" w:line="252" w:lineRule="auto"/>
                    <w:jc w:val="center"/>
                  </w:pPr>
                  <w:r>
                    <w:rPr>
                      <w:rFonts w:ascii="Calibri" w:hAnsi="Calibri"/>
                      <w:b w:val="0"/>
                      <w:color w:val="000000"/>
                      <w:sz w:val="17"/>
                    </w:rPr>
                  </w:r>
                </w:p>
              </w:tc>
              <w:tc>
                <w:tcPr>
                  <w:tcW w:type="dxa" w:w="1567"/>
                </w:tcPr>
                <w:p>
                  <w:pPr>
                    <w:spacing w:before="40" w:after="40" w:line="252" w:lineRule="auto"/>
                    <w:jc w:val="center"/>
                  </w:pPr>
                  <w:r>
                    <w:rPr>
                      <w:rFonts w:ascii="Calibri" w:hAnsi="Calibri"/>
                      <w:b w:val="0"/>
                      <w:color w:val="000000"/>
                      <w:sz w:val="17"/>
                    </w:rPr>
                    <w:t>30%</w:t>
                  </w:r>
                </w:p>
              </w:tc>
              <w:tc>
                <w:tcPr>
                  <w:tcW w:type="dxa" w:w="1250"/>
                </w:tcPr>
                <w:p>
                  <w:pPr>
                    <w:spacing w:before="40" w:after="40" w:line="252" w:lineRule="auto"/>
                    <w:jc w:val="center"/>
                  </w:pPr>
                  <w:r>
                    <w:rPr>
                      <w:rFonts w:ascii="Calibri" w:hAnsi="Calibri"/>
                      <w:b w:val="0"/>
                      <w:color w:val="000000"/>
                      <w:sz w:val="17"/>
                    </w:rPr>
                    <w:t>2</w:t>
                  </w:r>
                </w:p>
              </w:tc>
            </w:tr>
            <w:tr>
              <w:tc>
                <w:tcPr>
                  <w:tcW w:type="dxa" w:w="1006"/>
                  <w:shd w:fill="E8EEF5"/>
                </w:tcPr>
                <w:p>
                  <w:pPr>
                    <w:spacing w:before="40" w:after="40" w:line="252" w:lineRule="auto"/>
                    <w:jc w:val="left"/>
                  </w:pPr>
                  <w:r>
                    <w:rPr>
                      <w:rFonts w:ascii="Calibri" w:hAnsi="Calibri"/>
                      <w:b/>
                      <w:color w:val="000000"/>
                      <w:sz w:val="17"/>
                    </w:rPr>
                    <w:t>Total Bobot &amp; Alokasi Minggu</w:t>
                  </w:r>
                </w:p>
              </w:tc>
              <w:tc>
                <w:tcPr>
                  <w:tcW w:type="dxa" w:w="872"/>
                </w:tcPr>
                <w:p>
                  <w:r/>
                </w:p>
              </w:tc>
              <w:tc>
                <w:tcPr>
                  <w:tcW w:type="dxa" w:w="874"/>
                </w:tcPr>
                <w:p>
                  <w:r/>
                </w:p>
              </w:tc>
              <w:tc>
                <w:tcPr>
                  <w:tcW w:type="dxa" w:w="874"/>
                </w:tcPr>
                <w:p>
                  <w:r/>
                </w:p>
              </w:tc>
              <w:tc>
                <w:tcPr>
                  <w:tcW w:type="dxa" w:w="828"/>
                </w:tcPr>
                <w:p>
                  <w:r/>
                </w:p>
              </w:tc>
              <w:tc>
                <w:tcPr>
                  <w:tcW w:type="dxa" w:w="1567"/>
                  <w:shd w:fill="E8EEF5"/>
                </w:tcPr>
                <w:p>
                  <w:pPr>
                    <w:spacing w:before="40" w:after="40" w:line="252" w:lineRule="auto"/>
                    <w:jc w:val="center"/>
                  </w:pPr>
                  <w:r>
                    <w:rPr>
                      <w:rFonts w:ascii="Calibri" w:hAnsi="Calibri"/>
                      <w:b/>
                      <w:color w:val="000000"/>
                      <w:sz w:val="17"/>
                    </w:rPr>
                    <w:t>100%</w:t>
                  </w:r>
                </w:p>
              </w:tc>
              <w:tc>
                <w:tcPr>
                  <w:tcW w:type="dxa" w:w="1250"/>
                  <w:shd w:fill="E8EEF5"/>
                </w:tcPr>
                <w:p>
                  <w:pPr>
                    <w:spacing w:before="40" w:after="40" w:line="252" w:lineRule="auto"/>
                    <w:jc w:val="center"/>
                  </w:pPr>
                  <w:r>
                    <w:rPr>
                      <w:rFonts w:ascii="Calibri" w:hAnsi="Calibri"/>
                      <w:b/>
                      <w:color w:val="000000"/>
                      <w:sz w:val="17"/>
                    </w:rPr>
                    <w:t>16 Minggu</w:t>
                  </w:r>
                </w:p>
              </w:tc>
            </w:tr>
          </w:tbl>
          <w:p>
            <w:pPr>
              <w:pStyle w:val="Normal"/>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710"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Deskripsi Singkat MK</w:t>
            </w:r>
          </w:p>
        </w:tc>
        <w:tc>
          <w:tcPr>
            <w:tcW w:w="12496" w:type="dxa"/>
            <w:gridSpan w:val="3"/>
            <w:tcBorders>
              <w:top w:val="single" w:sz="4"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Mata kuliah Basis Data Lanjut (IF440524) membekali mahasiswa dengan kompetensi teoritis dan praktis mendalam mengenai arsitektur internal, optimasi, administrasi, dan skalabilitas sistem manajemen basis data (DBMS) tingkat lanjut. Pokok bahasan mencakup struktur penyimpanan fisik data, teknik indexing (B+ Tree dan Hash), pemrograman basis data prosedural (Stored Procedures, Triggers, Views, Window Functions), pemrosesan dan optimasi query (Cost-Based Query Optimization &amp; Execution Plans), manajemen transaksi ACID, kontrol konkurensi (Two-Phase Locking &amp; MVCC), sistem pemulihan kegagalan (Write-Ahead Logging &amp; ARIES recovery), tata kelola keamanan basis data enterprise, arsitektur basis data terdistribusi (fragmentasi, replikasi, sharding, Teorema CAP), serta implementasi basis data non-relasional (NoSQL Document Store MongoDB dan In-Memory Caching Redis). Pembelajaran menggunakan pendekatan Case Method dan Project-Based Learning (PjBL) untuk menyelesaikan persoalan performa data berskala besar.</w:t>
            </w:r>
          </w:p>
        </w:tc>
      </w:tr>
      <w:tr>
        <w:trPr>
          <w:trHeight w:val="2004" w:hRule="atLeast"/>
        </w:trPr>
        <w:tc>
          <w:tcPr>
            <w:tcW w:w="1798" w:type="dxa"/>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Bahan Kajian:</w:t>
            </w:r>
          </w:p>
          <w:p>
            <w:pPr>
              <w:pStyle w:val="normal1"/>
              <w:keepNext w:val="false"/>
              <w:keepLines w:val="false"/>
              <w:widowControl w:val="false"/>
              <w:pBdr/>
              <w:shd w:val="clear" w:fill="auto"/>
              <w:spacing w:lineRule="auto" w:line="240" w:before="9" w:after="0"/>
              <w:ind w:hanging="0" w:start="77"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231F20"/>
                <w:position w:val="0"/>
                <w:sz w:val="18"/>
                <w:szCs w:val="18"/>
                <w:u w:val="none"/>
                <w:shd w:fill="auto" w:val="clear"/>
                <w:vertAlign w:val="baseline"/>
              </w:rPr>
              <w:t>Materi pembelajaran</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1. Arsitektur Internal DBMS &amp; Penyimpanan Fisik: Hirarki memori, manajemen buffer pool, disk blocks, dan organisasi file rekaman (heap, sorted, hashed).</w:t>
              <w:br/>
              <w:t>2. Struktur Indeksasi Data: Konsep indeks primer vs sekunder, B+ Tree indexing (pencarian, penyisipan, penghapusan), Hash Index, dan Bitmap Index.</w:t>
              <w:br/>
              <w:t>3. Pemrograman Basis Data Lanjut: Stored Procedures, User-Defined Functions (UDF), Triggers (BEFORE/AFTER, Row-level vs Statement-level), Cursor, CTE, dan Window Functions.</w:t>
              <w:br/>
              <w:t>4. Pemrosesan &amp; Optimasi Query (Query Processing &amp; Optimization): Translasi query ke aljabar relasional, estimasi biaya operasi join (Nested-loop, Block, Hash Join), analisis EXPLAIN ANALYZE, dan query tuning.</w:t>
              <w:br/>
              <w:t>5. Manajemen Transaksi &amp; Kontrol Konkurensi: Konsep ACID, jadwal serializable, anomali konkurensi (Dirty Read, Phantom Read), protokol Two-Phase Locking (2PL), Deadlock detection &amp; prevention, dan Multi-Version Concurrency Control (MVCC).</w:t>
              <w:br/>
              <w:t>6. Sistem Pemulihan (Database Crash Recovery): Klasifikasi kegagalan, prinsip Write-Ahead Logging (WAL), Checkpointing, dan algoritma ARIES (Analysis, Redo, Undo).</w:t>
              <w:br/>
              <w:t>7. Keamanan Basis Data &amp; Audit: Model otorisasi Role-Based Access Control (RBAC), enkripsi data (Transparent Data Encryption &amp; SSL/TLS), audit logging, dan proteksi injeksi SQL.</w:t>
              <w:br/>
              <w:t>8. Basis Data Terdistribusi (Distributed DBMS): Arsitektur DDBMS, fragmentasi data (horizontal, vertikal, hibrid), replikasi sinkronus vs asinkronus, protokol Two-Phase Commit (2PC), dan Teorema CAP.</w:t>
              <w:br/>
              <w:t>9. Skalabilitas &amp; Partisi Data: Horizontal partitioning (Sharding), penentuan sharding key, rebalancing shard, dan konsistensi data terdistribusi.</w:t>
              <w:br/>
              <w:t>10. Basis Data Non-Relasional (NoSQL): Paradigma NoSQL vs RDBMS, Document Store (MongoDB: skema fleksibel, CRUD, aggregation pipeline, indexing NoSQL).</w:t>
              <w:br/>
              <w:t>11. In-Memory Database &amp; Caching: Arsitektur in-memory, Redis data structures (Strings, Hashes, Lists, Sets), caching pattern (Cache-Aside, Write-Through), dan session storage.</w:t>
              <w:br/>
              <w:t>12. Poliglot Persistence &amp; Arsitektur Data Modern: Mengintegrasikan RDBMS, NoSQL, dan Cache dalam satu solusi aplikasi terpadu berskala enterprise.</w:t>
            </w:r>
          </w:p>
        </w:tc>
      </w:tr>
      <w:tr>
        <w:trPr>
          <w:trHeight w:val="278" w:hRule="atLeast"/>
        </w:trPr>
        <w:tc>
          <w:tcPr>
            <w:tcW w:w="1798" w:type="dxa"/>
            <w:vMerge w:val="restart"/>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7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Pustaka</w:t>
            </w:r>
          </w:p>
        </w:tc>
        <w:tc>
          <w:tcPr>
            <w:tcW w:w="1030" w:type="dxa"/>
            <w:tcBorders>
              <w:top w:val="single" w:sz="4" w:space="0" w:color="231F20"/>
              <w:start w:val="single"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Utama:</w:t>
            </w:r>
          </w:p>
        </w:tc>
        <w:tc>
          <w:tcPr>
            <w:tcW w:w="11466" w:type="dxa"/>
            <w:gridSpan w:val="2"/>
            <w:tcBorders>
              <w:top w:val="single" w:sz="6" w:space="0" w:color="231F20"/>
              <w:start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136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start w:val="single" w:sz="4" w:space="0" w:color="231F20"/>
              <w:end w:val="single" w:sz="4" w:space="0" w:color="231F20"/>
            </w:tcBorders>
          </w:tcPr>
          <w:p>
            <w:pPr>
              <w:spacing w:before="40" w:after="40" w:line="252" w:lineRule="auto"/>
              <w:jc w:val="left"/>
            </w:pPr>
            <w:r>
              <w:rPr>
                <w:rFonts w:ascii="Calibri" w:hAnsi="Calibri"/>
                <w:b w:val="0"/>
                <w:color w:val="000000"/>
                <w:sz w:val="18"/>
              </w:rPr>
              <w:t>[1] Silberschatz, A., Korth, H. F., &amp; Sudarshan, S. (2020). Database System Concepts (7th ed.). New York: McGraw-Hill Education.</w:t>
              <w:br/>
              <w:t>[2] Elmasri, R., &amp; Navathe, S. B. (2017). Fundamentals of Database Systems (7th ed.). Boston: Pearson Education.</w:t>
            </w:r>
          </w:p>
        </w:tc>
      </w:tr>
      <w:tr>
        <w:trPr>
          <w:trHeight w:val="281"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18"/>
                <w:szCs w:val="18"/>
                <w:u w:val="none"/>
                <w:shd w:fill="auto" w:val="clear"/>
                <w:vertAlign w:val="baseline"/>
              </w:rPr>
            </w:r>
          </w:p>
        </w:tc>
        <w:tc>
          <w:tcPr>
            <w:tcW w:w="1030" w:type="dxa"/>
            <w:tcBorders>
              <w:top w:val="single" w:sz="4" w:space="0" w:color="231F20"/>
              <w:start w:val="single" w:sz="4" w:space="0" w:color="231F20"/>
              <w:bottom w:val="single" w:sz="4" w:space="0" w:color="231F20"/>
              <w:end w:val="single" w:sz="4" w:space="0" w:color="231F20"/>
            </w:tcBorders>
            <w:shd w:fill="E0E1E2" w:val="clear"/>
          </w:tcPr>
          <w:p>
            <w:pPr>
              <w:pStyle w:val="normal1"/>
              <w:keepNext w:val="false"/>
              <w:keepLines w:val="false"/>
              <w:widowControl w:val="false"/>
              <w:pBdr/>
              <w:shd w:val="clear" w:fill="auto"/>
              <w:spacing w:lineRule="auto" w:line="240" w:before="37"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Pendukung:</w:t>
            </w:r>
          </w:p>
        </w:tc>
        <w:tc>
          <w:tcPr>
            <w:tcW w:w="11466" w:type="dxa"/>
            <w:gridSpan w:val="2"/>
            <w:tcBorders>
              <w:start w:val="single" w:sz="4" w:space="0" w:color="231F20"/>
              <w:end w:val="single" w:sz="4" w:space="0" w:color="231F20"/>
            </w:tcBorders>
          </w:tcPr>
          <w:p>
            <w:pPr>
              <w:pStyle w:val="normal1"/>
              <w:keepNext w:val="false"/>
              <w:keepLines w:val="false"/>
              <w:widowControl w:val="false"/>
              <w:pBdr/>
              <w:shd w:val="clear" w:fill="auto"/>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r>
      <w:tr>
        <w:trPr>
          <w:trHeight w:val="710" w:hRule="atLeast"/>
        </w:trPr>
        <w:tc>
          <w:tcPr>
            <w:tcW w:w="1798" w:type="dxa"/>
            <w:vMerge w:val="continue"/>
            <w:tcBorders>
              <w:top w:val="single" w:sz="4" w:space="0" w:color="231F20"/>
              <w:start w:val="single" w:sz="6" w:space="0" w:color="231F20"/>
              <w:bottom w:val="single" w:sz="4" w:space="0" w:color="231F20"/>
              <w:end w:val="single" w:sz="4" w:space="0" w:color="231F20"/>
            </w:tcBorders>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16"/>
                <w:szCs w:val="16"/>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16"/>
                <w:szCs w:val="16"/>
                <w:u w:val="none"/>
                <w:shd w:fill="auto" w:val="clear"/>
                <w:vertAlign w:val="baseline"/>
              </w:rPr>
            </w:r>
          </w:p>
        </w:tc>
        <w:tc>
          <w:tcPr>
            <w:tcW w:w="12496" w:type="dxa"/>
            <w:gridSpan w:val="3"/>
            <w:tcBorders>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[1] Celko, J. (2014). Joe Celko's SQL for Smarties: Advanced SQL Programming (5th ed.). Waltham, MA: Morgan Kaufmann.</w:t>
              <w:br/>
              <w:t>[2] Kleppmann, M. (2017). Designing Data-Intensive Applications: The Big Ideas Behind Reliable, Scalable, and Maintainable Systems. Sebastopol, CA: O'Reilly Media.</w:t>
              <w:br/>
              <w:t>[3] Chodorow, K. (2013). MongoDB: The Definitive Guide: Powerful and Scalable Data Storage (2nd ed.). O'Reilly Media.</w:t>
              <w:br/>
              <w:t>[4] PostgreSQL Global Development Group. (2024). PostgreSQL 16 Documentation. Online: https://www.postgresql.org/docs/16/</w:t>
            </w:r>
          </w:p>
        </w:tc>
      </w:tr>
      <w:tr>
        <w:trPr>
          <w:trHeight w:val="276"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Dosen Pengampu</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ANDY HARYOKO, ST., MT</w:t>
            </w:r>
          </w:p>
        </w:tc>
      </w:tr>
      <w:tr>
        <w:trPr>
          <w:trHeight w:val="276" w:hRule="atLeast"/>
        </w:trPr>
        <w:tc>
          <w:tcPr>
            <w:tcW w:w="1798" w:type="dxa"/>
            <w:tcBorders>
              <w:top w:val="single" w:sz="4" w:space="0" w:color="231F20"/>
              <w:start w:val="single" w:sz="4" w:space="0" w:color="231F20"/>
              <w:bottom w:val="single" w:sz="4" w:space="0" w:color="231F20"/>
              <w:end w:val="single" w:sz="4" w:space="0" w:color="231F20"/>
            </w:tcBorders>
          </w:tcPr>
          <w:p>
            <w:pPr>
              <w:pStyle w:val="normal1"/>
              <w:keepNext w:val="false"/>
              <w:keepLines w:val="false"/>
              <w:widowControl w:val="false"/>
              <w:pBdr/>
              <w:shd w:val="clear" w:fill="auto"/>
              <w:spacing w:lineRule="auto" w:line="240" w:before="34" w:after="0"/>
              <w:ind w:hanging="0" w:start="8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Matakuliah syarat</w:t>
            </w:r>
          </w:p>
        </w:tc>
        <w:tc>
          <w:tcPr>
            <w:tcW w:w="12496" w:type="dxa"/>
            <w:gridSpan w:val="3"/>
            <w:tcBorders>
              <w:top w:val="single" w:sz="6" w:space="0" w:color="231F20"/>
              <w:start w:val="single" w:sz="4" w:space="0" w:color="231F20"/>
              <w:bottom w:val="single" w:sz="6" w:space="0" w:color="231F20"/>
              <w:end w:val="single" w:sz="4" w:space="0" w:color="231F20"/>
            </w:tcBorders>
          </w:tcPr>
          <w:p>
            <w:pPr>
              <w:spacing w:before="40" w:after="40" w:line="252" w:lineRule="auto"/>
              <w:jc w:val="left"/>
            </w:pPr>
            <w:r>
              <w:rPr>
                <w:rFonts w:ascii="Calibri" w:hAnsi="Calibri"/>
                <w:b w:val="0"/>
                <w:color w:val="000000"/>
                <w:sz w:val="18"/>
              </w:rPr>
              <w:t>MK26 Basis Data, MK06 Algoritma Pemrograman</w:t>
            </w:r>
          </w:p>
        </w:tc>
      </w:tr>
    </w:tbl>
    <w:p>
      <w:pPr>
        <w:sectPr>
          <w:footerReference w:type="even" r:id="rId7"/>
          <w:footerReference w:type="default" r:id="rId8"/>
          <w:footerReference w:type="first" r:id="rId9"/>
          <w:type w:val="nextPage"/>
          <w:pgSz w:orient="landscape" w:w="16838" w:h="11906"/>
          <w:pgMar w:left="1020" w:right="1280" w:gutter="0" w:header="0" w:top="1100" w:footer="0" w:bottom="280"/>
          <w:pgNumType w:fmt="decimal"/>
          <w:formProt w:val="false"/>
          <w:textDirection w:val="lrTb"/>
          <w:docGrid w:type="default" w:linePitch="100" w:charSpace="0"/>
        </w:sectPr>
      </w:pPr>
      <w:r>
        <w:br w:type="page"/>
      </w:r>
    </w:p>
    <w:p>
      <w:pPr>
        <w:pStyle w:val="normal1"/>
        <w:keepNext w:val="false"/>
        <w:keepLines w:val="false"/>
        <w:pageBreakBefore w:val="false"/>
        <w:widowControl w:val="false"/>
        <w:pBdr/>
        <w:shd w:val="clear" w:fill="auto"/>
        <w:spacing w:lineRule="auto" w:line="240" w:before="1" w:after="0"/>
        <w:ind w:hanging="0" w:start="0" w:end="0"/>
        <w:jc w:val="start"/>
        <w:rPr>
          <w:rFonts w:ascii="Arial" w:hAnsi="Arial" w:eastAsia="Arial" w:cs="Arial"/>
          <w:b/>
          <w:bCs/>
          <w:i w:val="false"/>
          <w:iCs w:val="false"/>
          <w:caps w:val="false"/>
          <w:smallCaps w:val="false"/>
          <w:strike w:val="false"/>
          <w:dstrike w:val="false"/>
          <w:color w:val="000000"/>
          <w:position w:val="0"/>
          <w:sz w:val="27"/>
          <w:szCs w:val="27"/>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7"/>
          <w:szCs w:val="27"/>
          <w:u w:val="none"/>
          <w:shd w:fill="auto" w:val="clear"/>
          <w:vertAlign w:val="baseline"/>
        </w:rPr>
        <mc:AlternateContent>
          <mc:Choice Requires="wps">
            <w:drawing>
              <wp:anchor distT="0" distB="0" distL="0" distR="0" simplePos="0" relativeHeight="11" behindDoc="0" locked="0" layoutInCell="0" allowOverlap="1">
                <wp:simplePos x="0" y="0"/>
                <wp:positionH relativeFrom="page">
                  <wp:posOffset>282575</wp:posOffset>
                </wp:positionH>
                <wp:positionV relativeFrom="page">
                  <wp:posOffset>6494780</wp:posOffset>
                </wp:positionV>
                <wp:extent cx="239395" cy="267970"/>
                <wp:effectExtent l="0" t="0" r="0" b="0"/>
                <wp:wrapNone/>
                <wp:docPr id="9" name="Shape 9"/>
                <a:graphic xmlns:a="http://schemas.openxmlformats.org/drawingml/2006/main">
                  <a:graphicData uri="http://schemas.microsoft.com/office/word/2010/wordprocessingShape">
                    <wps:wsp>
                      <wps:cNvSpPr/>
                      <wps:spPr>
                        <a:xfrm rot="5400000">
                          <a:off x="0" y="0"/>
                          <a:ext cx="239400" cy="267840"/>
                        </a:xfrm>
                        <a:prstGeom prst="rect">
                          <a:avLst/>
                        </a:prstGeom>
                        <a:noFill/>
                        <a:ln w="0">
                          <a:noFill/>
                        </a:ln>
                      </wps:spPr>
                      <wps:style>
                        <a:lnRef idx="0"/>
                        <a:fillRef idx="0"/>
                        <a:effectRef idx="0"/>
                        <a:fontRef idx="minor"/>
                      </wps:style>
                      <wps:txb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119</w:t>
                            </w:r>
                          </w:p>
                        </w:txbxContent>
                      </wps:txbx>
                      <wps:bodyPr lIns="0" tIns="0" rIns="0" bIns="0" anchor="t">
                        <a:noAutofit/>
                      </wps:bodyPr>
                    </wps:wsp>
                  </a:graphicData>
                </a:graphic>
              </wp:anchor>
            </w:drawing>
          </mc:Choice>
          <mc:Fallback>
            <w:pict>
              <v:rect id="shape_0" stroked="f" o:allowincell="f" style="position:absolute;margin-left:22.2pt;margin-top:511.4pt;width:18.8pt;height:21.05pt;mso-wrap-style:square;v-text-anchor:top;rotation:90;mso-position-horizontal-relative:page;mso-position-vertical-relative:page">
                <v:fill o:detectmouseclick="t" on="false"/>
                <v:stroke color="#3465a4" joinstyle="round" endcap="flat"/>
                <v:textbox>
                  <w:txbxContent>
                    <w:p>
                      <w:pPr>
                        <w:pStyle w:val="FrameContents"/>
                        <w:spacing w:lineRule="auto" w:line="240" w:before="19" w:after="0"/>
                        <w:ind w:firstLine="20" w:start="20" w:end="0"/>
                        <w:jc w:val="start"/>
                        <w:rPr/>
                      </w:pPr>
                      <w:r>
                        <w:rPr>
                          <w:rFonts w:eastAsia="Arial" w:cs="Arial" w:ascii="Arial" w:hAnsi="Arial"/>
                          <w:b w:val="false"/>
                          <w:i w:val="false"/>
                          <w:caps w:val="false"/>
                          <w:smallCaps w:val="false"/>
                          <w:strike w:val="false"/>
                          <w:dstrike w:val="false"/>
                          <w:color w:val="FFFFFF"/>
                          <w:position w:val="0"/>
                          <w:sz w:val="28"/>
                          <w:vertAlign w:val="baseline"/>
                        </w:rPr>
                        <w:t>119</w:t>
                      </w:r>
                    </w:p>
                  </w:txbxContent>
                </v:textbox>
                <w10:wrap type="none"/>
              </v:rect>
            </w:pict>
          </mc:Fallback>
        </mc:AlternateContent>
      </w:r>
    </w:p>
    <w:tbl>
      <w:tblPr>
        <w:tblStyle w:val="Table4"/>
        <w:tblW w:w="14295" w:type="dxa"/>
        <w:jc w:val="start"/>
        <w:tblInd w:w="128" w:type="dxa"/>
        <w:tblLayout w:type="fixed"/>
        <w:tblCellMar>
          <w:top w:w="0" w:type="dxa"/>
          <w:start w:w="108" w:type="dxa"/>
          <w:bottom w:w="0" w:type="dxa"/>
          <w:end w:w="108" w:type="dxa"/>
        </w:tblCellMar>
        <w:tblLook w:val="0000"/>
      </w:tblPr>
      <w:tblGrid>
        <w:gridCol w:w="547"/>
        <w:gridCol w:w="2283"/>
        <w:gridCol w:w="1843"/>
        <w:gridCol w:w="1629"/>
        <w:gridCol w:w="1677"/>
        <w:gridCol w:w="1998"/>
        <w:gridCol w:w="3058"/>
        <w:gridCol w:w="1260"/>
      </w:tblGrid>
      <w:tr>
        <w:trPr>
          <w:trHeight w:val="281" w:hRule="atLeast"/>
        </w:trPr>
        <w:tc>
          <w:tcPr>
            <w:tcW w:w="547"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12" w:start="155" w:end="143"/>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Mg Ke-</w:t>
            </w:r>
          </w:p>
        </w:tc>
        <w:tc>
          <w:tcPr>
            <w:tcW w:w="2283"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98" w:start="250" w:end="201"/>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Kemampuan akhir tiap tahapan belajar (CPMK) </w:t>
            </w:r>
          </w:p>
        </w:tc>
        <w:tc>
          <w:tcPr>
            <w:tcW w:w="3472" w:type="dxa"/>
            <w:gridSpan w:val="2"/>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1359" w:end="1351"/>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Penilaian</w:t>
            </w:r>
          </w:p>
        </w:tc>
        <w:tc>
          <w:tcPr>
            <w:tcW w:w="3675" w:type="dxa"/>
            <w:gridSpan w:val="2"/>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202" w:end="19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Bantuk Pembelajaran;</w:t>
            </w:r>
          </w:p>
          <w:p>
            <w:pPr>
              <w:pStyle w:val="normal1"/>
              <w:keepNext w:val="false"/>
              <w:keepLines w:val="false"/>
              <w:widowControl w:val="false"/>
              <w:pBdr/>
              <w:shd w:val="clear" w:fill="auto"/>
              <w:spacing w:lineRule="auto" w:line="250" w:before="9" w:after="0"/>
              <w:ind w:hanging="0" w:start="204" w:end="19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Metode Pembelajaran; Penugasan Mahasiswa; </w:t>
            </w:r>
            <w:r>
              <w:rPr>
                <w:rFonts w:eastAsia="Arial" w:cs="Arial" w:ascii="Arial" w:hAnsi="Arial"/>
                <w:b/>
                <w:bCs/>
                <w:i w:val="false"/>
                <w:iCs w:val="false"/>
                <w:caps w:val="false"/>
                <w:smallCaps w:val="false"/>
                <w:strike w:val="false"/>
                <w:dstrike w:val="false"/>
                <w:color w:val="3A53A4"/>
                <w:position w:val="0"/>
                <w:sz w:val="18"/>
                <w:szCs w:val="18"/>
                <w:u w:val="none"/>
                <w:shd w:fill="auto" w:val="clear"/>
                <w:vertAlign w:val="baseline"/>
              </w:rPr>
              <w:t>[Estimasi Waktu]</w:t>
            </w:r>
          </w:p>
        </w:tc>
        <w:tc>
          <w:tcPr>
            <w:tcW w:w="3058"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37" w:after="0"/>
              <w:ind w:hanging="386" w:start="1195" w:end="19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 xml:space="preserve">Materi Pembelajaran </w:t>
            </w:r>
            <w:r>
              <w:rPr>
                <w:rFonts w:eastAsia="Arial" w:cs="Arial" w:ascii="Arial" w:hAnsi="Arial"/>
                <w:b/>
                <w:bCs/>
                <w:i w:val="false"/>
                <w:iCs w:val="false"/>
                <w:caps w:val="false"/>
                <w:smallCaps w:val="false"/>
                <w:strike w:val="false"/>
                <w:dstrike w:val="false"/>
                <w:color w:val="3A53A4"/>
                <w:position w:val="0"/>
                <w:sz w:val="18"/>
                <w:szCs w:val="18"/>
                <w:u w:val="none"/>
                <w:shd w:fill="auto" w:val="clear"/>
                <w:vertAlign w:val="baseline"/>
              </w:rPr>
              <w:t>[Pustaka]</w:t>
            </w:r>
          </w:p>
        </w:tc>
        <w:tc>
          <w:tcPr>
            <w:tcW w:w="1260" w:type="dxa"/>
            <w:vMerge w:val="restart"/>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50" w:before="145" w:after="0"/>
              <w:ind w:firstLine="246" w:start="171"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Bobot Penilaian (%)</w:t>
            </w:r>
          </w:p>
        </w:tc>
      </w:tr>
      <w:tr>
        <w:trPr>
          <w:trHeight w:val="421" w:hRule="atLeast"/>
        </w:trPr>
        <w:tc>
          <w:tcPr>
            <w:tcW w:w="547"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2283"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84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07" w:after="0"/>
              <w:ind w:hanging="0" w:start="558" w:end="5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Indikator</w:t>
            </w:r>
          </w:p>
        </w:tc>
        <w:tc>
          <w:tcPr>
            <w:tcW w:w="1629"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107" w:after="0"/>
              <w:ind w:hanging="0" w:start="217" w:end="209"/>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Teknik &amp; Kriteria</w:t>
            </w:r>
          </w:p>
        </w:tc>
        <w:tc>
          <w:tcPr>
            <w:tcW w:w="3675" w:type="dxa"/>
            <w:gridSpan w:val="2"/>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3058"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c>
          <w:tcPr>
            <w:tcW w:w="1260" w:type="dxa"/>
            <w:vMerge w:val="continue"/>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18"/>
                <w:szCs w:val="18"/>
                <w:u w:val="none"/>
                <w:shd w:fill="auto" w:val="clear"/>
                <w:vertAlign w:val="baseline"/>
              </w:rPr>
            </w:r>
          </w:p>
        </w:tc>
      </w:tr>
      <w:tr>
        <w:trPr>
          <w:trHeight w:val="281" w:hRule="atLeast"/>
        </w:trPr>
        <w:tc>
          <w:tcPr>
            <w:tcW w:w="54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0"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(1)</w:t>
            </w:r>
          </w:p>
        </w:tc>
        <w:tc>
          <w:tcPr>
            <w:tcW w:w="2283"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0" w:end="1012"/>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(2)</w:t>
            </w:r>
          </w:p>
        </w:tc>
        <w:tc>
          <w:tcPr>
            <w:tcW w:w="1843" w:type="dxa"/>
            <w:tcBorders>
              <w:top w:val="single" w:sz="4" w:space="0" w:color="231F20"/>
              <w:start w:val="single" w:sz="4" w:space="0" w:color="231F20"/>
              <w:bottom w:val="single" w:sz="4" w:space="0" w:color="00000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558" w:end="5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(3)</w:t>
            </w:r>
          </w:p>
        </w:tc>
        <w:tc>
          <w:tcPr>
            <w:tcW w:w="1629"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217" w:end="209"/>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(4)</w:t>
            </w:r>
          </w:p>
        </w:tc>
        <w:tc>
          <w:tcPr>
            <w:tcW w:w="1677"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497"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Luring (5)</w:t>
            </w:r>
          </w:p>
        </w:tc>
        <w:tc>
          <w:tcPr>
            <w:tcW w:w="1998"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654" w:end="0"/>
              <w:jc w:val="start"/>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Daring (6)</w:t>
            </w:r>
          </w:p>
        </w:tc>
        <w:tc>
          <w:tcPr>
            <w:tcW w:w="3058"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1060" w:end="1050"/>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(7)</w:t>
            </w:r>
          </w:p>
        </w:tc>
        <w:tc>
          <w:tcPr>
            <w:tcW w:w="1260" w:type="dxa"/>
            <w:tcBorders>
              <w:top w:val="single" w:sz="4" w:space="0" w:color="231F20"/>
              <w:start w:val="single" w:sz="4" w:space="0" w:color="231F20"/>
              <w:bottom w:val="single" w:sz="4" w:space="0" w:color="231F20"/>
              <w:end w:val="single" w:sz="4" w:space="0" w:color="231F20"/>
            </w:tcBorders>
            <w:shd w:fill="DBE5F1" w:val="clear"/>
          </w:tcPr>
          <w:p>
            <w:pPr>
              <w:pStyle w:val="normal1"/>
              <w:keepNext w:val="false"/>
              <w:keepLines w:val="false"/>
              <w:widowControl w:val="false"/>
              <w:pBdr/>
              <w:shd w:val="clear" w:fill="auto"/>
              <w:spacing w:lineRule="auto" w:line="240" w:before="37" w:after="0"/>
              <w:ind w:hanging="0" w:start="74" w:end="63"/>
              <w:jc w:val="center"/>
              <w:rPr>
                <w:rFonts w:ascii="Arial" w:hAnsi="Arial" w:eastAsia="Arial" w:cs="Arial"/>
                <w:b/>
                <w:bCs/>
                <w:i w:val="false"/>
                <w:iCs w:val="false"/>
                <w:caps w:val="false"/>
                <w:smallCaps w:val="false"/>
                <w:strike w:val="false"/>
                <w:dstrike w:val="false"/>
                <w:color w:val="000000"/>
                <w:position w:val="0"/>
                <w:sz w:val="18"/>
                <w:szCs w:val="18"/>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18"/>
                <w:szCs w:val="18"/>
                <w:u w:val="none"/>
                <w:shd w:fill="auto" w:val="clear"/>
                <w:vertAlign w:val="baseline"/>
              </w:rPr>
              <w:t>(8)</w:t>
            </w:r>
          </w:p>
        </w:tc>
      </w:tr>
      <w:tr>
        <w:tc>
          <w:tcPr>
            <w:tcW w:type="dxa" w:w="547"/>
          </w:tcPr>
          <w:p>
            <w:pPr>
              <w:spacing w:before="40" w:after="40" w:line="252" w:lineRule="auto"/>
              <w:jc w:val="center"/>
            </w:pPr>
            <w:r>
              <w:rPr>
                <w:rFonts w:ascii="Calibri" w:hAnsi="Calibri"/>
                <w:b/>
                <w:color w:val="000000"/>
                <w:sz w:val="17"/>
              </w:rPr>
              <w:t>1</w:t>
            </w:r>
          </w:p>
        </w:tc>
        <w:tc>
          <w:tcPr>
            <w:tcW w:type="dxa" w:w="2283"/>
          </w:tcPr>
          <w:p>
            <w:pPr>
              <w:spacing w:before="40" w:after="40" w:line="252" w:lineRule="auto"/>
              <w:jc w:val="left"/>
            </w:pPr>
            <w:r>
              <w:rPr>
                <w:rFonts w:ascii="Calibri" w:hAnsi="Calibri"/>
                <w:b/>
                <w:color w:val="000000"/>
                <w:sz w:val="17"/>
              </w:rPr>
              <w:t>Sub-CPMK 1</w:t>
            </w:r>
          </w:p>
        </w:tc>
        <w:tc>
          <w:tcPr>
            <w:tcW w:type="dxa" w:w="1843"/>
          </w:tcPr>
          <w:p>
            <w:pPr>
              <w:spacing w:before="40" w:after="40" w:line="252" w:lineRule="auto"/>
              <w:jc w:val="left"/>
            </w:pPr>
            <w:r>
              <w:rPr>
                <w:rFonts w:ascii="Calibri" w:hAnsi="Calibri"/>
                <w:b w:val="0"/>
                <w:color w:val="000000"/>
                <w:sz w:val="17"/>
              </w:rPr>
              <w:t>Ketepatan dalam menjelaskan arsitektur internal DBMS, alur data dari disk ke buffer pool memori, organisasi blok penyimpanan, dan perbedaan strategi penyimpanan baris vs kolom.</w:t>
            </w:r>
          </w:p>
        </w:tc>
        <w:tc>
          <w:tcPr>
            <w:tcW w:type="dxa" w:w="1629"/>
          </w:tcPr>
          <w:p>
            <w:pPr>
              <w:spacing w:before="40" w:after="40" w:line="252" w:lineRule="auto"/>
              <w:jc w:val="left"/>
            </w:pPr>
            <w:r>
              <w:rPr>
                <w:rFonts w:ascii="Calibri" w:hAnsi="Calibri"/>
                <w:b w:val="0"/>
                <w:color w:val="000000"/>
                <w:sz w:val="17"/>
              </w:rPr>
              <w:t>Teknik non-tes: Tanya jawab interaktif &amp; resume materi arsitektur storage.</w:t>
              <w:br/>
              <w:t>Kriteria: Rubrik Partisipasi Kelas.</w:t>
            </w:r>
          </w:p>
        </w:tc>
        <w:tc>
          <w:tcPr>
            <w:tcW w:type="dxa" w:w="1677"/>
          </w:tcPr>
          <w:p>
            <w:pPr>
              <w:spacing w:before="40" w:after="40" w:line="252" w:lineRule="auto"/>
              <w:jc w:val="left"/>
            </w:pPr>
            <w:r>
              <w:rPr>
                <w:rFonts w:ascii="Calibri" w:hAnsi="Calibri"/>
                <w:b w:val="0"/>
                <w:color w:val="000000"/>
                <w:sz w:val="17"/>
              </w:rPr>
              <w:t>Kuliah interaktif, pemaparan RPS dan kontrak kuliah, diskusi arsitektur internal storage engine (InnoDB/Postgres).</w:t>
              <w:br/>
              <w:t>[PB: 1x(3x50')], [PT: 1x(3x60')], [KM: 1x(3x60')]</w:t>
            </w:r>
          </w:p>
        </w:tc>
        <w:tc>
          <w:tcPr>
            <w:tcW w:type="dxa" w:w="1998"/>
          </w:tcPr>
          <w:p>
            <w:pPr>
              <w:spacing w:before="40" w:after="40" w:line="252" w:lineRule="auto"/>
              <w:jc w:val="left"/>
            </w:pPr>
            <w:r>
              <w:rPr>
                <w:rFonts w:ascii="Calibri" w:hAnsi="Calibri"/>
                <w:b w:val="0"/>
                <w:color w:val="000000"/>
                <w:sz w:val="17"/>
              </w:rPr>
              <w:t>LMS Unirow: Mengunduh RPS, membaca materi Bab 12 Silberschatz, dan mengisi form komitmen belajar.</w:t>
            </w:r>
          </w:p>
        </w:tc>
        <w:tc>
          <w:tcPr>
            <w:tcW w:type="dxa" w:w="3058"/>
          </w:tcPr>
          <w:p>
            <w:pPr>
              <w:spacing w:before="40" w:after="40" w:line="252" w:lineRule="auto"/>
              <w:jc w:val="left"/>
            </w:pPr>
            <w:r>
              <w:rPr>
                <w:rFonts w:ascii="Calibri" w:hAnsi="Calibri"/>
                <w:b w:val="0"/>
                <w:color w:val="000000"/>
                <w:sz w:val="17"/>
              </w:rPr>
              <w:t>Arsitektur Penyimpanan DBMS: Hirarki storage (RAM, NVMe, HDD), manajemen buffer pool, struktur blok database, row-oriented vs columnar storage engine.</w:t>
              <w:br/>
              <w:t>Pustaka: [Silberschatz20: Bab 12], [Elmasri17: Bab 16]</w:t>
            </w:r>
          </w:p>
        </w:tc>
        <w:tc>
          <w:tcPr>
            <w:tcW w:type="dxa" w:w="1260"/>
          </w:tcPr>
          <w:p>
            <w:pPr>
              <w:spacing w:before="40" w:after="40" w:line="252" w:lineRule="auto"/>
              <w:jc w:val="center"/>
            </w:pPr>
            <w:r>
              <w:rPr>
                <w:rFonts w:ascii="Calibri" w:hAnsi="Calibri"/>
                <w:b/>
                <w:color w:val="000000"/>
                <w:sz w:val="17"/>
              </w:rPr>
              <w:t>2.5%</w:t>
            </w:r>
          </w:p>
        </w:tc>
      </w:tr>
      <w:tr>
        <w:tc>
          <w:tcPr>
            <w:tcW w:type="dxa" w:w="547"/>
          </w:tcPr>
          <w:p>
            <w:pPr>
              <w:spacing w:before="40" w:after="40" w:line="252" w:lineRule="auto"/>
              <w:jc w:val="center"/>
            </w:pPr>
            <w:r>
              <w:rPr>
                <w:rFonts w:ascii="Calibri" w:hAnsi="Calibri"/>
                <w:b/>
                <w:color w:val="000000"/>
                <w:sz w:val="17"/>
              </w:rPr>
              <w:t>2</w:t>
            </w:r>
          </w:p>
        </w:tc>
        <w:tc>
          <w:tcPr>
            <w:tcW w:type="dxa" w:w="2283"/>
          </w:tcPr>
          <w:p>
            <w:pPr>
              <w:spacing w:before="40" w:after="40" w:line="252" w:lineRule="auto"/>
              <w:jc w:val="left"/>
            </w:pPr>
            <w:r>
              <w:rPr>
                <w:rFonts w:ascii="Calibri" w:hAnsi="Calibri"/>
                <w:b/>
                <w:color w:val="000000"/>
                <w:sz w:val="17"/>
              </w:rPr>
              <w:t>Sub-CPMK 1</w:t>
            </w:r>
          </w:p>
        </w:tc>
        <w:tc>
          <w:tcPr>
            <w:tcW w:type="dxa" w:w="1843"/>
          </w:tcPr>
          <w:p>
            <w:pPr>
              <w:spacing w:before="40" w:after="40" w:line="252" w:lineRule="auto"/>
              <w:jc w:val="left"/>
            </w:pPr>
            <w:r>
              <w:rPr>
                <w:rFonts w:ascii="Calibri" w:hAnsi="Calibri"/>
                <w:b w:val="0"/>
                <w:color w:val="000000"/>
                <w:sz w:val="17"/>
              </w:rPr>
              <w:t>Ketepatan menganalisis struktur indeks pohon B+ Tree (node split, balancing, pencarian range query) dan membandingkannya dengan Hash Index.</w:t>
            </w:r>
          </w:p>
        </w:tc>
        <w:tc>
          <w:tcPr>
            <w:tcW w:type="dxa" w:w="1629"/>
          </w:tcPr>
          <w:p>
            <w:pPr>
              <w:spacing w:before="40" w:after="40" w:line="252" w:lineRule="auto"/>
              <w:jc w:val="left"/>
            </w:pPr>
            <w:r>
              <w:rPr>
                <w:rFonts w:ascii="Calibri" w:hAnsi="Calibri"/>
                <w:b w:val="0"/>
                <w:color w:val="000000"/>
                <w:sz w:val="17"/>
              </w:rPr>
              <w:t>Teknik non-tes: Latihan visualisasi struktur B+ Tree dan simulasi operasi insert/delete.</w:t>
              <w:br/>
              <w:t>Kriteria: Marking Scheme Struktur Indeks.</w:t>
            </w:r>
          </w:p>
        </w:tc>
        <w:tc>
          <w:tcPr>
            <w:tcW w:type="dxa" w:w="1677"/>
          </w:tcPr>
          <w:p>
            <w:pPr>
              <w:spacing w:before="40" w:after="40" w:line="252" w:lineRule="auto"/>
              <w:jc w:val="left"/>
            </w:pPr>
            <w:r>
              <w:rPr>
                <w:rFonts w:ascii="Calibri" w:hAnsi="Calibri"/>
                <w:b w:val="0"/>
                <w:color w:val="000000"/>
                <w:sz w:val="17"/>
              </w:rPr>
              <w:t>Small Group Discussion &amp; Tutorial: Simulasi manual penyeimbangan pohon B+ Tree pada berbagai skenario operasi manipulasi data.</w:t>
              <w:br/>
              <w:t>[PB: 1x(3x50')], [PT: 1x(3x60')], [KM: 1x(3x60')]</w:t>
            </w:r>
          </w:p>
        </w:tc>
        <w:tc>
          <w:tcPr>
            <w:tcW w:type="dxa" w:w="1998"/>
          </w:tcPr>
          <w:p>
            <w:pPr>
              <w:spacing w:before="40" w:after="40" w:line="252" w:lineRule="auto"/>
              <w:jc w:val="left"/>
            </w:pPr>
            <w:r>
              <w:rPr>
                <w:rFonts w:ascii="Calibri" w:hAnsi="Calibri"/>
                <w:b w:val="0"/>
                <w:color w:val="000000"/>
                <w:sz w:val="17"/>
              </w:rPr>
              <w:t>LMS Unirow: Mengerjakan simulasi interaktif B+ Tree visualizer dan mengunggah hasil latihan.</w:t>
            </w:r>
          </w:p>
        </w:tc>
        <w:tc>
          <w:tcPr>
            <w:tcW w:type="dxa" w:w="3058"/>
          </w:tcPr>
          <w:p>
            <w:pPr>
              <w:spacing w:before="40" w:after="40" w:line="252" w:lineRule="auto"/>
              <w:jc w:val="left"/>
            </w:pPr>
            <w:r>
              <w:rPr>
                <w:rFonts w:ascii="Calibri" w:hAnsi="Calibri"/>
                <w:b w:val="0"/>
                <w:color w:val="000000"/>
                <w:sz w:val="17"/>
              </w:rPr>
              <w:t>Struktur Indeksasi Data: Konsep indexing primer vs sekunder, B+ Tree Index (struktur node, pencarian range query), Hash Index, dan Bitmap Index.</w:t>
              <w:br/>
              <w:t>Pustaka: [Silberschatz20: Bab 14], [Elmasri17: Bab 17]</w:t>
            </w:r>
          </w:p>
        </w:tc>
        <w:tc>
          <w:tcPr>
            <w:tcW w:type="dxa" w:w="1260"/>
          </w:tcPr>
          <w:p>
            <w:pPr>
              <w:spacing w:before="40" w:after="40" w:line="252" w:lineRule="auto"/>
              <w:jc w:val="center"/>
            </w:pPr>
            <w:r>
              <w:rPr>
                <w:rFonts w:ascii="Calibri" w:hAnsi="Calibri"/>
                <w:b/>
                <w:color w:val="000000"/>
                <w:sz w:val="17"/>
              </w:rPr>
              <w:t>2.5%</w:t>
            </w:r>
          </w:p>
        </w:tc>
      </w:tr>
      <w:tr>
        <w:tc>
          <w:tcPr>
            <w:tcW w:type="dxa" w:w="547"/>
          </w:tcPr>
          <w:p>
            <w:pPr>
              <w:spacing w:before="40" w:after="40" w:line="252" w:lineRule="auto"/>
              <w:jc w:val="center"/>
            </w:pPr>
            <w:r>
              <w:rPr>
                <w:rFonts w:ascii="Calibri" w:hAnsi="Calibri"/>
                <w:b/>
                <w:color w:val="000000"/>
                <w:sz w:val="17"/>
              </w:rPr>
              <w:t>3</w:t>
            </w:r>
          </w:p>
        </w:tc>
        <w:tc>
          <w:tcPr>
            <w:tcW w:type="dxa" w:w="2283"/>
          </w:tcPr>
          <w:p>
            <w:pPr>
              <w:spacing w:before="40" w:after="40" w:line="252" w:lineRule="auto"/>
              <w:jc w:val="left"/>
            </w:pPr>
            <w:r>
              <w:rPr>
                <w:rFonts w:ascii="Calibri" w:hAnsi="Calibri"/>
                <w:b/>
                <w:color w:val="000000"/>
                <w:sz w:val="17"/>
              </w:rPr>
              <w:t>Sub-CPMK 2</w:t>
            </w:r>
          </w:p>
        </w:tc>
        <w:tc>
          <w:tcPr>
            <w:tcW w:type="dxa" w:w="1843"/>
          </w:tcPr>
          <w:p>
            <w:pPr>
              <w:spacing w:before="40" w:after="40" w:line="252" w:lineRule="auto"/>
              <w:jc w:val="left"/>
            </w:pPr>
            <w:r>
              <w:rPr>
                <w:rFonts w:ascii="Calibri" w:hAnsi="Calibri"/>
                <w:b w:val="0"/>
                <w:color w:val="000000"/>
                <w:sz w:val="17"/>
              </w:rPr>
              <w:t>Kemampuan menulis query SQL analitis kompleks menggunakan Window Functions (ROW_NUMBER, RANK, DENSE_RANK, NTILE, LAG/LEAD) dan Recursive Common Table Expressions (CTE).</w:t>
            </w:r>
          </w:p>
        </w:tc>
        <w:tc>
          <w:tcPr>
            <w:tcW w:type="dxa" w:w="1629"/>
          </w:tcPr>
          <w:p>
            <w:pPr>
              <w:spacing w:before="40" w:after="40" w:line="252" w:lineRule="auto"/>
              <w:jc w:val="left"/>
            </w:pPr>
            <w:r>
              <w:rPr>
                <w:rFonts w:ascii="Calibri" w:hAnsi="Calibri"/>
                <w:b w:val="0"/>
                <w:color w:val="000000"/>
                <w:sz w:val="17"/>
              </w:rPr>
              <w:t>Teknik non-tes: Praktik lab penulisan query agregasi analitis lanjutan.</w:t>
              <w:br/>
              <w:t>Kriteria: Rubrik Pemrograman SQL Analitis.</w:t>
            </w:r>
          </w:p>
        </w:tc>
        <w:tc>
          <w:tcPr>
            <w:tcW w:type="dxa" w:w="1677"/>
          </w:tcPr>
          <w:p>
            <w:pPr>
              <w:spacing w:before="40" w:after="40" w:line="252" w:lineRule="auto"/>
              <w:jc w:val="left"/>
            </w:pPr>
            <w:r>
              <w:rPr>
                <w:rFonts w:ascii="Calibri" w:hAnsi="Calibri"/>
                <w:b w:val="0"/>
                <w:color w:val="000000"/>
                <w:sz w:val="17"/>
              </w:rPr>
              <w:t>Praktik laboratorium komputer: Hands-on penulisan query analitik transaksi penjualan dan navigasi struktur hirarki data dengan Recursive CTE.</w:t>
              <w:br/>
              <w:t>[PB: 1x(3x50')], [PT: 1x(3x60')], [KM: 1x(3x60')]</w:t>
            </w:r>
          </w:p>
        </w:tc>
        <w:tc>
          <w:tcPr>
            <w:tcW w:type="dxa" w:w="1998"/>
          </w:tcPr>
          <w:p>
            <w:pPr>
              <w:spacing w:before="40" w:after="40" w:line="252" w:lineRule="auto"/>
              <w:jc w:val="left"/>
            </w:pPr>
            <w:r>
              <w:rPr>
                <w:rFonts w:ascii="Calibri" w:hAnsi="Calibri"/>
                <w:b w:val="0"/>
                <w:color w:val="000000"/>
                <w:sz w:val="17"/>
              </w:rPr>
              <w:t>LMS Unirow: Pengunggahan skrip SQL latihan mandiri dan review kode query oleh dosen.</w:t>
            </w:r>
          </w:p>
        </w:tc>
        <w:tc>
          <w:tcPr>
            <w:tcW w:type="dxa" w:w="3058"/>
          </w:tcPr>
          <w:p>
            <w:pPr>
              <w:spacing w:before="40" w:after="40" w:line="252" w:lineRule="auto"/>
              <w:jc w:val="left"/>
            </w:pPr>
            <w:r>
              <w:rPr>
                <w:rFonts w:ascii="Calibri" w:hAnsi="Calibri"/>
                <w:b w:val="0"/>
                <w:color w:val="000000"/>
                <w:sz w:val="17"/>
              </w:rPr>
              <w:t>Advanced SQL I: Window Functions (Partition by, Order by, Frame clause), Common Table Expressions (CTE), dan hierarki data rekursif.</w:t>
              <w:br/>
              <w:t>Pustaka: [Celko14: Bab 23], [Postgres24]</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4</w:t>
            </w:r>
          </w:p>
        </w:tc>
        <w:tc>
          <w:tcPr>
            <w:tcW w:type="dxa" w:w="2283"/>
          </w:tcPr>
          <w:p>
            <w:pPr>
              <w:spacing w:before="40" w:after="40" w:line="252" w:lineRule="auto"/>
              <w:jc w:val="left"/>
            </w:pPr>
            <w:r>
              <w:rPr>
                <w:rFonts w:ascii="Calibri" w:hAnsi="Calibri"/>
                <w:b/>
                <w:color w:val="000000"/>
                <w:sz w:val="17"/>
              </w:rPr>
              <w:t>Sub-CPMK 2</w:t>
            </w:r>
          </w:p>
        </w:tc>
        <w:tc>
          <w:tcPr>
            <w:tcW w:type="dxa" w:w="1843"/>
          </w:tcPr>
          <w:p>
            <w:pPr>
              <w:spacing w:before="40" w:after="40" w:line="252" w:lineRule="auto"/>
              <w:jc w:val="left"/>
            </w:pPr>
            <w:r>
              <w:rPr>
                <w:rFonts w:ascii="Calibri" w:hAnsi="Calibri"/>
                <w:b w:val="0"/>
                <w:color w:val="000000"/>
                <w:sz w:val="17"/>
              </w:rPr>
              <w:t>Kemampuan mengimplementasikan Stored Procedures, User-Defined Functions, Triggers, dan pengelolaan transaksi atomik di dalam kode prosedural (PL/pgSQL).</w:t>
            </w:r>
          </w:p>
        </w:tc>
        <w:tc>
          <w:tcPr>
            <w:tcW w:type="dxa" w:w="1629"/>
          </w:tcPr>
          <w:p>
            <w:pPr>
              <w:spacing w:before="40" w:after="40" w:line="252" w:lineRule="auto"/>
              <w:jc w:val="left"/>
            </w:pPr>
            <w:r>
              <w:rPr>
                <w:rFonts w:ascii="Calibri" w:hAnsi="Calibri"/>
                <w:b w:val="0"/>
                <w:color w:val="000000"/>
                <w:sz w:val="17"/>
              </w:rPr>
              <w:t>Teknik non-tes: Tugas-1 (Pemrograman Database Tingkat Lanjut: Stored Procedure &amp; Complex Triggers).</w:t>
              <w:br/>
              <w:t>Kriteria: Rubrik Pemrograman Database Skala 1-5.</w:t>
            </w:r>
          </w:p>
        </w:tc>
        <w:tc>
          <w:tcPr>
            <w:tcW w:type="dxa" w:w="1677"/>
          </w:tcPr>
          <w:p>
            <w:pPr>
              <w:spacing w:before="40" w:after="40" w:line="252" w:lineRule="auto"/>
              <w:jc w:val="left"/>
            </w:pPr>
            <w:r>
              <w:rPr>
                <w:rFonts w:ascii="Calibri" w:hAnsi="Calibri"/>
                <w:b w:val="0"/>
                <w:color w:val="000000"/>
                <w:sz w:val="17"/>
              </w:rPr>
              <w:t>Workshop perancangan business logic di sisi database: Pembuatan trigger otomatisasi audit saldo rekening dan enkapsulasi prosedur transaksi.</w:t>
              <w:br/>
              <w:t>[PB: 1x(3x50')], [PT: 1x(3x60')], [KM: 1x(3x60')]</w:t>
            </w:r>
          </w:p>
        </w:tc>
        <w:tc>
          <w:tcPr>
            <w:tcW w:type="dxa" w:w="1998"/>
          </w:tcPr>
          <w:p>
            <w:pPr>
              <w:spacing w:before="40" w:after="40" w:line="252" w:lineRule="auto"/>
              <w:jc w:val="left"/>
            </w:pPr>
            <w:r>
              <w:rPr>
                <w:rFonts w:ascii="Calibri" w:hAnsi="Calibri"/>
                <w:b w:val="0"/>
                <w:color w:val="000000"/>
                <w:sz w:val="17"/>
              </w:rPr>
              <w:t>LMS Unirow: Pengumpulan berkas Tugas-1 (File skrip .sql dan laporan pengujian fungsional).</w:t>
            </w:r>
          </w:p>
        </w:tc>
        <w:tc>
          <w:tcPr>
            <w:tcW w:type="dxa" w:w="3058"/>
          </w:tcPr>
          <w:p>
            <w:pPr>
              <w:spacing w:before="40" w:after="40" w:line="252" w:lineRule="auto"/>
              <w:jc w:val="left"/>
            </w:pPr>
            <w:r>
              <w:rPr>
                <w:rFonts w:ascii="Calibri" w:hAnsi="Calibri"/>
                <w:b w:val="0"/>
                <w:color w:val="000000"/>
                <w:sz w:val="17"/>
              </w:rPr>
              <w:t>Advanced SQL II &amp; Prosedural: Sintaks PL/pgSQL, variabel, kontrol alur, penanganan exception, Stored Procedure vs Function, Trigger BEFORE/AFTER, dan Cursor.</w:t>
              <w:br/>
              <w:t>Pustaka: [Silberschatz20: Bab 5], [Celko14: Bab 28]</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5</w:t>
            </w:r>
          </w:p>
        </w:tc>
        <w:tc>
          <w:tcPr>
            <w:tcW w:type="dxa" w:w="2283"/>
          </w:tcPr>
          <w:p>
            <w:pPr>
              <w:spacing w:before="40" w:after="40" w:line="252" w:lineRule="auto"/>
              <w:jc w:val="left"/>
            </w:pPr>
            <w:r>
              <w:rPr>
                <w:rFonts w:ascii="Calibri" w:hAnsi="Calibri"/>
                <w:b/>
                <w:color w:val="000000"/>
                <w:sz w:val="17"/>
              </w:rPr>
              <w:t>Sub-CPMK 3</w:t>
            </w:r>
          </w:p>
        </w:tc>
        <w:tc>
          <w:tcPr>
            <w:tcW w:type="dxa" w:w="1843"/>
          </w:tcPr>
          <w:p>
            <w:pPr>
              <w:spacing w:before="40" w:after="40" w:line="252" w:lineRule="auto"/>
              <w:jc w:val="left"/>
            </w:pPr>
            <w:r>
              <w:rPr>
                <w:rFonts w:ascii="Calibri" w:hAnsi="Calibri"/>
                <w:b w:val="0"/>
                <w:color w:val="000000"/>
                <w:sz w:val="17"/>
              </w:rPr>
              <w:t>Ketepatan menjelaskan tahapan pemrosesan query (parsing, query tree rewrite, estimasi cost), algoritma join (Nested-loop, Hash Join, Merge Join), dan faktor penentu cost query.</w:t>
            </w:r>
          </w:p>
        </w:tc>
        <w:tc>
          <w:tcPr>
            <w:tcW w:type="dxa" w:w="1629"/>
          </w:tcPr>
          <w:p>
            <w:pPr>
              <w:spacing w:before="40" w:after="40" w:line="252" w:lineRule="auto"/>
              <w:jc w:val="left"/>
            </w:pPr>
            <w:r>
              <w:rPr>
                <w:rFonts w:ascii="Calibri" w:hAnsi="Calibri"/>
                <w:b w:val="0"/>
                <w:color w:val="000000"/>
                <w:sz w:val="17"/>
              </w:rPr>
              <w:t>Teknik non-tes: Analisis perbandingan algoritma join dan kalkulasi I/O cost.</w:t>
              <w:br/>
              <w:t>Kriteria: Marking Scheme Algoritma Join.</w:t>
            </w:r>
          </w:p>
        </w:tc>
        <w:tc>
          <w:tcPr>
            <w:tcW w:type="dxa" w:w="1677"/>
          </w:tcPr>
          <w:p>
            <w:pPr>
              <w:spacing w:before="40" w:after="40" w:line="252" w:lineRule="auto"/>
              <w:jc w:val="left"/>
            </w:pPr>
            <w:r>
              <w:rPr>
                <w:rFonts w:ascii="Calibri" w:hAnsi="Calibri"/>
                <w:b w:val="0"/>
                <w:color w:val="000000"/>
                <w:sz w:val="17"/>
              </w:rPr>
              <w:t>Kuliah interaktif dan diskusi matematis: Menghitung jumlah transfer disk block pada Nested-loop Join vs Block Nested-loop vs Hash Join.</w:t>
              <w:br/>
              <w:t>[PB: 1x(3x50')], [PT: 1x(3x60')], [KM: 1x(3x60')]</w:t>
            </w:r>
          </w:p>
        </w:tc>
        <w:tc>
          <w:tcPr>
            <w:tcW w:type="dxa" w:w="1998"/>
          </w:tcPr>
          <w:p>
            <w:pPr>
              <w:spacing w:before="40" w:after="40" w:line="252" w:lineRule="auto"/>
              <w:jc w:val="left"/>
            </w:pPr>
            <w:r>
              <w:rPr>
                <w:rFonts w:ascii="Calibri" w:hAnsi="Calibri"/>
                <w:b w:val="0"/>
                <w:color w:val="000000"/>
                <w:sz w:val="17"/>
              </w:rPr>
              <w:t>LMS Unirow: Mengakses video tutorial mengenai internal query execution engine.</w:t>
            </w:r>
          </w:p>
        </w:tc>
        <w:tc>
          <w:tcPr>
            <w:tcW w:type="dxa" w:w="3058"/>
          </w:tcPr>
          <w:p>
            <w:pPr>
              <w:spacing w:before="40" w:after="40" w:line="252" w:lineRule="auto"/>
              <w:jc w:val="left"/>
            </w:pPr>
            <w:r>
              <w:rPr>
                <w:rFonts w:ascii="Calibri" w:hAnsi="Calibri"/>
                <w:b w:val="0"/>
                <w:color w:val="000000"/>
                <w:sz w:val="17"/>
              </w:rPr>
              <w:t>Query Processing &amp; Relational Algebra: Langkah query processing, query translation, representasi query tree, dan algoritma evaluasi operator (Selection, Sorting, Join).</w:t>
              <w:br/>
              <w:t>Pustaka: [Silberschatz20: Bab 15], [Elmasri17: Bab 18]</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6</w:t>
            </w:r>
          </w:p>
        </w:tc>
        <w:tc>
          <w:tcPr>
            <w:tcW w:type="dxa" w:w="2283"/>
          </w:tcPr>
          <w:p>
            <w:pPr>
              <w:spacing w:before="40" w:after="40" w:line="252" w:lineRule="auto"/>
              <w:jc w:val="left"/>
            </w:pPr>
            <w:r>
              <w:rPr>
                <w:rFonts w:ascii="Calibri" w:hAnsi="Calibri"/>
                <w:b/>
                <w:color w:val="000000"/>
                <w:sz w:val="17"/>
              </w:rPr>
              <w:t>Sub-CPMK 3</w:t>
            </w:r>
          </w:p>
        </w:tc>
        <w:tc>
          <w:tcPr>
            <w:tcW w:type="dxa" w:w="1843"/>
          </w:tcPr>
          <w:p>
            <w:pPr>
              <w:spacing w:before="40" w:after="40" w:line="252" w:lineRule="auto"/>
              <w:jc w:val="left"/>
            </w:pPr>
            <w:r>
              <w:rPr>
                <w:rFonts w:ascii="Calibri" w:hAnsi="Calibri"/>
                <w:b w:val="0"/>
                <w:color w:val="000000"/>
                <w:sz w:val="17"/>
              </w:rPr>
              <w:t>Kemampuan membaca rencana eksekusi (EXPLAIN ANALYZE), mendeteksi Full Table Scan yang tidak efisien, dan melakukan query tuning dengan strategi indeks komposit.</w:t>
            </w:r>
          </w:p>
        </w:tc>
        <w:tc>
          <w:tcPr>
            <w:tcW w:type="dxa" w:w="1629"/>
          </w:tcPr>
          <w:p>
            <w:pPr>
              <w:spacing w:before="40" w:after="40" w:line="252" w:lineRule="auto"/>
              <w:jc w:val="left"/>
            </w:pPr>
            <w:r>
              <w:rPr>
                <w:rFonts w:ascii="Calibri" w:hAnsi="Calibri"/>
                <w:b w:val="0"/>
                <w:color w:val="000000"/>
                <w:sz w:val="17"/>
              </w:rPr>
              <w:t>Teknik non-tes: Tugas-2 (Analisis &amp; Optimasi Query pada Dataset Skala Besar &gt; 1 Juta Rekaman).</w:t>
              <w:br/>
              <w:t>Kriteria: Rubrik Optimasi Query Skala 1-5.</w:t>
            </w:r>
          </w:p>
        </w:tc>
        <w:tc>
          <w:tcPr>
            <w:tcW w:type="dxa" w:w="1677"/>
          </w:tcPr>
          <w:p>
            <w:pPr>
              <w:spacing w:before="40" w:after="40" w:line="252" w:lineRule="auto"/>
              <w:jc w:val="left"/>
            </w:pPr>
            <w:r>
              <w:rPr>
                <w:rFonts w:ascii="Calibri" w:hAnsi="Calibri"/>
                <w:b w:val="0"/>
                <w:color w:val="000000"/>
                <w:sz w:val="17"/>
              </w:rPr>
              <w:t>Hands-on lab: Eksplorasi execution plan pada database PostgreSQL/MySQL dengan dataset riil, benchmarking response time sebelum dan sesudah indexing.</w:t>
              <w:br/>
              <w:t>[PB: 1x(3x50')], [PT: 1x(3x60')], [KM: 1x(3x60')]</w:t>
            </w:r>
          </w:p>
        </w:tc>
        <w:tc>
          <w:tcPr>
            <w:tcW w:type="dxa" w:w="1998"/>
          </w:tcPr>
          <w:p>
            <w:pPr>
              <w:spacing w:before="40" w:after="40" w:line="252" w:lineRule="auto"/>
              <w:jc w:val="left"/>
            </w:pPr>
            <w:r>
              <w:rPr>
                <w:rFonts w:ascii="Calibri" w:hAnsi="Calibri"/>
                <w:b w:val="0"/>
                <w:color w:val="000000"/>
                <w:sz w:val="17"/>
              </w:rPr>
              <w:t>LMS Unirow: Pengumpulan berkas laporan Tugas-2 (Grafik perbandingan execution time dan analisis query plan).</w:t>
            </w:r>
          </w:p>
        </w:tc>
        <w:tc>
          <w:tcPr>
            <w:tcW w:type="dxa" w:w="3058"/>
          </w:tcPr>
          <w:p>
            <w:pPr>
              <w:spacing w:before="40" w:after="40" w:line="252" w:lineRule="auto"/>
              <w:jc w:val="left"/>
            </w:pPr>
            <w:r>
              <w:rPr>
                <w:rFonts w:ascii="Calibri" w:hAnsi="Calibri"/>
                <w:b w:val="0"/>
                <w:color w:val="000000"/>
                <w:sz w:val="17"/>
              </w:rPr>
              <w:t>Cost-Based Query Optimization &amp; Index Tuning: Membaca EXPLAIN plan, Sequential Scan vs Index Scan, Covering Index, Partial Index, dan refactoring subquery.</w:t>
              <w:br/>
              <w:t>Pustaka: [Silberschatz20: Bab 16], [Postgres24]</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7</w:t>
            </w:r>
          </w:p>
        </w:tc>
        <w:tc>
          <w:tcPr>
            <w:tcW w:type="dxa" w:w="2283"/>
          </w:tcPr>
          <w:p>
            <w:pPr>
              <w:spacing w:before="40" w:after="40" w:line="252" w:lineRule="auto"/>
              <w:jc w:val="left"/>
            </w:pPr>
            <w:r>
              <w:rPr>
                <w:rFonts w:ascii="Calibri" w:hAnsi="Calibri"/>
                <w:b/>
                <w:color w:val="000000"/>
                <w:sz w:val="17"/>
              </w:rPr>
              <w:t>Sub-CPMK 4</w:t>
            </w:r>
          </w:p>
        </w:tc>
        <w:tc>
          <w:tcPr>
            <w:tcW w:type="dxa" w:w="1843"/>
          </w:tcPr>
          <w:p>
            <w:pPr>
              <w:spacing w:before="40" w:after="40" w:line="252" w:lineRule="auto"/>
              <w:jc w:val="left"/>
            </w:pPr>
            <w:r>
              <w:rPr>
                <w:rFonts w:ascii="Calibri" w:hAnsi="Calibri"/>
                <w:b w:val="0"/>
                <w:color w:val="000000"/>
                <w:sz w:val="17"/>
              </w:rPr>
              <w:t>Ketepatan menganalisis status transaksi, konsep jadwal serializability (Conflict vs View Serializability), dan pengujian jadwal transaksi dengan Precedence Graph.</w:t>
            </w:r>
          </w:p>
        </w:tc>
        <w:tc>
          <w:tcPr>
            <w:tcW w:type="dxa" w:w="1629"/>
          </w:tcPr>
          <w:p>
            <w:pPr>
              <w:spacing w:before="40" w:after="40" w:line="252" w:lineRule="auto"/>
              <w:jc w:val="left"/>
            </w:pPr>
            <w:r>
              <w:rPr>
                <w:rFonts w:ascii="Calibri" w:hAnsi="Calibri"/>
                <w:b w:val="0"/>
                <w:color w:val="000000"/>
                <w:sz w:val="17"/>
              </w:rPr>
              <w:t>Teknik non-tes: Latihan analisis Precedence Graph jadwal transaksi.</w:t>
              <w:br/>
              <w:t>Kriteria: Marking Scheme Serializability.</w:t>
            </w:r>
          </w:p>
        </w:tc>
        <w:tc>
          <w:tcPr>
            <w:tcW w:type="dxa" w:w="1677"/>
          </w:tcPr>
          <w:p>
            <w:pPr>
              <w:spacing w:before="40" w:after="40" w:line="252" w:lineRule="auto"/>
              <w:jc w:val="left"/>
            </w:pPr>
            <w:r>
              <w:rPr>
                <w:rFonts w:ascii="Calibri" w:hAnsi="Calibri"/>
                <w:b w:val="0"/>
                <w:color w:val="000000"/>
                <w:sz w:val="17"/>
              </w:rPr>
              <w:t>Problem-Based Learning: Analisis skenario eksekusi transaksi konkuren, pembuatan Precedence Graph untuk mendeteksi siklus nonserializable.</w:t>
              <w:br/>
              <w:t>[PB: 1x(3x50')], [PT: 1x(3x60')], [KM: 1x(3x60')]</w:t>
            </w:r>
          </w:p>
        </w:tc>
        <w:tc>
          <w:tcPr>
            <w:tcW w:type="dxa" w:w="1998"/>
          </w:tcPr>
          <w:p>
            <w:pPr>
              <w:spacing w:before="40" w:after="40" w:line="252" w:lineRule="auto"/>
              <w:jc w:val="left"/>
            </w:pPr>
            <w:r>
              <w:rPr>
                <w:rFonts w:ascii="Calibri" w:hAnsi="Calibri"/>
                <w:b w:val="0"/>
                <w:color w:val="000000"/>
                <w:sz w:val="17"/>
              </w:rPr>
              <w:t>LMS Unirow: Kuis latihan mandiri mengenai sifat ACID dan pengujian serializability.</w:t>
            </w:r>
          </w:p>
        </w:tc>
        <w:tc>
          <w:tcPr>
            <w:tcW w:type="dxa" w:w="3058"/>
          </w:tcPr>
          <w:p>
            <w:pPr>
              <w:spacing w:before="40" w:after="40" w:line="252" w:lineRule="auto"/>
              <w:jc w:val="left"/>
            </w:pPr>
            <w:r>
              <w:rPr>
                <w:rFonts w:ascii="Calibri" w:hAnsi="Calibri"/>
                <w:b w:val="0"/>
                <w:color w:val="000000"/>
                <w:sz w:val="17"/>
              </w:rPr>
              <w:t>Manajemen Transaksi: Status transaksi (Active, Partially Committed, Failed, Aborted, Committed), sifat ACID, Conflict Serializability, Precedence Graph.</w:t>
              <w:br/>
              <w:t>Pustaka: [Silberschatz20: Bab 17], [Elmasri17: Bab 20]</w:t>
            </w:r>
          </w:p>
        </w:tc>
        <w:tc>
          <w:tcPr>
            <w:tcW w:type="dxa" w:w="1260"/>
          </w:tcPr>
          <w:p>
            <w:pPr>
              <w:spacing w:before="40" w:after="40" w:line="252" w:lineRule="auto"/>
              <w:jc w:val="center"/>
            </w:pPr>
            <w:r>
              <w:rPr>
                <w:rFonts w:ascii="Calibri" w:hAnsi="Calibri"/>
                <w:b/>
                <w:color w:val="000000"/>
                <w:sz w:val="17"/>
              </w:rPr>
              <w:t>10%</w:t>
            </w:r>
          </w:p>
        </w:tc>
      </w:tr>
      <w:tr>
        <w:tc>
          <w:tcPr>
            <w:tcW w:type="dxa" w:w="547"/>
            <w:shd w:fill="FFF2CC"/>
          </w:tcPr>
          <w:p>
            <w:pPr>
              <w:spacing w:before="40" w:after="40" w:line="252" w:lineRule="auto"/>
              <w:jc w:val="center"/>
            </w:pPr>
            <w:r>
              <w:rPr>
                <w:rFonts w:ascii="Calibri" w:hAnsi="Calibri"/>
                <w:b/>
                <w:color w:val="000000"/>
                <w:sz w:val="17"/>
              </w:rPr>
              <w:t>8</w:t>
            </w:r>
          </w:p>
        </w:tc>
        <w:tc>
          <w:tcPr>
            <w:tcW w:type="dxa" w:w="2283"/>
            <w:shd w:fill="FFF2CC"/>
          </w:tcPr>
          <w:p>
            <w:pPr>
              <w:spacing w:before="40" w:after="40" w:line="252" w:lineRule="auto"/>
              <w:jc w:val="left"/>
            </w:pPr>
            <w:r>
              <w:rPr>
                <w:rFonts w:ascii="Calibri" w:hAnsi="Calibri"/>
                <w:b/>
                <w:color w:val="000000"/>
                <w:sz w:val="17"/>
              </w:rPr>
              <w:t>Sub-CPMK 1, 2, 3, 4</w:t>
            </w:r>
          </w:p>
        </w:tc>
        <w:tc>
          <w:tcPr>
            <w:tcW w:type="dxa" w:w="1843"/>
            <w:shd w:fill="FFF2CC"/>
          </w:tcPr>
          <w:p>
            <w:pPr>
              <w:spacing w:before="40" w:after="40" w:line="252" w:lineRule="auto"/>
              <w:jc w:val="left"/>
            </w:pPr>
            <w:r>
              <w:rPr>
                <w:rFonts w:ascii="Calibri" w:hAnsi="Calibri"/>
                <w:b w:val="0"/>
                <w:color w:val="000000"/>
                <w:sz w:val="17"/>
              </w:rPr>
              <w:t>Penguasaan konsep teoritis arsitektur storage, struktur B+ Tree, query execution plan, optimasi indexing, dan serializability transaksi.</w:t>
            </w:r>
          </w:p>
        </w:tc>
        <w:tc>
          <w:tcPr>
            <w:tcW w:type="dxa" w:w="1629"/>
            <w:shd w:fill="FFF2CC"/>
          </w:tcPr>
          <w:p>
            <w:pPr>
              <w:spacing w:before="40" w:after="40" w:line="252" w:lineRule="auto"/>
              <w:jc w:val="left"/>
            </w:pPr>
            <w:r>
              <w:rPr>
                <w:rFonts w:ascii="Calibri" w:hAnsi="Calibri"/>
                <w:b w:val="0"/>
                <w:color w:val="000000"/>
                <w:sz w:val="17"/>
              </w:rPr>
              <w:t>Teknik Tes: Ujian Tertulis Tengah Semester (UTS) berbentuk soal analisis kasus dan optimasi query.</w:t>
              <w:br/>
              <w:t>Kriteria: Pedoman Penskoran Kunci Jawaban UTS.</w:t>
            </w:r>
          </w:p>
        </w:tc>
        <w:tc>
          <w:tcPr>
            <w:tcW w:type="dxa" w:w="1677"/>
            <w:shd w:fill="FFF2CC"/>
          </w:tcPr>
          <w:p>
            <w:pPr>
              <w:spacing w:before="40" w:after="40" w:line="252" w:lineRule="auto"/>
              <w:jc w:val="left"/>
            </w:pPr>
            <w:r>
              <w:rPr>
                <w:rFonts w:ascii="Calibri" w:hAnsi="Calibri"/>
                <w:b w:val="0"/>
                <w:color w:val="000000"/>
                <w:sz w:val="17"/>
              </w:rPr>
              <w:t>Evaluasi Tengah Semester / Ujian Tertulis Terjadwal di Ruang Kelas.</w:t>
              <w:br/>
              <w:t>[PB: 1x(3x50')]</w:t>
            </w:r>
          </w:p>
        </w:tc>
        <w:tc>
          <w:tcPr>
            <w:tcW w:type="dxa" w:w="1998"/>
            <w:shd w:fill="FFF2CC"/>
          </w:tcPr>
          <w:p>
            <w:pPr>
              <w:spacing w:before="40" w:after="40" w:line="252" w:lineRule="auto"/>
              <w:jc w:val="left"/>
            </w:pPr>
            <w:r>
              <w:rPr>
                <w:rFonts w:ascii="Calibri" w:hAnsi="Calibri"/>
                <w:b w:val="0"/>
                <w:color w:val="000000"/>
                <w:sz w:val="17"/>
              </w:rPr>
              <w:t>LMS Unirow: Pengunggahan arsip lembar jawaban dan berita acara pelaksanaan UTS.</w:t>
            </w:r>
          </w:p>
        </w:tc>
        <w:tc>
          <w:tcPr>
            <w:tcW w:type="dxa" w:w="3058"/>
            <w:shd w:fill="FFF2CC"/>
          </w:tcPr>
          <w:p>
            <w:pPr>
              <w:spacing w:before="40" w:after="40" w:line="252" w:lineRule="auto"/>
              <w:jc w:val="left"/>
            </w:pPr>
            <w:r>
              <w:rPr>
                <w:rFonts w:ascii="Calibri" w:hAnsi="Calibri"/>
                <w:b w:val="0"/>
                <w:color w:val="000000"/>
                <w:sz w:val="17"/>
              </w:rPr>
              <w:t>Seluruh Materi Pertemuan 1 s.d. 7 (Storage, B+ Tree, Advanced SQL, Query Optimization, dan Transaksi Serializability).</w:t>
              <w:br/>
              <w:t>Pustaka: [Silberschatz20], [Elmasri17], [Celko14]</w:t>
            </w:r>
          </w:p>
        </w:tc>
        <w:tc>
          <w:tcPr>
            <w:tcW w:type="dxa" w:w="1260"/>
            <w:shd w:fill="FFF2CC"/>
          </w:tcPr>
          <w:p>
            <w:pPr>
              <w:spacing w:before="40" w:after="40" w:line="252" w:lineRule="auto"/>
              <w:jc w:val="center"/>
            </w:pPr>
            <w:r>
              <w:rPr>
                <w:rFonts w:ascii="Calibri" w:hAnsi="Calibri"/>
                <w:b/>
                <w:color w:val="000000"/>
                <w:sz w:val="17"/>
              </w:rPr>
              <w:t>15%</w:t>
            </w:r>
          </w:p>
        </w:tc>
      </w:tr>
      <w:tr>
        <w:tc>
          <w:tcPr>
            <w:tcW w:type="dxa" w:w="547"/>
          </w:tcPr>
          <w:p>
            <w:pPr>
              <w:spacing w:before="40" w:after="40" w:line="252" w:lineRule="auto"/>
              <w:jc w:val="center"/>
            </w:pPr>
            <w:r>
              <w:rPr>
                <w:rFonts w:ascii="Calibri" w:hAnsi="Calibri"/>
                <w:b/>
                <w:color w:val="000000"/>
                <w:sz w:val="17"/>
              </w:rPr>
              <w:t>9</w:t>
            </w:r>
          </w:p>
        </w:tc>
        <w:tc>
          <w:tcPr>
            <w:tcW w:type="dxa" w:w="2283"/>
          </w:tcPr>
          <w:p>
            <w:pPr>
              <w:spacing w:before="40" w:after="40" w:line="252" w:lineRule="auto"/>
              <w:jc w:val="left"/>
            </w:pPr>
            <w:r>
              <w:rPr>
                <w:rFonts w:ascii="Calibri" w:hAnsi="Calibri"/>
                <w:b/>
                <w:color w:val="000000"/>
                <w:sz w:val="17"/>
              </w:rPr>
              <w:t>Sub-CPMK 4</w:t>
            </w:r>
          </w:p>
        </w:tc>
        <w:tc>
          <w:tcPr>
            <w:tcW w:type="dxa" w:w="1843"/>
          </w:tcPr>
          <w:p>
            <w:pPr>
              <w:spacing w:before="40" w:after="40" w:line="252" w:lineRule="auto"/>
              <w:jc w:val="left"/>
            </w:pPr>
            <w:r>
              <w:rPr>
                <w:rFonts w:ascii="Calibri" w:hAnsi="Calibri"/>
                <w:b w:val="0"/>
                <w:color w:val="000000"/>
                <w:sz w:val="17"/>
              </w:rPr>
              <w:t>Ketepatan menjelaskan protokol Two-Phase Locking (Strict/Rigorous 2PL), penanganan deadlock (Wait-Die, Wound-Wait), dan implementasi Multi-Version Concurrency Control (MVCC).</w:t>
            </w:r>
          </w:p>
        </w:tc>
        <w:tc>
          <w:tcPr>
            <w:tcW w:type="dxa" w:w="1629"/>
          </w:tcPr>
          <w:p>
            <w:pPr>
              <w:spacing w:before="40" w:after="40" w:line="252" w:lineRule="auto"/>
              <w:jc w:val="left"/>
            </w:pPr>
            <w:r>
              <w:rPr>
                <w:rFonts w:ascii="Calibri" w:hAnsi="Calibri"/>
                <w:b w:val="0"/>
                <w:color w:val="000000"/>
                <w:sz w:val="17"/>
              </w:rPr>
              <w:t>Teknik non-tes: Simulasi deadlock dan observasi isolasi transaksi (Read Committed vs Serializable) di database.</w:t>
              <w:br/>
              <w:t>Kriteria: Marking Scheme Concurrency Control.</w:t>
            </w:r>
          </w:p>
        </w:tc>
        <w:tc>
          <w:tcPr>
            <w:tcW w:type="dxa" w:w="1677"/>
          </w:tcPr>
          <w:p>
            <w:pPr>
              <w:spacing w:before="40" w:after="40" w:line="252" w:lineRule="auto"/>
              <w:jc w:val="left"/>
            </w:pPr>
            <w:r>
              <w:rPr>
                <w:rFonts w:ascii="Calibri" w:hAnsi="Calibri"/>
                <w:b w:val="0"/>
                <w:color w:val="000000"/>
                <w:sz w:val="17"/>
              </w:rPr>
              <w:t>Eksperimen laboratorium: Membuka dua session transaksi simultan di PostgreSQL/MySQL, mensimulasikan deadlock, dan memverifikasi cara kerja MVCC snapshot.</w:t>
              <w:br/>
              <w:t>[PB: 1x(3x50')], [PT: 1x(3x60')], [KM: 1x(3x60')]</w:t>
            </w:r>
          </w:p>
        </w:tc>
        <w:tc>
          <w:tcPr>
            <w:tcW w:type="dxa" w:w="1998"/>
          </w:tcPr>
          <w:p>
            <w:pPr>
              <w:spacing w:before="40" w:after="40" w:line="252" w:lineRule="auto"/>
              <w:jc w:val="left"/>
            </w:pPr>
            <w:r>
              <w:rPr>
                <w:rFonts w:ascii="Calibri" w:hAnsi="Calibri"/>
                <w:b w:val="0"/>
                <w:color w:val="000000"/>
                <w:sz w:val="17"/>
              </w:rPr>
              <w:t>LMS Unirow: Forum diskusi mengenai perbandingan mekanisme penguncian pesimistik vs optimistik.</w:t>
            </w:r>
          </w:p>
        </w:tc>
        <w:tc>
          <w:tcPr>
            <w:tcW w:type="dxa" w:w="3058"/>
          </w:tcPr>
          <w:p>
            <w:pPr>
              <w:spacing w:before="40" w:after="40" w:line="252" w:lineRule="auto"/>
              <w:jc w:val="left"/>
            </w:pPr>
            <w:r>
              <w:rPr>
                <w:rFonts w:ascii="Calibri" w:hAnsi="Calibri"/>
                <w:b w:val="0"/>
                <w:color w:val="000000"/>
                <w:sz w:val="17"/>
              </w:rPr>
              <w:t>Kontrol Konkurensi: Lock types (Shared vs Exclusive), Two-Phase Locking (2PL), Deadlock prevention &amp; detection (Wait-For Graph), dan mekanisme MVCC.</w:t>
              <w:br/>
              <w:t>Pustaka: [Silberschatz20: Bab 18], [Kleppmann17: Bab 7]</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10</w:t>
            </w:r>
          </w:p>
        </w:tc>
        <w:tc>
          <w:tcPr>
            <w:tcW w:type="dxa" w:w="2283"/>
          </w:tcPr>
          <w:p>
            <w:pPr>
              <w:spacing w:before="40" w:after="40" w:line="252" w:lineRule="auto"/>
              <w:jc w:val="left"/>
            </w:pPr>
            <w:r>
              <w:rPr>
                <w:rFonts w:ascii="Calibri" w:hAnsi="Calibri"/>
                <w:b/>
                <w:color w:val="000000"/>
                <w:sz w:val="17"/>
              </w:rPr>
              <w:t>Sub-CPMK 5</w:t>
            </w:r>
          </w:p>
        </w:tc>
        <w:tc>
          <w:tcPr>
            <w:tcW w:type="dxa" w:w="1843"/>
          </w:tcPr>
          <w:p>
            <w:pPr>
              <w:spacing w:before="40" w:after="40" w:line="252" w:lineRule="auto"/>
              <w:jc w:val="left"/>
            </w:pPr>
            <w:r>
              <w:rPr>
                <w:rFonts w:ascii="Calibri" w:hAnsi="Calibri"/>
                <w:b w:val="0"/>
                <w:color w:val="000000"/>
                <w:sz w:val="17"/>
              </w:rPr>
              <w:t>Ketepatan menganalisis pemulihan kegagalan sistem basis data menggunakan Write-Ahead Logging (WAL), Checkpointing, dan fasa algoritma ARIES (Analysis, Redo, Undo).</w:t>
            </w:r>
          </w:p>
        </w:tc>
        <w:tc>
          <w:tcPr>
            <w:tcW w:type="dxa" w:w="1629"/>
          </w:tcPr>
          <w:p>
            <w:pPr>
              <w:spacing w:before="40" w:after="40" w:line="252" w:lineRule="auto"/>
              <w:jc w:val="left"/>
            </w:pPr>
            <w:r>
              <w:rPr>
                <w:rFonts w:ascii="Calibri" w:hAnsi="Calibri"/>
                <w:b w:val="0"/>
                <w:color w:val="000000"/>
                <w:sz w:val="17"/>
              </w:rPr>
              <w:t>Teknik non-tes: Studi kasus rekonstruksi log transaksi pasca crash server.</w:t>
              <w:br/>
              <w:t>Kriteria: Marking Scheme Crash Recovery.</w:t>
            </w:r>
          </w:p>
        </w:tc>
        <w:tc>
          <w:tcPr>
            <w:tcW w:type="dxa" w:w="1677"/>
          </w:tcPr>
          <w:p>
            <w:pPr>
              <w:spacing w:before="40" w:after="40" w:line="252" w:lineRule="auto"/>
              <w:jc w:val="left"/>
            </w:pPr>
            <w:r>
              <w:rPr>
                <w:rFonts w:ascii="Calibri" w:hAnsi="Calibri"/>
                <w:b w:val="0"/>
                <w:color w:val="000000"/>
                <w:sz w:val="17"/>
              </w:rPr>
              <w:t>Kuliah interaktif &amp; latihan analisis: Merekonstruksi log file database setelah terjadi power outage menggunakan algoritma ARIES.</w:t>
              <w:br/>
              <w:t>[PB: 1x(3x50')], [PT: 1x(3x60')], [KM: 1x(3x60')]</w:t>
            </w:r>
          </w:p>
        </w:tc>
        <w:tc>
          <w:tcPr>
            <w:tcW w:type="dxa" w:w="1998"/>
          </w:tcPr>
          <w:p>
            <w:pPr>
              <w:spacing w:before="40" w:after="40" w:line="252" w:lineRule="auto"/>
              <w:jc w:val="left"/>
            </w:pPr>
            <w:r>
              <w:rPr>
                <w:rFonts w:ascii="Calibri" w:hAnsi="Calibri"/>
                <w:b w:val="0"/>
                <w:color w:val="000000"/>
                <w:sz w:val="17"/>
              </w:rPr>
              <w:t>LMS Unirow: Mempelajari modul teknis Write-Ahead Logging pada mesin engine database.</w:t>
            </w:r>
          </w:p>
        </w:tc>
        <w:tc>
          <w:tcPr>
            <w:tcW w:type="dxa" w:w="3058"/>
          </w:tcPr>
          <w:p>
            <w:pPr>
              <w:spacing w:before="40" w:after="40" w:line="252" w:lineRule="auto"/>
              <w:jc w:val="left"/>
            </w:pPr>
            <w:r>
              <w:rPr>
                <w:rFonts w:ascii="Calibri" w:hAnsi="Calibri"/>
                <w:b w:val="0"/>
                <w:color w:val="000000"/>
                <w:sz w:val="17"/>
              </w:rPr>
              <w:t>Sistem Pemulihan (Recovery System): Klasifikasi kegagalan, log-based recovery, Write-Ahead Logging (WAL), Checkpointing, dan fase algoritma ARIES.</w:t>
              <w:br/>
              <w:t>Pustaka: [Silberschatz20: Bab 19], [Elmasri17: Bab 22]</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11</w:t>
            </w:r>
          </w:p>
        </w:tc>
        <w:tc>
          <w:tcPr>
            <w:tcW w:type="dxa" w:w="2283"/>
          </w:tcPr>
          <w:p>
            <w:pPr>
              <w:spacing w:before="40" w:after="40" w:line="252" w:lineRule="auto"/>
              <w:jc w:val="left"/>
            </w:pPr>
            <w:r>
              <w:rPr>
                <w:rFonts w:ascii="Calibri" w:hAnsi="Calibri"/>
                <w:b/>
                <w:color w:val="000000"/>
                <w:sz w:val="17"/>
              </w:rPr>
              <w:t>Sub-CPMK 5</w:t>
            </w:r>
          </w:p>
        </w:tc>
        <w:tc>
          <w:tcPr>
            <w:tcW w:type="dxa" w:w="1843"/>
          </w:tcPr>
          <w:p>
            <w:pPr>
              <w:spacing w:before="40" w:after="40" w:line="252" w:lineRule="auto"/>
              <w:jc w:val="left"/>
            </w:pPr>
            <w:r>
              <w:rPr>
                <w:rFonts w:ascii="Calibri" w:hAnsi="Calibri"/>
                <w:b w:val="0"/>
                <w:color w:val="000000"/>
                <w:sz w:val="17"/>
              </w:rPr>
              <w:t>Kemampuan mengonfigurasi Role-Based Access Control (RBAC), enkripsi data (TDE &amp; koneksi SSL/TLS), audit trail, dan teknik mitigasi serangan SQL Injection.</w:t>
            </w:r>
          </w:p>
        </w:tc>
        <w:tc>
          <w:tcPr>
            <w:tcW w:type="dxa" w:w="1629"/>
          </w:tcPr>
          <w:p>
            <w:pPr>
              <w:spacing w:before="40" w:after="40" w:line="252" w:lineRule="auto"/>
              <w:jc w:val="left"/>
            </w:pPr>
            <w:r>
              <w:rPr>
                <w:rFonts w:ascii="Calibri" w:hAnsi="Calibri"/>
                <w:b w:val="0"/>
                <w:color w:val="000000"/>
                <w:sz w:val="17"/>
              </w:rPr>
              <w:t>Teknik non-tes: Praktik laboratorium konfigurasi user privileges, audit logging, dan secure parameterized queries.</w:t>
              <w:br/>
              <w:t>Kriteria: Rubrik Keamanan Database.</w:t>
            </w:r>
          </w:p>
        </w:tc>
        <w:tc>
          <w:tcPr>
            <w:tcW w:type="dxa" w:w="1677"/>
          </w:tcPr>
          <w:p>
            <w:pPr>
              <w:spacing w:before="40" w:after="40" w:line="252" w:lineRule="auto"/>
              <w:jc w:val="left"/>
            </w:pPr>
            <w:r>
              <w:rPr>
                <w:rFonts w:ascii="Calibri" w:hAnsi="Calibri"/>
                <w:b w:val="0"/>
                <w:color w:val="000000"/>
                <w:sz w:val="17"/>
              </w:rPr>
              <w:t>Praktik laboratorium: Konfigurasi RBAC (GRANT/REVOKE), pengujian celah keamanan injeksi SQL dan pencegahannya dengan prepared statements.</w:t>
              <w:br/>
              <w:t>[PB: 1x(3x50')], [PT: 1x(3x60')], [KM: 1x(3x60')]</w:t>
            </w:r>
          </w:p>
        </w:tc>
        <w:tc>
          <w:tcPr>
            <w:tcW w:type="dxa" w:w="1998"/>
          </w:tcPr>
          <w:p>
            <w:pPr>
              <w:spacing w:before="40" w:after="40" w:line="252" w:lineRule="auto"/>
              <w:jc w:val="left"/>
            </w:pPr>
            <w:r>
              <w:rPr>
                <w:rFonts w:ascii="Calibri" w:hAnsi="Calibri"/>
                <w:b w:val="0"/>
                <w:color w:val="000000"/>
                <w:sz w:val="17"/>
              </w:rPr>
              <w:t>LMS Unirow: Submission laporan praktik pengamanan database dan berkas konfigurasi SSL.</w:t>
            </w:r>
          </w:p>
        </w:tc>
        <w:tc>
          <w:tcPr>
            <w:tcW w:type="dxa" w:w="3058"/>
          </w:tcPr>
          <w:p>
            <w:pPr>
              <w:spacing w:before="40" w:after="40" w:line="252" w:lineRule="auto"/>
              <w:jc w:val="left"/>
            </w:pPr>
            <w:r>
              <w:rPr>
                <w:rFonts w:ascii="Calibri" w:hAnsi="Calibri"/>
                <w:b w:val="0"/>
                <w:color w:val="000000"/>
                <w:sz w:val="17"/>
              </w:rPr>
              <w:t>Keamanan Basis Data: Hak akses pengguna (RBAC), Row-Level Security (RLS), enkripsi data at-rest &amp; in-transit, database auditing, dan secure coding.</w:t>
              <w:br/>
              <w:t>Pustaka: [Silberschatz20: Bab 8], [Elmasri17: Bab 23]</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12</w:t>
            </w:r>
          </w:p>
        </w:tc>
        <w:tc>
          <w:tcPr>
            <w:tcW w:type="dxa" w:w="2283"/>
          </w:tcPr>
          <w:p>
            <w:pPr>
              <w:spacing w:before="40" w:after="40" w:line="252" w:lineRule="auto"/>
              <w:jc w:val="left"/>
            </w:pPr>
            <w:r>
              <w:rPr>
                <w:rFonts w:ascii="Calibri" w:hAnsi="Calibri"/>
                <w:b/>
                <w:color w:val="000000"/>
                <w:sz w:val="17"/>
              </w:rPr>
              <w:t>Sub-CPMK 6</w:t>
            </w:r>
          </w:p>
        </w:tc>
        <w:tc>
          <w:tcPr>
            <w:tcW w:type="dxa" w:w="1843"/>
          </w:tcPr>
          <w:p>
            <w:pPr>
              <w:spacing w:before="40" w:after="40" w:line="252" w:lineRule="auto"/>
              <w:jc w:val="left"/>
            </w:pPr>
            <w:r>
              <w:rPr>
                <w:rFonts w:ascii="Calibri" w:hAnsi="Calibri"/>
                <w:b w:val="0"/>
                <w:color w:val="000000"/>
                <w:sz w:val="17"/>
              </w:rPr>
              <w:t>Ketepatan merancang fragmentasi data (horizontal &amp; vertikal), arsitektur replikasi (Master-Slave / Streaming Replication), dan menganalisis Teorema CAP pada sistem terdistribusi.</w:t>
            </w:r>
          </w:p>
        </w:tc>
        <w:tc>
          <w:tcPr>
            <w:tcW w:type="dxa" w:w="1629"/>
          </w:tcPr>
          <w:p>
            <w:pPr>
              <w:spacing w:before="40" w:after="40" w:line="252" w:lineRule="auto"/>
              <w:jc w:val="left"/>
            </w:pPr>
            <w:r>
              <w:rPr>
                <w:rFonts w:ascii="Calibri" w:hAnsi="Calibri"/>
                <w:b w:val="0"/>
                <w:color w:val="000000"/>
                <w:sz w:val="17"/>
              </w:rPr>
              <w:t>Teknik non-tes: Desain arsitektur basis data terdistribusi dan analisis trade-off konsistensi vs ketersediaan.</w:t>
              <w:br/>
              <w:t>Kriteria: Marking Scheme Sistem Terdistribusi.</w:t>
            </w:r>
          </w:p>
        </w:tc>
        <w:tc>
          <w:tcPr>
            <w:tcW w:type="dxa" w:w="1677"/>
          </w:tcPr>
          <w:p>
            <w:pPr>
              <w:spacing w:before="40" w:after="40" w:line="252" w:lineRule="auto"/>
              <w:jc w:val="left"/>
            </w:pPr>
            <w:r>
              <w:rPr>
                <w:rFonts w:ascii="Calibri" w:hAnsi="Calibri"/>
                <w:b w:val="0"/>
                <w:color w:val="000000"/>
                <w:sz w:val="17"/>
              </w:rPr>
              <w:t>Kuliah interaktif &amp; studi kasus: Merancang skema fragmentasi data cabang perbankan nasional dan strategi replikasi data multi-region.</w:t>
              <w:br/>
              <w:t>[PB: 1x(3x50')], [PT: 1x(3x60')], [KM: 1x(3x60')]</w:t>
            </w:r>
          </w:p>
        </w:tc>
        <w:tc>
          <w:tcPr>
            <w:tcW w:type="dxa" w:w="1998"/>
          </w:tcPr>
          <w:p>
            <w:pPr>
              <w:spacing w:before="40" w:after="40" w:line="252" w:lineRule="auto"/>
              <w:jc w:val="left"/>
            </w:pPr>
            <w:r>
              <w:rPr>
                <w:rFonts w:ascii="Calibri" w:hAnsi="Calibri"/>
                <w:b w:val="0"/>
                <w:color w:val="000000"/>
                <w:sz w:val="17"/>
              </w:rPr>
              <w:t>LMS Unirow: Mengakses video materi mengenai Teorema CAP dan model konsistensi PACELC.</w:t>
            </w:r>
          </w:p>
        </w:tc>
        <w:tc>
          <w:tcPr>
            <w:tcW w:type="dxa" w:w="3058"/>
          </w:tcPr>
          <w:p>
            <w:pPr>
              <w:spacing w:before="40" w:after="40" w:line="252" w:lineRule="auto"/>
              <w:jc w:val="left"/>
            </w:pPr>
            <w:r>
              <w:rPr>
                <w:rFonts w:ascii="Calibri" w:hAnsi="Calibri"/>
                <w:b w:val="0"/>
                <w:color w:val="000000"/>
                <w:sz w:val="17"/>
              </w:rPr>
              <w:t>Basis Data Terdistribusi I: Homogeneous vs Heterogeneous DDBMS, fragmentasi (horizontal/vertikal), replikasi data, Teorema CAP (Consistency, Availability, Partition Tolerance).</w:t>
              <w:br/>
              <w:t>Pustaka: [Silberschatz20: Bab 20], [Kleppmann17: Bab 5 &amp; 8]</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13</w:t>
            </w:r>
          </w:p>
        </w:tc>
        <w:tc>
          <w:tcPr>
            <w:tcW w:type="dxa" w:w="2283"/>
          </w:tcPr>
          <w:p>
            <w:pPr>
              <w:spacing w:before="40" w:after="40" w:line="252" w:lineRule="auto"/>
              <w:jc w:val="left"/>
            </w:pPr>
            <w:r>
              <w:rPr>
                <w:rFonts w:ascii="Calibri" w:hAnsi="Calibri"/>
                <w:b/>
                <w:color w:val="000000"/>
                <w:sz w:val="17"/>
              </w:rPr>
              <w:t>Sub-CPMK 6</w:t>
            </w:r>
          </w:p>
        </w:tc>
        <w:tc>
          <w:tcPr>
            <w:tcW w:type="dxa" w:w="1843"/>
          </w:tcPr>
          <w:p>
            <w:pPr>
              <w:spacing w:before="40" w:after="40" w:line="252" w:lineRule="auto"/>
              <w:jc w:val="left"/>
            </w:pPr>
            <w:r>
              <w:rPr>
                <w:rFonts w:ascii="Calibri" w:hAnsi="Calibri"/>
                <w:b w:val="0"/>
                <w:color w:val="000000"/>
                <w:sz w:val="17"/>
              </w:rPr>
              <w:t>Kemampuan mengonfigurasi horizontal sharding, protokol Two-Phase Commit (2PC), dan load balancing read/write query pada kluster database.</w:t>
            </w:r>
          </w:p>
        </w:tc>
        <w:tc>
          <w:tcPr>
            <w:tcW w:type="dxa" w:w="1629"/>
          </w:tcPr>
          <w:p>
            <w:pPr>
              <w:spacing w:before="40" w:after="40" w:line="252" w:lineRule="auto"/>
              <w:jc w:val="left"/>
            </w:pPr>
            <w:r>
              <w:rPr>
                <w:rFonts w:ascii="Calibri" w:hAnsi="Calibri"/>
                <w:b w:val="0"/>
                <w:color w:val="000000"/>
                <w:sz w:val="17"/>
              </w:rPr>
              <w:t>Teknik non-tes: Praktik kluster database terdistribusi &amp; demonstrasi failover otomatis.</w:t>
              <w:br/>
              <w:t>Kriteria: Rubrik Implementasi Sharding/Replikasi.</w:t>
            </w:r>
          </w:p>
        </w:tc>
        <w:tc>
          <w:tcPr>
            <w:tcW w:type="dxa" w:w="1677"/>
          </w:tcPr>
          <w:p>
            <w:pPr>
              <w:spacing w:before="40" w:after="40" w:line="252" w:lineRule="auto"/>
              <w:jc w:val="left"/>
            </w:pPr>
            <w:r>
              <w:rPr>
                <w:rFonts w:ascii="Calibri" w:hAnsi="Calibri"/>
                <w:b w:val="0"/>
                <w:color w:val="000000"/>
                <w:sz w:val="17"/>
              </w:rPr>
              <w:t>Praktik laboratorium: Konfigurasi Streaming Replication pada PostgreSQL / MySQL Group Replication dan simulasi failover master node.</w:t>
              <w:br/>
              <w:t>[PB: 1x(3x50')], [PT: 1x(3x60')], [KM: 1x(3x60')]</w:t>
            </w:r>
          </w:p>
        </w:tc>
        <w:tc>
          <w:tcPr>
            <w:tcW w:type="dxa" w:w="1998"/>
          </w:tcPr>
          <w:p>
            <w:pPr>
              <w:spacing w:before="40" w:after="40" w:line="252" w:lineRule="auto"/>
              <w:jc w:val="left"/>
            </w:pPr>
            <w:r>
              <w:rPr>
                <w:rFonts w:ascii="Calibri" w:hAnsi="Calibri"/>
                <w:b w:val="0"/>
                <w:color w:val="000000"/>
                <w:sz w:val="17"/>
              </w:rPr>
              <w:t>LMS Unirow: Pengunggahan skrip setup kluster database dan log pengujian replikasi.</w:t>
            </w:r>
          </w:p>
        </w:tc>
        <w:tc>
          <w:tcPr>
            <w:tcW w:type="dxa" w:w="3058"/>
          </w:tcPr>
          <w:p>
            <w:pPr>
              <w:spacing w:before="40" w:after="40" w:line="252" w:lineRule="auto"/>
              <w:jc w:val="left"/>
            </w:pPr>
            <w:r>
              <w:rPr>
                <w:rFonts w:ascii="Calibri" w:hAnsi="Calibri"/>
                <w:b w:val="0"/>
                <w:color w:val="000000"/>
                <w:sz w:val="17"/>
              </w:rPr>
              <w:t>Basis Data Terdistribusi II: Distributed Transactions, Two-Phase Commit (2PC), Sharding strategi (Hash vs Range Sharding), Citus/Vitess overview.</w:t>
              <w:br/>
              <w:t>Pustaka: [Silberschatz20: Bab 21], [Kleppmann17: Bab 6 &amp; 9]</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14</w:t>
            </w:r>
          </w:p>
        </w:tc>
        <w:tc>
          <w:tcPr>
            <w:tcW w:type="dxa" w:w="2283"/>
          </w:tcPr>
          <w:p>
            <w:pPr>
              <w:spacing w:before="40" w:after="40" w:line="252" w:lineRule="auto"/>
              <w:jc w:val="left"/>
            </w:pPr>
            <w:r>
              <w:rPr>
                <w:rFonts w:ascii="Calibri" w:hAnsi="Calibri"/>
                <w:b/>
                <w:color w:val="000000"/>
                <w:sz w:val="17"/>
              </w:rPr>
              <w:t>Sub-CPMK 7</w:t>
            </w:r>
          </w:p>
        </w:tc>
        <w:tc>
          <w:tcPr>
            <w:tcW w:type="dxa" w:w="1843"/>
          </w:tcPr>
          <w:p>
            <w:pPr>
              <w:spacing w:before="40" w:after="40" w:line="252" w:lineRule="auto"/>
              <w:jc w:val="left"/>
            </w:pPr>
            <w:r>
              <w:rPr>
                <w:rFonts w:ascii="Calibri" w:hAnsi="Calibri"/>
                <w:b w:val="0"/>
                <w:color w:val="000000"/>
                <w:sz w:val="17"/>
              </w:rPr>
              <w:t>Kemampuan memodelkan dokumen JSON/BSON pada MongoDB, mengeksekusi query CRUD, membangun aggregation pipeline kompleks, dan merancang indeks NoSQL.</w:t>
            </w:r>
          </w:p>
        </w:tc>
        <w:tc>
          <w:tcPr>
            <w:tcW w:type="dxa" w:w="1629"/>
          </w:tcPr>
          <w:p>
            <w:pPr>
              <w:spacing w:before="40" w:after="40" w:line="252" w:lineRule="auto"/>
              <w:jc w:val="left"/>
            </w:pPr>
            <w:r>
              <w:rPr>
                <w:rFonts w:ascii="Calibri" w:hAnsi="Calibri"/>
                <w:b w:val="0"/>
                <w:color w:val="000000"/>
                <w:sz w:val="17"/>
              </w:rPr>
              <w:t>Teknik non-tes: Tugas-3 (Implementasi Basis Data Terdistribusi &amp; Poliglot Persistence: PostgreSQL + MongoDB + Redis Cache).</w:t>
              <w:br/>
              <w:t>Kriteria: Rubrik Proyek Database Enterprise Skala 1-5.</w:t>
            </w:r>
          </w:p>
        </w:tc>
        <w:tc>
          <w:tcPr>
            <w:tcW w:type="dxa" w:w="1677"/>
          </w:tcPr>
          <w:p>
            <w:pPr>
              <w:spacing w:before="40" w:after="40" w:line="252" w:lineRule="auto"/>
              <w:jc w:val="left"/>
            </w:pPr>
            <w:r>
              <w:rPr>
                <w:rFonts w:ascii="Calibri" w:hAnsi="Calibri"/>
                <w:b w:val="0"/>
                <w:color w:val="000000"/>
                <w:sz w:val="17"/>
              </w:rPr>
              <w:t>Hands-on lab MongoDB: Pemodelan data fleksibel (Embedding vs Referencing), aggregation pipeline (Match, Group, Project, Lookup), dan indexing dokumen.</w:t>
              <w:br/>
              <w:t>[PB: 1x(3x50')], [PT: 1x(3x60')], [KM: 1x(3x60')]</w:t>
            </w:r>
          </w:p>
        </w:tc>
        <w:tc>
          <w:tcPr>
            <w:tcW w:type="dxa" w:w="1998"/>
          </w:tcPr>
          <w:p>
            <w:pPr>
              <w:spacing w:before="40" w:after="40" w:line="252" w:lineRule="auto"/>
              <w:jc w:val="left"/>
            </w:pPr>
            <w:r>
              <w:rPr>
                <w:rFonts w:ascii="Calibri" w:hAnsi="Calibri"/>
                <w:b w:val="0"/>
                <w:color w:val="000000"/>
                <w:sz w:val="17"/>
              </w:rPr>
              <w:t>LMS Unirow: Pengumpulan berkas repositori proyek dan draf dokumen arsitektur Tugas-3.</w:t>
            </w:r>
          </w:p>
        </w:tc>
        <w:tc>
          <w:tcPr>
            <w:tcW w:type="dxa" w:w="3058"/>
          </w:tcPr>
          <w:p>
            <w:pPr>
              <w:spacing w:before="40" w:after="40" w:line="252" w:lineRule="auto"/>
              <w:jc w:val="left"/>
            </w:pPr>
            <w:r>
              <w:rPr>
                <w:rFonts w:ascii="Calibri" w:hAnsi="Calibri"/>
                <w:b w:val="0"/>
                <w:color w:val="000000"/>
                <w:sz w:val="17"/>
              </w:rPr>
              <w:t>Basis Data NoSQL Document Store: Paradigma NoSQL, MongoDB architecture, JSON/BSON, Aggregation Framework, indexing, dan skenario embedding vs referencing.</w:t>
              <w:br/>
              <w:t>Pustaka: [Chodorow13: Bab 1-8], [Silberschatz20: Bab 22]</w:t>
            </w:r>
          </w:p>
        </w:tc>
        <w:tc>
          <w:tcPr>
            <w:tcW w:type="dxa" w:w="1260"/>
          </w:tcPr>
          <w:p>
            <w:pPr>
              <w:spacing w:before="40" w:after="40" w:line="252" w:lineRule="auto"/>
              <w:jc w:val="center"/>
            </w:pPr>
            <w:r>
              <w:rPr>
                <w:rFonts w:ascii="Calibri" w:hAnsi="Calibri"/>
                <w:b/>
                <w:color w:val="000000"/>
                <w:sz w:val="17"/>
              </w:rPr>
              <w:t>5%</w:t>
            </w:r>
          </w:p>
        </w:tc>
      </w:tr>
      <w:tr>
        <w:tc>
          <w:tcPr>
            <w:tcW w:type="dxa" w:w="547"/>
          </w:tcPr>
          <w:p>
            <w:pPr>
              <w:spacing w:before="40" w:after="40" w:line="252" w:lineRule="auto"/>
              <w:jc w:val="center"/>
            </w:pPr>
            <w:r>
              <w:rPr>
                <w:rFonts w:ascii="Calibri" w:hAnsi="Calibri"/>
                <w:b/>
                <w:color w:val="000000"/>
                <w:sz w:val="17"/>
              </w:rPr>
              <w:t>15</w:t>
            </w:r>
          </w:p>
        </w:tc>
        <w:tc>
          <w:tcPr>
            <w:tcW w:type="dxa" w:w="2283"/>
          </w:tcPr>
          <w:p>
            <w:pPr>
              <w:spacing w:before="40" w:after="40" w:line="252" w:lineRule="auto"/>
              <w:jc w:val="left"/>
            </w:pPr>
            <w:r>
              <w:rPr>
                <w:rFonts w:ascii="Calibri" w:hAnsi="Calibri"/>
                <w:b/>
                <w:color w:val="000000"/>
                <w:sz w:val="17"/>
              </w:rPr>
              <w:t>Sub-CPMK 7</w:t>
            </w:r>
          </w:p>
        </w:tc>
        <w:tc>
          <w:tcPr>
            <w:tcW w:type="dxa" w:w="1843"/>
          </w:tcPr>
          <w:p>
            <w:pPr>
              <w:spacing w:before="40" w:after="40" w:line="252" w:lineRule="auto"/>
              <w:jc w:val="left"/>
            </w:pPr>
            <w:r>
              <w:rPr>
                <w:rFonts w:ascii="Calibri" w:hAnsi="Calibri"/>
                <w:b w:val="0"/>
                <w:color w:val="000000"/>
                <w:sz w:val="17"/>
              </w:rPr>
              <w:t>Kemampuan mengintegrasikan In-Memory Database (Redis) sebagai caching layer untuk mempercepat throughput baca data dan mengurangi beban database utama.</w:t>
            </w:r>
          </w:p>
        </w:tc>
        <w:tc>
          <w:tcPr>
            <w:tcW w:type="dxa" w:w="1629"/>
          </w:tcPr>
          <w:p>
            <w:pPr>
              <w:spacing w:before="40" w:after="40" w:line="252" w:lineRule="auto"/>
              <w:jc w:val="left"/>
            </w:pPr>
            <w:r>
              <w:rPr>
                <w:rFonts w:ascii="Calibri" w:hAnsi="Calibri"/>
                <w:b w:val="0"/>
                <w:color w:val="000000"/>
                <w:sz w:val="17"/>
              </w:rPr>
              <w:t>Teknik non-tes: Unjuk kerja benchmarking throughput aplikasi menggunakan pola Cache-Aside dengan Redis.</w:t>
              <w:br/>
              <w:t>Kriteria: Marking Scheme In-Memory Cache.</w:t>
            </w:r>
          </w:p>
        </w:tc>
        <w:tc>
          <w:tcPr>
            <w:tcW w:type="dxa" w:w="1677"/>
          </w:tcPr>
          <w:p>
            <w:pPr>
              <w:spacing w:before="40" w:after="40" w:line="252" w:lineRule="auto"/>
              <w:jc w:val="left"/>
            </w:pPr>
            <w:r>
              <w:rPr>
                <w:rFonts w:ascii="Calibri" w:hAnsi="Calibri"/>
                <w:b w:val="0"/>
                <w:color w:val="000000"/>
                <w:sz w:val="17"/>
              </w:rPr>
              <w:t>Project mentoring: Integrasi arsitektur Poliglot Persistence (PostgreSQL sebagai relasional transaksional, MongoDB untuk dokumen log, Redis sebagai in-memory cache).</w:t>
              <w:br/>
              <w:t>[PB: 1x(3x50')], [PT: 1x(3x60')], [KM: 1x(3x60')]</w:t>
            </w:r>
          </w:p>
        </w:tc>
        <w:tc>
          <w:tcPr>
            <w:tcW w:type="dxa" w:w="1998"/>
          </w:tcPr>
          <w:p>
            <w:pPr>
              <w:spacing w:before="40" w:after="40" w:line="252" w:lineRule="auto"/>
              <w:jc w:val="left"/>
            </w:pPr>
            <w:r>
              <w:rPr>
                <w:rFonts w:ascii="Calibri" w:hAnsi="Calibri"/>
                <w:b w:val="0"/>
                <w:color w:val="000000"/>
                <w:sz w:val="17"/>
              </w:rPr>
              <w:t>LMS Unirow: Benchmark report throughput request/second dengan dan tanpa Redis caching.</w:t>
            </w:r>
          </w:p>
        </w:tc>
        <w:tc>
          <w:tcPr>
            <w:tcW w:type="dxa" w:w="3058"/>
          </w:tcPr>
          <w:p>
            <w:pPr>
              <w:spacing w:before="40" w:after="40" w:line="252" w:lineRule="auto"/>
              <w:jc w:val="left"/>
            </w:pPr>
            <w:r>
              <w:rPr>
                <w:rFonts w:ascii="Calibri" w:hAnsi="Calibri"/>
                <w:b w:val="0"/>
                <w:color w:val="000000"/>
                <w:sz w:val="17"/>
              </w:rPr>
              <w:t>In-Memory Database &amp; Poliglot Persistence: Redis data structures (String, Hash, Set, ZSet), strategi cache-aside, cache invalidation, dan arsitektur poliglot data.</w:t>
              <w:br/>
              <w:t>Pustaka: [Kleppmann17: Bab 11], [Silberschatz20: Bab 22]</w:t>
            </w:r>
          </w:p>
        </w:tc>
        <w:tc>
          <w:tcPr>
            <w:tcW w:type="dxa" w:w="1260"/>
          </w:tcPr>
          <w:p>
            <w:pPr>
              <w:spacing w:before="40" w:after="40" w:line="252" w:lineRule="auto"/>
              <w:jc w:val="center"/>
            </w:pPr>
            <w:r>
              <w:rPr>
                <w:rFonts w:ascii="Calibri" w:hAnsi="Calibri"/>
                <w:b/>
                <w:color w:val="000000"/>
                <w:sz w:val="17"/>
              </w:rPr>
              <w:t>5%</w:t>
            </w:r>
          </w:p>
        </w:tc>
      </w:tr>
      <w:tr>
        <w:tc>
          <w:tcPr>
            <w:tcW w:type="dxa" w:w="547"/>
            <w:shd w:fill="FFF2CC"/>
          </w:tcPr>
          <w:p>
            <w:pPr>
              <w:spacing w:before="40" w:after="40" w:line="252" w:lineRule="auto"/>
              <w:jc w:val="center"/>
            </w:pPr>
            <w:r>
              <w:rPr>
                <w:rFonts w:ascii="Calibri" w:hAnsi="Calibri"/>
                <w:b/>
                <w:color w:val="000000"/>
                <w:sz w:val="17"/>
              </w:rPr>
              <w:t>16</w:t>
            </w:r>
          </w:p>
        </w:tc>
        <w:tc>
          <w:tcPr>
            <w:tcW w:type="dxa" w:w="2283"/>
            <w:shd w:fill="FFF2CC"/>
          </w:tcPr>
          <w:p>
            <w:pPr>
              <w:spacing w:before="40" w:after="40" w:line="252" w:lineRule="auto"/>
              <w:jc w:val="left"/>
            </w:pPr>
            <w:r>
              <w:rPr>
                <w:rFonts w:ascii="Calibri" w:hAnsi="Calibri"/>
                <w:b/>
                <w:color w:val="000000"/>
                <w:sz w:val="17"/>
              </w:rPr>
              <w:t>Sub-CPMK 5, 6, 7, 8</w:t>
            </w:r>
          </w:p>
        </w:tc>
        <w:tc>
          <w:tcPr>
            <w:tcW w:type="dxa" w:w="1843"/>
            <w:shd w:fill="FFF2CC"/>
          </w:tcPr>
          <w:p>
            <w:pPr>
              <w:spacing w:before="40" w:after="40" w:line="252" w:lineRule="auto"/>
              <w:jc w:val="left"/>
            </w:pPr>
            <w:r>
              <w:rPr>
                <w:rFonts w:ascii="Calibri" w:hAnsi="Calibri"/>
                <w:b w:val="0"/>
                <w:color w:val="000000"/>
                <w:sz w:val="17"/>
              </w:rPr>
              <w:t>Kualitas implementasi proyek basis data terdistribusi terpadu, efisiensi optimasi query, ketangguhan failover kluster, dan kemahiran dalam demonstrasi live demo serta tanya jawab.</w:t>
            </w:r>
          </w:p>
        </w:tc>
        <w:tc>
          <w:tcPr>
            <w:tcW w:type="dxa" w:w="1629"/>
            <w:shd w:fill="FFF2CC"/>
          </w:tcPr>
          <w:p>
            <w:pPr>
              <w:spacing w:before="40" w:after="40" w:line="252" w:lineRule="auto"/>
              <w:jc w:val="left"/>
            </w:pPr>
            <w:r>
              <w:rPr>
                <w:rFonts w:ascii="Calibri" w:hAnsi="Calibri"/>
                <w:b w:val="0"/>
                <w:color w:val="000000"/>
                <w:sz w:val="17"/>
              </w:rPr>
              <w:t>Teknik Tes &amp; Non-Tes: Ujian Akhir Semester (UAS) berbentuk Expo Presentasi &amp; Live Demo Proyek Basis Data Enterprise Berkelompok.</w:t>
              <w:br/>
              <w:t>Kriteria: Rubrik Evaluasi Proyek Capstone Skala 1-5.</w:t>
            </w:r>
          </w:p>
        </w:tc>
        <w:tc>
          <w:tcPr>
            <w:tcW w:type="dxa" w:w="1677"/>
            <w:shd w:fill="FFF2CC"/>
          </w:tcPr>
          <w:p>
            <w:pPr>
              <w:spacing w:before="40" w:after="40" w:line="252" w:lineRule="auto"/>
              <w:jc w:val="left"/>
            </w:pPr>
            <w:r>
              <w:rPr>
                <w:rFonts w:ascii="Calibri" w:hAnsi="Calibri"/>
                <w:b w:val="0"/>
                <w:color w:val="000000"/>
                <w:sz w:val="17"/>
              </w:rPr>
              <w:t>Ujian Akhir Semester (UAS): Sesi demo langsung sistem basis data terdistribusi di hadapan dosen penguji, evaluasi kinerja query, dan uji ketahanan sistem saat failover.</w:t>
              <w:br/>
              <w:t>[PB: 1x(3x50')]</w:t>
            </w:r>
          </w:p>
        </w:tc>
        <w:tc>
          <w:tcPr>
            <w:tcW w:type="dxa" w:w="1998"/>
            <w:shd w:fill="FFF2CC"/>
          </w:tcPr>
          <w:p>
            <w:pPr>
              <w:spacing w:before="40" w:after="40" w:line="252" w:lineRule="auto"/>
              <w:jc w:val="left"/>
            </w:pPr>
            <w:r>
              <w:rPr>
                <w:rFonts w:ascii="Calibri" w:hAnsi="Calibri"/>
                <w:b w:val="0"/>
                <w:color w:val="000000"/>
                <w:sz w:val="17"/>
              </w:rPr>
              <w:t>LMS Unirow: Pengumpulan repositori Git proyek lengkap, video demo, skrip DDL/NoSQL, dan dokumen Laporan Akhir Proyek.</w:t>
            </w:r>
          </w:p>
        </w:tc>
        <w:tc>
          <w:tcPr>
            <w:tcW w:type="dxa" w:w="3058"/>
            <w:shd w:fill="FFF2CC"/>
          </w:tcPr>
          <w:p>
            <w:pPr>
              <w:spacing w:before="40" w:after="40" w:line="252" w:lineRule="auto"/>
              <w:jc w:val="left"/>
            </w:pPr>
            <w:r>
              <w:rPr>
                <w:rFonts w:ascii="Calibri" w:hAnsi="Calibri"/>
                <w:b w:val="0"/>
                <w:color w:val="000000"/>
                <w:sz w:val="17"/>
              </w:rPr>
              <w:t>Kompilasi Seluruh Materi Pembelajaran Semester (Storage, Indexing, Query Optimization, Concurrency, Distributed DB, NoSQL, &amp; Caching).</w:t>
              <w:br/>
              <w:t>Pustaka: Seluruh Pustaka Utama dan Pendukung</w:t>
            </w:r>
          </w:p>
        </w:tc>
        <w:tc>
          <w:tcPr>
            <w:tcW w:type="dxa" w:w="1260"/>
            <w:shd w:fill="FFF2CC"/>
          </w:tcPr>
          <w:p>
            <w:pPr>
              <w:spacing w:before="40" w:after="40" w:line="252" w:lineRule="auto"/>
              <w:jc w:val="center"/>
            </w:pPr>
            <w:r>
              <w:rPr>
                <w:rFonts w:ascii="Calibri" w:hAnsi="Calibri"/>
                <w:b/>
                <w:color w:val="000000"/>
                <w:sz w:val="17"/>
              </w:rPr>
              <w:t>15%</w:t>
            </w:r>
          </w:p>
        </w:tc>
      </w:tr>
      <w:tr>
        <w:tc>
          <w:tcPr>
            <w:tcW w:type="dxa" w:w="547"/>
            <w:shd w:fill="D9E1F2"/>
          </w:tcPr>
          <w:p>
            <w:pPr>
              <w:spacing w:before="40" w:after="40" w:line="252" w:lineRule="auto"/>
              <w:jc w:val="right"/>
            </w:pPr>
            <w:r>
              <w:rPr>
                <w:rFonts w:ascii="Calibri" w:hAnsi="Calibri"/>
                <w:b/>
                <w:color w:val="000000"/>
                <w:sz w:val="18"/>
              </w:rPr>
              <w:t>Total Bobot Penilaian</w:t>
            </w:r>
          </w:p>
        </w:tc>
        <w:tc>
          <w:tcPr>
            <w:tcW w:type="dxa" w:w="2283"/>
            <w:shd w:fill="D9E1F2"/>
          </w:tcPr>
          <w:p>
            <w:r/>
          </w:p>
        </w:tc>
        <w:tc>
          <w:tcPr>
            <w:tcW w:type="dxa" w:w="1843"/>
            <w:shd w:fill="D9E1F2"/>
          </w:tcPr>
          <w:p>
            <w:r/>
          </w:p>
        </w:tc>
        <w:tc>
          <w:tcPr>
            <w:tcW w:type="dxa" w:w="1629"/>
            <w:shd w:fill="D9E1F2"/>
          </w:tcPr>
          <w:p>
            <w:r/>
          </w:p>
        </w:tc>
        <w:tc>
          <w:tcPr>
            <w:tcW w:type="dxa" w:w="1677"/>
            <w:shd w:fill="D9E1F2"/>
          </w:tcPr>
          <w:p>
            <w:r/>
          </w:p>
        </w:tc>
        <w:tc>
          <w:tcPr>
            <w:tcW w:type="dxa" w:w="1998"/>
            <w:shd w:fill="D9E1F2"/>
          </w:tcPr>
          <w:p>
            <w:r/>
          </w:p>
        </w:tc>
        <w:tc>
          <w:tcPr>
            <w:tcW w:type="dxa" w:w="3058"/>
            <w:shd w:fill="D9E1F2"/>
          </w:tcPr>
          <w:p>
            <w:r/>
          </w:p>
        </w:tc>
        <w:tc>
          <w:tcPr>
            <w:tcW w:type="dxa" w:w="1260"/>
            <w:shd w:fill="D9E1F2"/>
          </w:tcPr>
          <w:p>
            <w:pPr>
              <w:spacing w:before="40" w:after="40" w:line="252" w:lineRule="auto"/>
              <w:jc w:val="center"/>
            </w:pPr>
            <w:r>
              <w:rPr>
                <w:rFonts w:ascii="Calibri" w:hAnsi="Calibri"/>
                <w:b/>
                <w:color w:val="000000"/>
                <w:sz w:val="18"/>
              </w:rPr>
              <w:t>100.0%</w:t>
            </w:r>
          </w:p>
        </w:tc>
      </w:tr>
    </w:tbl>
    <w:p>
      <w:pPr>
        <w:sectPr>
          <w:footerReference w:type="even" r:id="rId10"/>
          <w:footerReference w:type="default" r:id="rId11"/>
          <w:footerReference w:type="first" r:id="rId12"/>
          <w:type w:val="nextPage"/>
          <w:pgSz w:orient="landscape" w:w="16838" w:h="11906"/>
          <w:pgMar w:left="1020" w:right="1280" w:gutter="0" w:header="0" w:top="1100" w:footer="0" w:bottom="280"/>
          <w:pgNumType w:fmt="decimal"/>
          <w:formProt w:val="false"/>
          <w:textDirection w:val="lrTb"/>
          <w:docGrid w:type="default" w:linePitch="100" w:charSpace="0"/>
        </w:sectPr>
      </w:pPr>
      <w:r>
        <w:br w:type="page"/>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77" w:after="0"/>
        <w:ind w:hanging="284" w:start="1078" w:end="336"/>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Capaian Pembelajaran Lulusan PRODI (CPL-PRODI)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kemampuan yang dimiliki oleh setiap lulusan PRODI yang merupakan internalisasi dari sikap, penguasaan pengetahuan dan ketrampilan sesuai dengan jenjang prodinya yang diperoleh melalui proses pembelajaran.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3" w:after="0"/>
        <w:ind w:hanging="284" w:start="1078" w:end="675"/>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CPL yang dibebankan pada mata kuliah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beberapa capaian pembelajaran lulusan program studi (CPL- PRODI) yang digunakan untuk pembentukan/pengembangan sebuah mata kuliah yang terdiri dari aspek sikap, ketrampulan umum, ketrampilan khusus dan pengetahuan.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372"/>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CP Mata kuliah (CPMK)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kemampuan yang dijabarkan secara spesifik dari CPL yang dibebankan pada mata kuliah, dan bersifat spesifik terhadap bahan kajian atau materi pembelajaran mata kuliah tersebut.</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61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Indikator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kemampuan dalam proses maupun hasil belajar mahasiswa adalah pernyataan spesifik dan terukur yang mengidentifikasi kemampuan atau kinerja hasil belajar mahasiswa yang disertai bukti-bukti.</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 w:after="0"/>
        <w:ind w:hanging="284" w:start="1078" w:end="224"/>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Kriteria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patokan yang digunakan sebagai ukuran atau tolok ukur ketercapaian pembelajaran dalam penilaian berdasarkan indikator-indikator yang telah ditetapkan. Kreteria penilaian merupakan pedoman bagi penilai agar penilaian konsisten dan tidak bias. Kreteria dapat berupa kuantitatif ataupun kualitatif.</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3"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Teknik penilaian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tes dan non-tes.</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0" w:after="0"/>
        <w:ind w:hanging="284" w:start="1078" w:end="577"/>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Bentuk pembelajaran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Kuliah, Responsi, Tutorial, Seminar atau yang setara, Praktikum, Praktik Studio, Praktik Bengkel, Praktik Lapangan, Penelitian, Pengabdian Kepada Masyarakat dan/atau bentuk pembelajaran lain yang setara.</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2" w:after="0"/>
        <w:ind w:hanging="284" w:start="1078" w:end="203"/>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Metode Pembelajaran</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Small Group Discussion, Role-Play &amp; Simulation, Discovery Learning, Self-Directed Learning, Cooperative Learning, Collaborative Learning, Contextual Learning, Project Based Learning, dan metode lainnya yang setara.</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3" w:after="0"/>
        <w:ind w:hanging="284" w:start="1078" w:end="169"/>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Materi Pembelajaran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rincian atau uraian dari bahan kajian yang dapat disajikan dalam bentuk beberapa pokok dan sub-pokok bahasan.</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 w:after="0"/>
        <w:ind w:hanging="284" w:start="1078" w:end="59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Bobot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prosentasi penilaian terhadap setiap pencapaian sub-CPMK yang besarnya proposional dengan tingkat kesulitan pencapaian sub-CPMK tsb., dan totalnya 100%.</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2"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PB</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=Proses Belajar,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PT</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=Penugasan Terstruktur,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KM</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=Kegiatan Mandiri.</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50" w:before="10" w:after="0"/>
        <w:ind w:hanging="284" w:start="1078" w:end="59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 xml:space="preserve">Bobot penilaian </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adalah prosentasi penilaian terhadap setiap pencapaian sub-CPMK yang besarnya proposional dengan tingkat kesulitan pencapaian sub-CPMK tsb., dan totalnya 100%.</w:t>
      </w:r>
    </w:p>
    <w:p>
      <w:pPr>
        <w:pStyle w:val="normal1"/>
        <w:keepNext w:val="false"/>
        <w:keepLines w:val="false"/>
        <w:pageBreakBefore w:val="false"/>
        <w:widowControl w:val="false"/>
        <w:numPr>
          <w:ilvl w:val="0"/>
          <w:numId w:val="1"/>
        </w:numPr>
        <w:pBdr/>
        <w:shd w:val="clear" w:fill="auto"/>
        <w:tabs>
          <w:tab w:val="clear" w:pos="720"/>
          <w:tab w:val="left" w:pos="1079" w:leader="none"/>
        </w:tabs>
        <w:spacing w:lineRule="auto" w:line="240" w:before="2" w:after="0"/>
        <w:ind w:hanging="285" w:start="1078" w:end="0"/>
        <w:jc w:val="both"/>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PB</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 Kegiatan Belajar Terbimbing,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PT</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 xml:space="preserve">=Kegiatan Penugasan Terstuktur, </w:t>
      </w:r>
      <w:r>
        <w:rPr>
          <w:rFonts w:eastAsia="Arial" w:cs="Arial" w:ascii="Arial" w:hAnsi="Arial"/>
          <w:b/>
          <w:bCs/>
          <w:i w:val="false"/>
          <w:iCs w:val="false"/>
          <w:caps w:val="false"/>
          <w:smallCaps w:val="false"/>
          <w:strike w:val="false"/>
          <w:dstrike w:val="false"/>
          <w:color w:val="231F20"/>
          <w:position w:val="0"/>
          <w:sz w:val="20"/>
          <w:szCs w:val="20"/>
          <w:u w:val="none"/>
          <w:shd w:fill="auto" w:val="clear"/>
          <w:vertAlign w:val="baseline"/>
        </w:rPr>
        <w:t>KM</w:t>
      </w:r>
      <w:r>
        <w:rPr>
          <w:rFonts w:eastAsia="Arial" w:cs="Arial" w:ascii="Arial" w:hAnsi="Arial"/>
          <w:b w:val="false"/>
          <w:bCs w:val="false"/>
          <w:i w:val="false"/>
          <w:iCs w:val="false"/>
          <w:caps w:val="false"/>
          <w:smallCaps w:val="false"/>
          <w:strike w:val="false"/>
          <w:dstrike w:val="false"/>
          <w:color w:val="231F20"/>
          <w:position w:val="0"/>
          <w:sz w:val="20"/>
          <w:szCs w:val="20"/>
          <w:u w:val="none"/>
          <w:shd w:fill="auto" w:val="clear"/>
          <w:vertAlign w:val="baseline"/>
        </w:rPr>
        <w:t>=Kegiatan Mandiri.</w:t>
      </w:r>
    </w:p>
    <w:p>
      <w:pPr>
        <w:pStyle w:val="normal1"/>
        <w:jc w:val="both"/>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jc w:val="center"/>
        <w:rPr>
          <w:rFonts w:ascii="Arial" w:hAnsi="Arial" w:eastAsia="Arial" w:cs="Arial"/>
          <w:sz w:val="20"/>
          <w:szCs w:val="20"/>
        </w:rPr>
      </w:pPr>
      <w:r>
        <w:rPr>
          <w:b/>
        </w:rPr>
        <w:t>RPS ini telah divalidasi pada tanggal 24 September 2026</w:t>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t>Ketua Program Studi</w:t>
        <w:tab/>
        <w:tab/>
        <w:tab/>
        <w:tab/>
        <w:tab/>
        <w:tab/>
        <w:tab/>
        <w:t>UJM Program Studi</w:t>
      </w:r>
    </w:p>
    <w:p>
      <w:pPr>
        <w:pStyle w:val="normal1"/>
        <w:rPr>
          <w:rFonts w:ascii="Arial" w:hAnsi="Arial" w:eastAsia="Arial" w:cs="Arial"/>
          <w:sz w:val="20"/>
          <w:szCs w:val="20"/>
        </w:rPr>
      </w:pPr>
      <w:r>
        <w:t>PROGRAM STUDI S1 INFORMATIKA</w:t>
        <w:tab/>
        <w:tab/>
        <w:tab/>
        <w:tab/>
        <w:tab/>
        <w:t>PROGRAM STUDI S1 INFORMATIKA</w:t>
      </w:r>
    </w:p>
    <w:p>
      <w:pPr>
        <w:pStyle w:val="normal1"/>
        <w:rPr>
          <w:rFonts w:ascii="Arial" w:hAnsi="Arial" w:eastAsia="Arial" w:cs="Arial"/>
          <w:sz w:val="20"/>
          <w:szCs w:val="20"/>
        </w:rPr>
      </w:pPr>
      <w:r>
        <w:rPr/>
        <w:drawing>
          <wp:inline distT="0" distB="0" distL="0" distR="0">
            <wp:extent cx="738505" cy="662940"/>
            <wp:effectExtent l="0" t="0" r="0" b="0"/>
            <wp:docPr id="10"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a:picLocks noChangeAspect="1" noChangeArrowheads="1"/>
                    </pic:cNvPicPr>
                  </pic:nvPicPr>
                  <pic:blipFill>
                    <a:blip r:embed="rId13"/>
                    <a:stretch>
                      <a:fillRect/>
                    </a:stretch>
                  </pic:blipFill>
                  <pic:spPr bwMode="auto">
                    <a:xfrm>
                      <a:off x="0" y="0"/>
                      <a:ext cx="738505" cy="662940"/>
                    </a:xfrm>
                    <a:prstGeom prst="rect">
                      <a:avLst/>
                    </a:prstGeom>
                    <a:noFill/>
                  </pic:spPr>
                </pic:pic>
              </a:graphicData>
            </a:graphic>
          </wp:inline>
        </w:drawing>
      </w:r>
      <w:r>
        <w:rPr>
          <w:rFonts w:eastAsia="Arial" w:cs="Arial" w:ascii="Arial" w:hAnsi="Arial"/>
          <w:sz w:val="20"/>
          <w:szCs w:val="20"/>
        </w:rPr>
        <w:tab/>
        <w:tab/>
        <w:tab/>
        <w:tab/>
        <w:tab/>
        <w:tab/>
        <w:tab/>
        <w:tab/>
      </w:r>
      <w:r>
        <w:rPr/>
        <w:drawing>
          <wp:inline distT="0" distB="0" distL="0" distR="0">
            <wp:extent cx="738505" cy="662940"/>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4"/>
                    <a:stretch>
                      <a:fillRect/>
                    </a:stretch>
                  </pic:blipFill>
                  <pic:spPr bwMode="auto">
                    <a:xfrm>
                      <a:off x="0" y="0"/>
                      <a:ext cx="738505" cy="662940"/>
                    </a:xfrm>
                    <a:prstGeom prst="rect">
                      <a:avLst/>
                    </a:prstGeom>
                    <a:noFill/>
                  </pic:spPr>
                </pic:pic>
              </a:graphicData>
            </a:graphic>
          </wp:inline>
        </w:drawing>
      </w:r>
    </w:p>
    <w:p>
      <w:pPr>
        <w:pStyle w:val="normal1"/>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b/>
          <w:u w:val="single"/>
        </w:rPr>
        <w:t>AMALUDIN ARIFIA, M.Kom.</w:t>
        <w:tab/>
        <w:tab/>
        <w:tab/>
        <w:tab/>
        <w:tab/>
        <w:t>UJM Program Studi Informatika</w:t>
      </w:r>
    </w:p>
    <w:p>
      <w:pPr>
        <w:pStyle w:val="normal1"/>
        <w:rPr>
          <w:rFonts w:ascii="Arial" w:hAnsi="Arial" w:eastAsia="Arial" w:cs="Arial"/>
          <w:sz w:val="20"/>
          <w:szCs w:val="20"/>
        </w:rPr>
      </w:pPr>
      <w:r>
        <w:t>NIDN: 07xxxxxxxx</w:t>
        <w:tab/>
        <w:tab/>
        <w:tab/>
        <w:tab/>
        <w:tab/>
        <w:t>NIDN: 07xxxxxxxx</w:t>
      </w:r>
    </w:p>
    <w:p>
      <w:pPr>
        <w:pStyle w:val="normal1"/>
        <w:rPr>
          <w:rFonts w:ascii="Arial" w:hAnsi="Arial" w:eastAsia="Arial" w:cs="Arial"/>
          <w:sz w:val="20"/>
          <w:szCs w:val="20"/>
        </w:rPr>
      </w:pPr>
      <w:r>
        <w:rPr>
          <w:rFonts w:eastAsia="Arial" w:cs="Arial" w:ascii="Arial" w:hAnsi="Arial"/>
          <w:sz w:val="20"/>
          <w:szCs w:val="20"/>
        </w:rPr>
      </w:r>
    </w:p>
    <w:p>
      <w:pPr>
        <w:pStyle w:val="normal1"/>
        <w:jc w:val="end"/>
        <w:rPr>
          <w:rFonts w:ascii="Arial" w:hAnsi="Arial" w:eastAsia="Arial" w:cs="Arial"/>
          <w:sz w:val="20"/>
          <w:szCs w:val="20"/>
        </w:rPr>
      </w:pPr>
      <w:r>
        <w:rPr>
          <w:rFonts w:eastAsia="Arial" w:cs="Arial" w:ascii="Arial" w:hAnsi="Arial"/>
          <w:sz w:val="20"/>
          <w:szCs w:val="20"/>
        </w:rPr>
      </w:r>
    </w:p>
    <w:p>
      <w:pPr>
        <w:pStyle w:val="normal1"/>
        <w:rPr>
          <w:rFonts w:ascii="Arial" w:hAnsi="Arial" w:eastAsia="Arial" w:cs="Arial"/>
          <w:sz w:val="20"/>
          <w:szCs w:val="20"/>
        </w:rPr>
      </w:pPr>
      <w:r>
        <w:rPr>
          <w:rFonts w:eastAsia="Arial" w:cs="Arial" w:ascii="Arial" w:hAnsi="Arial"/>
          <w:sz w:val="20"/>
          <w:szCs w:val="20"/>
        </w:rPr>
      </w:r>
    </w:p>
    <w:p>
      <w:pPr>
        <w:pStyle w:val="normal1"/>
        <w:keepNext w:val="false"/>
        <w:keepLines w:val="false"/>
        <w:pageBreakBefore w:val="false"/>
        <w:widowControl w:val="false"/>
        <w:pBdr/>
        <w:shd w:val="clear" w:fill="auto"/>
        <w:spacing w:lineRule="auto" w:line="240" w:before="0" w:after="0"/>
        <w:ind w:hanging="0" w:start="0" w:end="0"/>
        <w:jc w:val="start"/>
        <w:rPr>
          <w:rFonts w:ascii="Roboto" w:hAnsi="Roboto" w:eastAsia="Roboto" w:cs="Roboto"/>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Roboto" w:cs="Roboto" w:ascii="Roboto" w:hAnsi="Roboto"/>
          <w:b w:val="false"/>
          <w:bCs w:val="false"/>
          <w:i w:val="false"/>
          <w:iCs w:val="false"/>
          <w:caps w:val="false"/>
          <w:smallCaps w:val="false"/>
          <w:strike w:val="false"/>
          <w:dstrike w:val="false"/>
          <w:color w:val="000000"/>
          <w:position w:val="0"/>
          <w:sz w:val="18"/>
          <w:szCs w:val="18"/>
          <w:u w:val="none"/>
          <w:shd w:fill="auto" w:val="clear"/>
          <w:vertAlign w:val="baseline"/>
        </w:rPr>
      </w:r>
    </w:p>
    <w:p>
      <w:r>
        <w:br w:type="page"/>
      </w:r>
    </w:p>
    <w:p>
      <w:pPr>
        <w:pStyle w:val="Heading1"/>
        <w:jc w:val="center"/>
      </w:pPr>
      <w:r>
        <w:t>RANCANGAN TUGAS TERSTRUKTUR MAHASISWA</w:t>
      </w:r>
    </w:p>
    <w:p>
      <w:r>
        <w:rPr>
          <w:b/>
          <w:sz w:val="22"/>
        </w:rPr>
        <w:t>TUGAS 1: PEMROGRAMAN BASIS DATA LANJUT: STORED PROCEDURES, FUNCTIONS, &amp; COMPLEX AUDIT TRIGGERS</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Basis Data Lanjut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2</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(3-4 Mahasiswa) | Waktu: Minggu ke-3 s.d. ke-4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Mahasiswa secara berkelompok merancang dan mengimplementasikan serangkaian modul pemrograman basis data prosedural (PL/pgSQL) untuk studi kasus sistem keuangan/perbankan digital. Modul mencakup Stored Procedure pemrosesan transfer dana atomik, Triggers pencegahan saldo negatif dan pencatatan audit log otomatis ke tabel riwayat, serta Window Functions untuk laporan ringkasan pergerakan dana bulanan.</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t>Ketepatan enkapsulasi transaksi atomik, ketepatan penanganan exception/rollback, keabsahan fungsi trigger audit, dan efisiensi sintaks Window Functions.</w:t>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Berkas skrip SQL executable (.sql) dan Dokumen Laporan Pengujian Fungsional (PDF). (Bobot: 10%)</w:t>
            </w:r>
          </w:p>
        </w:tc>
      </w:tr>
    </w:tbl>
    <w:p/>
    <w:p>
      <w:r>
        <w:rPr>
          <w:b/>
          <w:sz w:val="22"/>
        </w:rPr>
        <w:t>TUGAS 2: BENCHMARKING, ANALISIS RENCANA EKSEKUSI (EXPLAIN ANALYZE), DAN OPTIMASI QUERY PADA DATASET SKALA BESAR</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Basis Data Lanjut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3</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(3-4 Mahasiswa) | Waktu: Minggu ke-5 s.d. ke-6 (2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Kelompok mengimpor dataset berskala besar (&gt; 1.000.000 baris data transaksi nyata). Mahasiswa menyusun 5 skenario query kompleks multi-table join, melakukan profiling sebelum optimasi menggunakan EXPLAIN ANALYZE, mendeteksi sequential scans berbiaya tinggi, merancang strategi indeks komposit/partial yang optimal, serta membuktikan penurunan execution time secara empiris.</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t>Kedalaman analisis execution plan, ketepatan strategi pemilihan kolom indeks, eliminasi operasi berbiaya tinggi, dan validitas data perbandingan latency/execution time sebelum dan sesudah optimasi.</w:t>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Dokumen Laporan Optimasi Query (PDF) disertai tangkapan layar EXPLAIN ANALYZE dan skrip DDL indexing. (Bobot: 10%)</w:t>
            </w:r>
          </w:p>
        </w:tc>
      </w:tr>
    </w:tbl>
    <w:p/>
    <w:p>
      <w:r>
        <w:rPr>
          <w:b/>
          <w:sz w:val="22"/>
        </w:rPr>
        <w:t>TUGAS 3: PERANCANGAN ARSITEKTUR BASIS DATA TERDISTRIBUSI DAN INTEGRASI POLIGLOT PERSISTENCE (RDBMS + NOSQL + REDIS)</w:t>
      </w:r>
    </w:p>
    <w:tbl>
      <w:tblPr>
        <w:tblW w:type="auto" w:w="0"/>
        <w:jc w:val="center"/>
        <w:tblLayout w:type="fixed"/>
        <w:tblLook w:firstColumn="1" w:firstRow="1" w:lastColumn="0" w:lastRow="0" w:noHBand="0" w:noVBand="1" w:val="04A0"/>
      </w:tblPr>
      <w:tblGrid>
        <w:gridCol w:w="4933"/>
        <w:gridCol w:w="4933"/>
      </w:tblGrid>
      <w:tr>
        <w:tc>
          <w:tcPr>
            <w:tcW w:type="dxa" w:w="3168"/>
            <w:shd w:fill="F2F2F2"/>
          </w:tcPr>
          <w:p>
            <w:pPr>
              <w:spacing w:before="40" w:after="40" w:line="252" w:lineRule="auto"/>
              <w:jc w:val="left"/>
            </w:pPr>
            <w:r>
              <w:rPr>
                <w:rFonts w:ascii="Calibri" w:hAnsi="Calibri"/>
                <w:b/>
                <w:color w:val="000000"/>
                <w:sz w:val="19"/>
              </w:rPr>
              <w:t>Mata Kuliah / SKS</w:t>
            </w:r>
          </w:p>
        </w:tc>
        <w:tc>
          <w:tcPr>
            <w:tcW w:type="dxa" w:w="8352"/>
          </w:tcPr>
          <w:p>
            <w:pPr>
              <w:spacing w:before="40" w:after="40" w:line="252" w:lineRule="auto"/>
              <w:jc w:val="left"/>
            </w:pPr>
            <w:r>
              <w:rPr>
                <w:rFonts w:ascii="Calibri" w:hAnsi="Calibri"/>
                <w:b w:val="0"/>
                <w:color w:val="000000"/>
                <w:sz w:val="19"/>
              </w:rPr>
              <w:t>Basis Data Lanjut / 3 SKS</w:t>
            </w:r>
          </w:p>
        </w:tc>
      </w:tr>
      <w:tr>
        <w:tc>
          <w:tcPr>
            <w:tcW w:type="dxa" w:w="3168"/>
            <w:shd w:fill="F2F2F2"/>
          </w:tcPr>
          <w:p>
            <w:pPr>
              <w:spacing w:before="40" w:after="40" w:line="252" w:lineRule="auto"/>
              <w:jc w:val="left"/>
            </w:pPr>
            <w:r>
              <w:rPr>
                <w:rFonts w:ascii="Calibri" w:hAnsi="Calibri"/>
                <w:b/>
                <w:color w:val="000000"/>
                <w:sz w:val="19"/>
              </w:rPr>
              <w:t>Sub-CPMK yang Disasar</w:t>
            </w:r>
          </w:p>
        </w:tc>
        <w:tc>
          <w:tcPr>
            <w:tcW w:type="dxa" w:w="8352"/>
          </w:tcPr>
          <w:p>
            <w:pPr>
              <w:spacing w:before="40" w:after="40" w:line="252" w:lineRule="auto"/>
              <w:jc w:val="left"/>
            </w:pPr>
            <w:r>
              <w:rPr>
                <w:rFonts w:ascii="Calibri" w:hAnsi="Calibri"/>
                <w:b w:val="0"/>
                <w:color w:val="000000"/>
                <w:sz w:val="19"/>
              </w:rPr>
              <w:t>Sub-CPMK 6 &amp; 7</w:t>
            </w:r>
          </w:p>
        </w:tc>
      </w:tr>
      <w:tr>
        <w:tc>
          <w:tcPr>
            <w:tcW w:type="dxa" w:w="3168"/>
            <w:shd w:fill="F2F2F2"/>
          </w:tcPr>
          <w:p>
            <w:pPr>
              <w:spacing w:before="40" w:after="40" w:line="252" w:lineRule="auto"/>
              <w:jc w:val="left"/>
            </w:pPr>
            <w:r>
              <w:rPr>
                <w:rFonts w:ascii="Calibri" w:hAnsi="Calibri"/>
                <w:b/>
                <w:color w:val="000000"/>
                <w:sz w:val="19"/>
              </w:rPr>
              <w:t>Bentuk Tugas / Alokasi</w:t>
            </w:r>
          </w:p>
        </w:tc>
        <w:tc>
          <w:tcPr>
            <w:tcW w:type="dxa" w:w="8352"/>
          </w:tcPr>
          <w:p>
            <w:pPr>
              <w:spacing w:before="40" w:after="40" w:line="252" w:lineRule="auto"/>
              <w:jc w:val="left"/>
            </w:pPr>
            <w:r>
              <w:rPr>
                <w:rFonts w:ascii="Calibri" w:hAnsi="Calibri"/>
                <w:b w:val="0"/>
                <w:color w:val="000000"/>
                <w:sz w:val="19"/>
              </w:rPr>
              <w:t>Kelompok (3-4 Mahasiswa) | Waktu: Minggu ke-12 s.d. ke-15 (4 Minggu)</w:t>
            </w:r>
          </w:p>
        </w:tc>
      </w:tr>
      <w:tr>
        <w:tc>
          <w:tcPr>
            <w:tcW w:type="dxa" w:w="3168"/>
            <w:shd w:fill="F2F2F2"/>
          </w:tcPr>
          <w:p>
            <w:pPr>
              <w:spacing w:before="40" w:after="40" w:line="252" w:lineRule="auto"/>
              <w:jc w:val="left"/>
            </w:pPr>
            <w:r>
              <w:rPr>
                <w:rFonts w:ascii="Calibri" w:hAnsi="Calibri"/>
                <w:b/>
                <w:color w:val="000000"/>
                <w:sz w:val="19"/>
              </w:rPr>
              <w:t>Deskripsi Pengerjaan</w:t>
            </w:r>
          </w:p>
        </w:tc>
        <w:tc>
          <w:tcPr>
            <w:tcW w:type="dxa" w:w="8352"/>
          </w:tcPr>
          <w:p>
            <w:pPr>
              <w:spacing w:before="40" w:after="40" w:line="252" w:lineRule="auto"/>
              <w:jc w:val="left"/>
            </w:pPr>
            <w:r>
              <w:rPr>
                <w:rFonts w:ascii="Calibri" w:hAnsi="Calibri"/>
                <w:b w:val="0"/>
                <w:color w:val="000000"/>
                <w:sz w:val="19"/>
              </w:rPr>
              <w:t>Kelompok membangun arsitektur data enterprise terpadu yang memadukan PostgreSQL Streaming Replication / Sharding untuk data transaksi utama, MongoDB Document Store untuk data katalog/log interaksi tak terstruktur, dan Redis In-Memory Cache untuk caching query berfrekuensi tinggi. Sistem diuji ketangguhannya terhadap peningkatan beban traffic (load testing) dan simulasi failover node database.</w:t>
            </w:r>
          </w:p>
        </w:tc>
      </w:tr>
      <w:tr>
        <w:tc>
          <w:tcPr>
            <w:tcW w:type="dxa" w:w="3168"/>
            <w:shd w:fill="F2F2F2"/>
          </w:tcPr>
          <w:p>
            <w:pPr>
              <w:spacing w:before="40" w:after="40" w:line="252" w:lineRule="auto"/>
              <w:jc w:val="left"/>
            </w:pPr>
            <w:r>
              <w:rPr>
                <w:rFonts w:ascii="Calibri" w:hAnsi="Calibri"/>
                <w:b/>
                <w:color w:val="000000"/>
                <w:sz w:val="19"/>
              </w:rPr>
              <w:t>Indikator Penilaian</w:t>
            </w:r>
          </w:p>
        </w:tc>
        <w:tc>
          <w:tcPr>
            <w:tcW w:type="dxa" w:w="8352"/>
          </w:tcPr>
          <w:p>
            <w:pPr>
              <w:spacing w:before="40" w:after="40" w:line="252" w:lineRule="auto"/>
              <w:jc w:val="left"/>
            </w:pPr>
            <w:r>
              <w:rPr>
                <w:rFonts w:ascii="Calibri" w:hAnsi="Calibri"/>
                <w:b w:val="0"/>
                <w:color w:val="000000"/>
                <w:sz w:val="19"/>
              </w:rPr>
              <w:t>Kebenaran konfigurasi replikasi/kluster, integrasi mulus antar tiga engine database (poliglot), efektivitas caching Redis dalam menaikkan throughput, dan ketahanan kluster saat simulasi kegagalan server.</w:t>
            </w:r>
          </w:p>
        </w:tc>
      </w:tr>
      <w:tr>
        <w:tc>
          <w:tcPr>
            <w:tcW w:type="dxa" w:w="3168"/>
            <w:shd w:fill="F2F2F2"/>
          </w:tcPr>
          <w:p>
            <w:pPr>
              <w:spacing w:before="40" w:after="40" w:line="252" w:lineRule="auto"/>
              <w:jc w:val="left"/>
            </w:pPr>
            <w:r>
              <w:rPr>
                <w:rFonts w:ascii="Calibri" w:hAnsi="Calibri"/>
                <w:b/>
                <w:color w:val="000000"/>
                <w:sz w:val="19"/>
              </w:rPr>
              <w:t>Bentuk &amp; Format Luaran</w:t>
            </w:r>
          </w:p>
        </w:tc>
        <w:tc>
          <w:tcPr>
            <w:tcW w:type="dxa" w:w="8352"/>
          </w:tcPr>
          <w:p>
            <w:pPr>
              <w:spacing w:before="40" w:after="40" w:line="252" w:lineRule="auto"/>
              <w:jc w:val="left"/>
            </w:pPr>
            <w:r>
              <w:rPr>
                <w:rFonts w:ascii="Calibri" w:hAnsi="Calibri"/>
                <w:b w:val="0"/>
                <w:color w:val="000000"/>
                <w:sz w:val="19"/>
              </w:rPr>
              <w:t>Repositori GitHub berisi skrip provisioning (Docker Compose), skrip konfigurasi database, berkas benchmark performa, dan Laporan Akhir Proyek (PDF). (Bobot: 10%)</w:t>
            </w:r>
          </w:p>
        </w:tc>
      </w:tr>
    </w:tbl>
    <w:p/>
    <w:p>
      <w:pPr>
        <w:pStyle w:val="Heading2"/>
      </w:pPr>
      <w:r>
        <w:t>RUBRIK PENILAIAN OBE SKALA 1–5 (STANDAR APTIKOM &amp; UNIROW)</w:t>
      </w:r>
    </w:p>
    <w:tbl>
      <w:tblPr>
        <w:tblW w:type="auto" w:w="0"/>
        <w:jc w:val="center"/>
        <w:tblLook w:firstColumn="1" w:firstRow="1" w:lastColumn="0" w:lastRow="0" w:noHBand="0" w:noVBand="1" w:val="04A0"/>
      </w:tblPr>
      <w:tblGrid>
        <w:gridCol w:w="2466"/>
        <w:gridCol w:w="2466"/>
        <w:gridCol w:w="2466"/>
        <w:gridCol w:w="2466"/>
      </w:tblGrid>
      <w:tr>
        <w:tc>
          <w:tcPr>
            <w:tcW w:type="dxa" w:w="2466"/>
            <w:shd w:fill="D9E1F2"/>
          </w:tcPr>
          <w:p>
            <w:pPr>
              <w:spacing w:before="40" w:after="40" w:line="252" w:lineRule="auto"/>
              <w:jc w:val="center"/>
            </w:pPr>
            <w:r>
              <w:rPr>
                <w:rFonts w:ascii="Calibri" w:hAnsi="Calibri"/>
                <w:b/>
                <w:color w:val="000000"/>
                <w:sz w:val="18"/>
              </w:rPr>
              <w:t>Skala</w:t>
            </w:r>
          </w:p>
        </w:tc>
        <w:tc>
          <w:tcPr>
            <w:tcW w:type="dxa" w:w="2466"/>
            <w:shd w:fill="D9E1F2"/>
          </w:tcPr>
          <w:p>
            <w:pPr>
              <w:spacing w:before="40" w:after="40" w:line="252" w:lineRule="auto"/>
              <w:jc w:val="center"/>
            </w:pPr>
            <w:r>
              <w:rPr>
                <w:rFonts w:ascii="Calibri" w:hAnsi="Calibri"/>
                <w:b/>
                <w:color w:val="000000"/>
                <w:sz w:val="18"/>
              </w:rPr>
              <w:t>Kategori Mutu</w:t>
            </w:r>
          </w:p>
        </w:tc>
        <w:tc>
          <w:tcPr>
            <w:tcW w:type="dxa" w:w="2466"/>
            <w:shd w:fill="D9E1F2"/>
          </w:tcPr>
          <w:p>
            <w:pPr>
              <w:spacing w:before="40" w:after="40" w:line="252" w:lineRule="auto"/>
              <w:jc w:val="center"/>
            </w:pPr>
            <w:r>
              <w:rPr>
                <w:rFonts w:ascii="Calibri" w:hAnsi="Calibri"/>
                <w:b/>
                <w:color w:val="000000"/>
                <w:sz w:val="18"/>
              </w:rPr>
              <w:t>Rentang Skor</w:t>
            </w:r>
          </w:p>
        </w:tc>
        <w:tc>
          <w:tcPr>
            <w:tcW w:type="dxa" w:w="2466"/>
            <w:shd w:fill="D9E1F2"/>
          </w:tcPr>
          <w:p>
            <w:pPr>
              <w:spacing w:before="40" w:after="40" w:line="252" w:lineRule="auto"/>
              <w:jc w:val="center"/>
            </w:pPr>
            <w:r>
              <w:rPr>
                <w:rFonts w:ascii="Calibri" w:hAnsi="Calibri"/>
                <w:b/>
                <w:color w:val="000000"/>
                <w:sz w:val="18"/>
              </w:rPr>
              <w:t>Deskripsi Kinerja Ketercapaian</w:t>
            </w:r>
          </w:p>
        </w:tc>
      </w:tr>
      <w:tr>
        <w:tc>
          <w:tcPr>
            <w:tcW w:type="dxa" w:w="2466"/>
          </w:tcPr>
          <w:p>
            <w:pPr>
              <w:spacing w:before="40" w:after="40" w:line="252" w:lineRule="auto"/>
              <w:jc w:val="center"/>
            </w:pPr>
            <w:r>
              <w:rPr>
                <w:rFonts w:ascii="Calibri" w:hAnsi="Calibri"/>
                <w:b/>
                <w:color w:val="000000"/>
                <w:sz w:val="17"/>
              </w:rPr>
              <w:t>5</w:t>
            </w:r>
          </w:p>
        </w:tc>
        <w:tc>
          <w:tcPr>
            <w:tcW w:type="dxa" w:w="2466"/>
          </w:tcPr>
          <w:p>
            <w:pPr>
              <w:spacing w:before="40" w:after="40" w:line="252" w:lineRule="auto"/>
              <w:jc w:val="center"/>
            </w:pPr>
            <w:r>
              <w:rPr>
                <w:rFonts w:ascii="Calibri" w:hAnsi="Calibri"/>
                <w:b/>
                <w:color w:val="000000"/>
                <w:sz w:val="17"/>
              </w:rPr>
              <w:t>Sangat Kompeten</w:t>
            </w:r>
          </w:p>
        </w:tc>
        <w:tc>
          <w:tcPr>
            <w:tcW w:type="dxa" w:w="2466"/>
          </w:tcPr>
          <w:p>
            <w:pPr>
              <w:spacing w:before="40" w:after="40" w:line="252" w:lineRule="auto"/>
              <w:jc w:val="center"/>
            </w:pPr>
            <w:r>
              <w:rPr>
                <w:rFonts w:ascii="Calibri" w:hAnsi="Calibri"/>
                <w:b w:val="0"/>
                <w:color w:val="000000"/>
                <w:sz w:val="17"/>
              </w:rPr>
              <w:t>81 - 100</w:t>
            </w:r>
          </w:p>
        </w:tc>
        <w:tc>
          <w:tcPr>
            <w:tcW w:type="dxa" w:w="2466"/>
          </w:tcPr>
          <w:p>
            <w:pPr>
              <w:spacing w:before="40" w:after="40" w:line="252" w:lineRule="auto"/>
              <w:jc w:val="left"/>
            </w:pPr>
            <w:r>
              <w:rPr>
                <w:rFonts w:ascii="Calibri" w:hAnsi="Calibri"/>
                <w:b w:val="0"/>
                <w:color w:val="000000"/>
                <w:sz w:val="17"/>
              </w:rPr>
              <w:t>Mahasiswa menunjukkan penguasaan sangat mendalam terhadap arsitektur dan internal DBMS. Analisis execution plan query sangat tajam dan komprehensif, implementasi pemrograman database dan trigger bebas bug, arsitektur kluster terdistribusi dan NoSQL berjalan stabil dengan failover otomatis yang teruji, dokumentasi sangat sistematis, dan presentasi sangat meyakinkan.</w:t>
            </w:r>
          </w:p>
        </w:tc>
      </w:tr>
      <w:tr>
        <w:tc>
          <w:tcPr>
            <w:tcW w:type="dxa" w:w="2466"/>
          </w:tcPr>
          <w:p>
            <w:pPr>
              <w:spacing w:before="40" w:after="40" w:line="252" w:lineRule="auto"/>
              <w:jc w:val="center"/>
            </w:pPr>
            <w:r>
              <w:rPr>
                <w:rFonts w:ascii="Calibri" w:hAnsi="Calibri"/>
                <w:b/>
                <w:color w:val="000000"/>
                <w:sz w:val="17"/>
              </w:rPr>
              <w:t>4</w:t>
            </w:r>
          </w:p>
        </w:tc>
        <w:tc>
          <w:tcPr>
            <w:tcW w:type="dxa" w:w="2466"/>
          </w:tcPr>
          <w:p>
            <w:pPr>
              <w:spacing w:before="40" w:after="40" w:line="252" w:lineRule="auto"/>
              <w:jc w:val="center"/>
            </w:pPr>
            <w:r>
              <w:rPr>
                <w:rFonts w:ascii="Calibri" w:hAnsi="Calibri"/>
                <w:b/>
                <w:color w:val="000000"/>
                <w:sz w:val="17"/>
              </w:rPr>
              <w:t>Kompeten</w:t>
            </w:r>
          </w:p>
        </w:tc>
        <w:tc>
          <w:tcPr>
            <w:tcW w:type="dxa" w:w="2466"/>
          </w:tcPr>
          <w:p>
            <w:pPr>
              <w:spacing w:before="40" w:after="40" w:line="252" w:lineRule="auto"/>
              <w:jc w:val="center"/>
            </w:pPr>
            <w:r>
              <w:rPr>
                <w:rFonts w:ascii="Calibri" w:hAnsi="Calibri"/>
                <w:b w:val="0"/>
                <w:color w:val="000000"/>
                <w:sz w:val="17"/>
              </w:rPr>
              <w:t>61 - 80</w:t>
            </w:r>
          </w:p>
        </w:tc>
        <w:tc>
          <w:tcPr>
            <w:tcW w:type="dxa" w:w="2466"/>
          </w:tcPr>
          <w:p>
            <w:pPr>
              <w:spacing w:before="40" w:after="40" w:line="252" w:lineRule="auto"/>
              <w:jc w:val="left"/>
            </w:pPr>
            <w:r>
              <w:rPr>
                <w:rFonts w:ascii="Calibri" w:hAnsi="Calibri"/>
                <w:b w:val="0"/>
                <w:color w:val="000000"/>
                <w:sz w:val="17"/>
              </w:rPr>
              <w:t>Mahasiswa mampu menerapkan konsep basis data lanjut dengan baik. Analisis query optimization tepat dan mampu menurunkan waktu eksekusi secara nyata, trigger dan stored procedure berfungsi sesuai spesifikasi, kluster terdistribusi dan caching Redis terkonfigurasi dengan benar, laporan terstruktur rapi, dan kolaborasi tim berjalan efektif.</w:t>
            </w:r>
          </w:p>
        </w:tc>
      </w:tr>
      <w:tr>
        <w:tc>
          <w:tcPr>
            <w:tcW w:type="dxa" w:w="2466"/>
          </w:tcPr>
          <w:p>
            <w:pPr>
              <w:spacing w:before="40" w:after="40" w:line="252" w:lineRule="auto"/>
              <w:jc w:val="center"/>
            </w:pPr>
            <w:r>
              <w:rPr>
                <w:rFonts w:ascii="Calibri" w:hAnsi="Calibri"/>
                <w:b/>
                <w:color w:val="000000"/>
                <w:sz w:val="17"/>
              </w:rPr>
              <w:t>3</w:t>
            </w:r>
          </w:p>
        </w:tc>
        <w:tc>
          <w:tcPr>
            <w:tcW w:type="dxa" w:w="2466"/>
          </w:tcPr>
          <w:p>
            <w:pPr>
              <w:spacing w:before="40" w:after="40" w:line="252" w:lineRule="auto"/>
              <w:jc w:val="center"/>
            </w:pPr>
            <w:r>
              <w:rPr>
                <w:rFonts w:ascii="Calibri" w:hAnsi="Calibri"/>
                <w:b/>
                <w:color w:val="000000"/>
                <w:sz w:val="17"/>
              </w:rPr>
              <w:t>Cukup Kompeten</w:t>
            </w:r>
          </w:p>
        </w:tc>
        <w:tc>
          <w:tcPr>
            <w:tcW w:type="dxa" w:w="2466"/>
          </w:tcPr>
          <w:p>
            <w:pPr>
              <w:spacing w:before="40" w:after="40" w:line="252" w:lineRule="auto"/>
              <w:jc w:val="center"/>
            </w:pPr>
            <w:r>
              <w:rPr>
                <w:rFonts w:ascii="Calibri" w:hAnsi="Calibri"/>
                <w:b w:val="0"/>
                <w:color w:val="000000"/>
                <w:sz w:val="17"/>
              </w:rPr>
              <w:t>41 - 60</w:t>
            </w:r>
          </w:p>
        </w:tc>
        <w:tc>
          <w:tcPr>
            <w:tcW w:type="dxa" w:w="2466"/>
          </w:tcPr>
          <w:p>
            <w:pPr>
              <w:spacing w:before="40" w:after="40" w:line="252" w:lineRule="auto"/>
              <w:jc w:val="left"/>
            </w:pPr>
            <w:r>
              <w:rPr>
                <w:rFonts w:ascii="Calibri" w:hAnsi="Calibri"/>
                <w:b w:val="0"/>
                <w:color w:val="000000"/>
                <w:sz w:val="17"/>
              </w:rPr>
              <w:t>Mahasiswa memahami konsep dasar basis data lanjut. Query optimization mampu dijalankan namun indeks yang dirancang kurang optimal, fungsi prosedural berjalan untuk skenario normal namun minim error handling, kluster terdistribusi berjalan dasar tanpa uji beban yang memadai, dan dokumentasi memiliki beberapa kekurangan teknis.</w:t>
            </w:r>
          </w:p>
        </w:tc>
      </w:tr>
      <w:tr>
        <w:tc>
          <w:tcPr>
            <w:tcW w:type="dxa" w:w="2466"/>
          </w:tcPr>
          <w:p>
            <w:pPr>
              <w:spacing w:before="40" w:after="40" w:line="252" w:lineRule="auto"/>
              <w:jc w:val="center"/>
            </w:pPr>
            <w:r>
              <w:rPr>
                <w:rFonts w:ascii="Calibri" w:hAnsi="Calibri"/>
                <w:b/>
                <w:color w:val="000000"/>
                <w:sz w:val="17"/>
              </w:rPr>
              <w:t>2</w:t>
            </w:r>
          </w:p>
        </w:tc>
        <w:tc>
          <w:tcPr>
            <w:tcW w:type="dxa" w:w="2466"/>
          </w:tcPr>
          <w:p>
            <w:pPr>
              <w:spacing w:before="40" w:after="40" w:line="252" w:lineRule="auto"/>
              <w:jc w:val="center"/>
            </w:pPr>
            <w:r>
              <w:rPr>
                <w:rFonts w:ascii="Calibri" w:hAnsi="Calibri"/>
                <w:b/>
                <w:color w:val="000000"/>
                <w:sz w:val="17"/>
              </w:rPr>
              <w:t>Kurang Kompeten</w:t>
            </w:r>
          </w:p>
        </w:tc>
        <w:tc>
          <w:tcPr>
            <w:tcW w:type="dxa" w:w="2466"/>
          </w:tcPr>
          <w:p>
            <w:pPr>
              <w:spacing w:before="40" w:after="40" w:line="252" w:lineRule="auto"/>
              <w:jc w:val="center"/>
            </w:pPr>
            <w:r>
              <w:rPr>
                <w:rFonts w:ascii="Calibri" w:hAnsi="Calibri"/>
                <w:b w:val="0"/>
                <w:color w:val="000000"/>
                <w:sz w:val="17"/>
              </w:rPr>
              <w:t>21 - 40</w:t>
            </w:r>
          </w:p>
        </w:tc>
        <w:tc>
          <w:tcPr>
            <w:tcW w:type="dxa" w:w="2466"/>
          </w:tcPr>
          <w:p>
            <w:pPr>
              <w:spacing w:before="40" w:after="40" w:line="252" w:lineRule="auto"/>
              <w:jc w:val="left"/>
            </w:pPr>
            <w:r>
              <w:rPr>
                <w:rFonts w:ascii="Calibri" w:hAnsi="Calibri"/>
                <w:b w:val="0"/>
                <w:color w:val="000000"/>
                <w:sz w:val="17"/>
              </w:rPr>
              <w:t>Mahasiswa menunjukkan pemahaman terbatas mengenai basis data lanjut. Analisis rencana eksekusi keliru, stored procedure/trigger sering menghasilkan error, konfigurasi sistem terdistribusi atau NoSQL gagal dijalankan, dan dokumentasi penugasan sangat tidak lengkap.</w:t>
            </w:r>
          </w:p>
        </w:tc>
      </w:tr>
      <w:tr>
        <w:tc>
          <w:tcPr>
            <w:tcW w:type="dxa" w:w="2466"/>
          </w:tcPr>
          <w:p>
            <w:pPr>
              <w:spacing w:before="40" w:after="40" w:line="252" w:lineRule="auto"/>
              <w:jc w:val="center"/>
            </w:pPr>
            <w:r>
              <w:rPr>
                <w:rFonts w:ascii="Calibri" w:hAnsi="Calibri"/>
                <w:b/>
                <w:color w:val="000000"/>
                <w:sz w:val="17"/>
              </w:rPr>
              <w:t>1</w:t>
            </w:r>
          </w:p>
        </w:tc>
        <w:tc>
          <w:tcPr>
            <w:tcW w:type="dxa" w:w="2466"/>
          </w:tcPr>
          <w:p>
            <w:pPr>
              <w:spacing w:before="40" w:after="40" w:line="252" w:lineRule="auto"/>
              <w:jc w:val="center"/>
            </w:pPr>
            <w:r>
              <w:rPr>
                <w:rFonts w:ascii="Calibri" w:hAnsi="Calibri"/>
                <w:b/>
                <w:color w:val="000000"/>
                <w:sz w:val="17"/>
              </w:rPr>
              <w:t>Tidak Kompeten</w:t>
            </w:r>
          </w:p>
        </w:tc>
        <w:tc>
          <w:tcPr>
            <w:tcW w:type="dxa" w:w="2466"/>
          </w:tcPr>
          <w:p>
            <w:pPr>
              <w:spacing w:before="40" w:after="40" w:line="252" w:lineRule="auto"/>
              <w:jc w:val="center"/>
            </w:pPr>
            <w:r>
              <w:rPr>
                <w:rFonts w:ascii="Calibri" w:hAnsi="Calibri"/>
                <w:b w:val="0"/>
                <w:color w:val="000000"/>
                <w:sz w:val="17"/>
              </w:rPr>
              <w:t>0 - 20</w:t>
            </w:r>
          </w:p>
        </w:tc>
        <w:tc>
          <w:tcPr>
            <w:tcW w:type="dxa" w:w="2466"/>
          </w:tcPr>
          <w:p>
            <w:pPr>
              <w:spacing w:before="40" w:after="40" w:line="252" w:lineRule="auto"/>
              <w:jc w:val="left"/>
            </w:pPr>
            <w:r>
              <w:rPr>
                <w:rFonts w:ascii="Calibri" w:hAnsi="Calibri"/>
                <w:b w:val="0"/>
                <w:color w:val="000000"/>
                <w:sz w:val="17"/>
              </w:rPr>
              <w:t>Mahasiswa tidak mampu mendemonstrasikan capaian pembelajaran. Tidak mampu melakukan optimasi maupun perancangan basis data, tidak ada artefak kode skrip atau laporan yang diserahkan, atau terindikasi plagiarisme berat.</w:t>
            </w:r>
          </w:p>
        </w:tc>
      </w:tr>
    </w:tbl>
    <w:sectPr>
      <w:footerReference w:type="even" r:id="rId15"/>
      <w:footerReference w:type="default" r:id="rId16"/>
      <w:footerReference w:type="first" r:id="rId17"/>
      <w:type w:val="nextPage"/>
      <w:pgSz w:w="11906" w:h="16838"/>
      <w:pgMar w:left="1020" w:right="1020" w:gutter="0" w:header="0" w:top="1580" w:footer="623" w:bottom="820"/>
      <w:pgNumType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ggiakalista@gmail.com" w:date="2024-08-01T12:54:00Z" w:initials="">
    <w:p>
      <w:pPr>
        <w:overflowPunct w:val="false"/>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Masukkan kode CPL yang berkesesuaian dengan MK</w:t>
      </w:r>
    </w:p>
  </w:comment>
  <w:comment w:id="1" w:author="anggiakalista@gmail.com" w:date="2024-08-03T03:48:15Z" w:initials="">
    <w:p>
      <w:pPr>
        <w:overflowPunct w:val="false"/>
        <w:rPr/>
      </w:pPr>
      <w:r>
        <w:annotationRef/>
      </w: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t>Masukkan bentuk pembelajaran apakah luring/daring pada pertemuan ke-n</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Roboto Bk">
    <w:charset w:val="01" w:characterSet="utf-8"/>
    <w:family w:val="roman"/>
    <w:pitch w:val="variable"/>
  </w:font>
  <w:font w:name="Roboto">
    <w:charset w:val="01" w:characterSet="utf-8"/>
    <w:family w:val="roman"/>
    <w:pitch w:val="variable"/>
  </w:font>
  <w:font w:name="Arial">
    <w:charset w:val="01" w:characterSet="utf-8"/>
    <w:family w:val="roman"/>
    <w:pitch w:val="variable"/>
  </w:font>
  <w:font w:name="Arial MT">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characterSet="utf-8"/>
    <w:family w:val="roman"/>
    <w:pitch w:val="variable"/>
  </w:font>
  <w:font w:name="Symbol">
    <w:charset w:val="02"/>
    <w:family w:val="auto"/>
    <w:pitch w:val="default"/>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spacing w:lineRule="auto" w:line="14" w:before="0" w:after="0"/>
      <w:ind w:hanging="0" w:start="0" w:end="0"/>
      <w:jc w:val="start"/>
      <w:rPr>
        <w:rFonts w:ascii="Cambria" w:hAnsi="Cambria"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
        <w:szCs w:val="2"/>
        <w:u w:val="none"/>
        <w:shd w:fill="auto" w:val="clear"/>
        <w:vertAlign w:val="baseline"/>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1078" w:hanging="284"/>
      </w:pPr>
      <w:rPr>
        <w:rFonts w:ascii="Arial" w:hAnsi="Arial" w:eastAsia="Arial" w:cs="Arial"/>
        <w:color w:val="231F20"/>
        <w:sz w:val="20"/>
        <w:szCs w:val="20"/>
      </w:rPr>
    </w:lvl>
    <w:lvl w:ilvl="1">
      <w:start w:val="0"/>
      <w:numFmt w:val="bullet"/>
      <w:lvlText w:val=""/>
      <w:lvlJc w:val="start"/>
      <w:pPr>
        <w:tabs>
          <w:tab w:val="num" w:pos="0"/>
        </w:tabs>
        <w:ind w:start="1958" w:hanging="284"/>
      </w:pPr>
      <w:rPr>
        <w:rFonts w:ascii="Symbol" w:hAnsi="Symbol" w:cs="Symbol" w:hint="default"/>
      </w:rPr>
    </w:lvl>
    <w:lvl w:ilvl="2">
      <w:start w:val="0"/>
      <w:numFmt w:val="bullet"/>
      <w:lvlText w:val=""/>
      <w:lvlJc w:val="start"/>
      <w:pPr>
        <w:tabs>
          <w:tab w:val="num" w:pos="0"/>
        </w:tabs>
        <w:ind w:start="2837" w:hanging="284"/>
      </w:pPr>
      <w:rPr>
        <w:rFonts w:ascii="Symbol" w:hAnsi="Symbol" w:cs="Symbol" w:hint="default"/>
      </w:rPr>
    </w:lvl>
    <w:lvl w:ilvl="3">
      <w:start w:val="0"/>
      <w:numFmt w:val="bullet"/>
      <w:lvlText w:val=""/>
      <w:lvlJc w:val="start"/>
      <w:pPr>
        <w:tabs>
          <w:tab w:val="num" w:pos="0"/>
        </w:tabs>
        <w:ind w:start="3715" w:hanging="284"/>
      </w:pPr>
      <w:rPr>
        <w:rFonts w:ascii="Symbol" w:hAnsi="Symbol" w:cs="Symbol" w:hint="default"/>
      </w:rPr>
    </w:lvl>
    <w:lvl w:ilvl="4">
      <w:start w:val="0"/>
      <w:numFmt w:val="bullet"/>
      <w:lvlText w:val=""/>
      <w:lvlJc w:val="start"/>
      <w:pPr>
        <w:tabs>
          <w:tab w:val="num" w:pos="0"/>
        </w:tabs>
        <w:ind w:start="4594" w:hanging="284"/>
      </w:pPr>
      <w:rPr>
        <w:rFonts w:ascii="Symbol" w:hAnsi="Symbol" w:cs="Symbol" w:hint="default"/>
      </w:rPr>
    </w:lvl>
    <w:lvl w:ilvl="5">
      <w:start w:val="0"/>
      <w:numFmt w:val="bullet"/>
      <w:lvlText w:val=""/>
      <w:lvlJc w:val="start"/>
      <w:pPr>
        <w:tabs>
          <w:tab w:val="num" w:pos="0"/>
        </w:tabs>
        <w:ind w:start="5472" w:hanging="284"/>
      </w:pPr>
      <w:rPr>
        <w:rFonts w:ascii="Symbol" w:hAnsi="Symbol" w:cs="Symbol" w:hint="default"/>
      </w:rPr>
    </w:lvl>
    <w:lvl w:ilvl="6">
      <w:start w:val="0"/>
      <w:numFmt w:val="bullet"/>
      <w:lvlText w:val=""/>
      <w:lvlJc w:val="start"/>
      <w:pPr>
        <w:tabs>
          <w:tab w:val="num" w:pos="0"/>
        </w:tabs>
        <w:ind w:start="6351" w:hanging="284"/>
      </w:pPr>
      <w:rPr>
        <w:rFonts w:ascii="Symbol" w:hAnsi="Symbol" w:cs="Symbol" w:hint="default"/>
      </w:rPr>
    </w:lvl>
    <w:lvl w:ilvl="7">
      <w:start w:val="0"/>
      <w:numFmt w:val="bullet"/>
      <w:lvlText w:val=""/>
      <w:lvlJc w:val="start"/>
      <w:pPr>
        <w:tabs>
          <w:tab w:val="num" w:pos="0"/>
        </w:tabs>
        <w:ind w:start="7229" w:hanging="284"/>
      </w:pPr>
      <w:rPr>
        <w:rFonts w:ascii="Symbol" w:hAnsi="Symbol" w:cs="Symbol" w:hint="default"/>
      </w:rPr>
    </w:lvl>
    <w:lvl w:ilvl="8">
      <w:start w:val="0"/>
      <w:numFmt w:val="bullet"/>
      <w:lvlText w:val=""/>
      <w:lvlJc w:val="start"/>
      <w:pPr>
        <w:tabs>
          <w:tab w:val="num" w:pos="0"/>
        </w:tabs>
        <w:ind w:start="8108" w:hanging="284"/>
      </w:pPr>
      <w:rPr>
        <w:rFonts w:ascii="Symbol" w:hAnsi="Symbol" w:cs="Symbol" w:hint="default"/>
      </w:rPr>
    </w:lvl>
  </w:abstractNum>
  <w:abstractNum w:abstractNumId="2">
    <w:lvl w:ilvl="0">
      <w:numFmt w:val="bullet"/>
      <w:lvlText w:val="•"/>
      <w:lvlJc w:val="start"/>
      <w:pPr>
        <w:tabs>
          <w:tab w:val="num" w:pos="0"/>
        </w:tabs>
        <w:ind w:start="192" w:hanging="114"/>
      </w:pPr>
      <w:rPr>
        <w:rFonts w:ascii="Arial" w:hAnsi="Arial" w:cs="Arial" w:hint="default"/>
        <w:color w:val="231F20"/>
        <w:sz w:val="18"/>
        <w:szCs w:val="18"/>
      </w:rPr>
    </w:lvl>
    <w:lvl w:ilvl="1">
      <w:start w:val="1"/>
      <w:numFmt w:val="lowerLetter"/>
      <w:lvlText w:val="%2)."/>
      <w:lvlJc w:val="start"/>
      <w:pPr>
        <w:tabs>
          <w:tab w:val="num" w:pos="0"/>
        </w:tabs>
        <w:ind w:start="390" w:hanging="214"/>
      </w:pPr>
      <w:rPr>
        <w:rFonts w:ascii="Arial" w:hAnsi="Arial" w:eastAsia="Arial" w:cs="Arial"/>
        <w:color w:val="231F20"/>
        <w:sz w:val="18"/>
        <w:szCs w:val="18"/>
      </w:rPr>
    </w:lvl>
    <w:lvl w:ilvl="2">
      <w:start w:val="0"/>
      <w:numFmt w:val="bullet"/>
      <w:lvlText w:val=""/>
      <w:lvlJc w:val="start"/>
      <w:pPr>
        <w:tabs>
          <w:tab w:val="num" w:pos="0"/>
        </w:tabs>
        <w:ind w:start="762" w:hanging="214"/>
      </w:pPr>
      <w:rPr>
        <w:rFonts w:ascii="Symbol" w:hAnsi="Symbol" w:cs="Symbol" w:hint="default"/>
      </w:rPr>
    </w:lvl>
    <w:lvl w:ilvl="3">
      <w:start w:val="0"/>
      <w:numFmt w:val="bullet"/>
      <w:lvlText w:val=""/>
      <w:lvlJc w:val="start"/>
      <w:pPr>
        <w:tabs>
          <w:tab w:val="num" w:pos="0"/>
        </w:tabs>
        <w:ind w:start="1125" w:hanging="214"/>
      </w:pPr>
      <w:rPr>
        <w:rFonts w:ascii="Symbol" w:hAnsi="Symbol" w:cs="Symbol" w:hint="default"/>
      </w:rPr>
    </w:lvl>
    <w:lvl w:ilvl="4">
      <w:start w:val="0"/>
      <w:numFmt w:val="bullet"/>
      <w:lvlText w:val=""/>
      <w:lvlJc w:val="start"/>
      <w:pPr>
        <w:tabs>
          <w:tab w:val="num" w:pos="0"/>
        </w:tabs>
        <w:ind w:start="1488" w:hanging="214"/>
      </w:pPr>
      <w:rPr>
        <w:rFonts w:ascii="Symbol" w:hAnsi="Symbol" w:cs="Symbol" w:hint="default"/>
      </w:rPr>
    </w:lvl>
    <w:lvl w:ilvl="5">
      <w:start w:val="0"/>
      <w:numFmt w:val="bullet"/>
      <w:lvlText w:val=""/>
      <w:lvlJc w:val="start"/>
      <w:pPr>
        <w:tabs>
          <w:tab w:val="num" w:pos="0"/>
        </w:tabs>
        <w:ind w:start="1851" w:hanging="214"/>
      </w:pPr>
      <w:rPr>
        <w:rFonts w:ascii="Symbol" w:hAnsi="Symbol" w:cs="Symbol" w:hint="default"/>
      </w:rPr>
    </w:lvl>
    <w:lvl w:ilvl="6">
      <w:start w:val="0"/>
      <w:numFmt w:val="bullet"/>
      <w:lvlText w:val=""/>
      <w:lvlJc w:val="start"/>
      <w:pPr>
        <w:tabs>
          <w:tab w:val="num" w:pos="0"/>
        </w:tabs>
        <w:ind w:start="2213" w:hanging="214"/>
      </w:pPr>
      <w:rPr>
        <w:rFonts w:ascii="Symbol" w:hAnsi="Symbol" w:cs="Symbol" w:hint="default"/>
      </w:rPr>
    </w:lvl>
    <w:lvl w:ilvl="7">
      <w:start w:val="0"/>
      <w:numFmt w:val="bullet"/>
      <w:lvlText w:val=""/>
      <w:lvlJc w:val="start"/>
      <w:pPr>
        <w:tabs>
          <w:tab w:val="num" w:pos="0"/>
        </w:tabs>
        <w:ind w:start="2576" w:hanging="214"/>
      </w:pPr>
      <w:rPr>
        <w:rFonts w:ascii="Symbol" w:hAnsi="Symbol" w:cs="Symbol" w:hint="default"/>
      </w:rPr>
    </w:lvl>
    <w:lvl w:ilvl="8">
      <w:start w:val="0"/>
      <w:numFmt w:val="bullet"/>
      <w:lvlText w:val=""/>
      <w:lvlJc w:val="start"/>
      <w:pPr>
        <w:tabs>
          <w:tab w:val="num" w:pos="0"/>
        </w:tabs>
        <w:ind w:start="2939" w:hanging="214"/>
      </w:pPr>
      <w:rPr>
        <w:rFonts w:ascii="Symbol" w:hAnsi="Symbol" w:cs="Symbol" w:hint="default"/>
      </w:rPr>
    </w:lvl>
  </w:abstractNum>
  <w:abstractNum w:abstractNumId="3">
    <w:lvl w:ilvl="0">
      <w:numFmt w:val="bullet"/>
      <w:lvlText w:val="•"/>
      <w:lvlJc w:val="start"/>
      <w:pPr>
        <w:tabs>
          <w:tab w:val="num" w:pos="0"/>
        </w:tabs>
        <w:ind w:start="192" w:hanging="93"/>
      </w:pPr>
      <w:rPr>
        <w:rFonts w:ascii="Arial" w:hAnsi="Arial" w:cs="Arial" w:hint="default"/>
        <w:color w:val="231F20"/>
        <w:sz w:val="18"/>
        <w:szCs w:val="18"/>
      </w:rPr>
    </w:lvl>
    <w:lvl w:ilvl="1">
      <w:start w:val="0"/>
      <w:numFmt w:val="bullet"/>
      <w:lvlText w:val=""/>
      <w:lvlJc w:val="start"/>
      <w:pPr>
        <w:tabs>
          <w:tab w:val="num" w:pos="0"/>
        </w:tabs>
        <w:ind w:start="346" w:hanging="93"/>
      </w:pPr>
      <w:rPr>
        <w:rFonts w:ascii="Symbol" w:hAnsi="Symbol" w:cs="Symbol" w:hint="default"/>
      </w:rPr>
    </w:lvl>
    <w:lvl w:ilvl="2">
      <w:start w:val="0"/>
      <w:numFmt w:val="bullet"/>
      <w:lvlText w:val=""/>
      <w:lvlJc w:val="start"/>
      <w:pPr>
        <w:tabs>
          <w:tab w:val="num" w:pos="0"/>
        </w:tabs>
        <w:ind w:start="493" w:hanging="93"/>
      </w:pPr>
      <w:rPr>
        <w:rFonts w:ascii="Symbol" w:hAnsi="Symbol" w:cs="Symbol" w:hint="default"/>
      </w:rPr>
    </w:lvl>
    <w:lvl w:ilvl="3">
      <w:start w:val="0"/>
      <w:numFmt w:val="bullet"/>
      <w:lvlText w:val=""/>
      <w:lvlJc w:val="start"/>
      <w:pPr>
        <w:tabs>
          <w:tab w:val="num" w:pos="0"/>
        </w:tabs>
        <w:ind w:start="640" w:hanging="93"/>
      </w:pPr>
      <w:rPr>
        <w:rFonts w:ascii="Symbol" w:hAnsi="Symbol" w:cs="Symbol" w:hint="default"/>
      </w:rPr>
    </w:lvl>
    <w:lvl w:ilvl="4">
      <w:start w:val="0"/>
      <w:numFmt w:val="bullet"/>
      <w:lvlText w:val=""/>
      <w:lvlJc w:val="start"/>
      <w:pPr>
        <w:tabs>
          <w:tab w:val="num" w:pos="0"/>
        </w:tabs>
        <w:ind w:start="786" w:hanging="93"/>
      </w:pPr>
      <w:rPr>
        <w:rFonts w:ascii="Symbol" w:hAnsi="Symbol" w:cs="Symbol" w:hint="default"/>
      </w:rPr>
    </w:lvl>
    <w:lvl w:ilvl="5">
      <w:start w:val="0"/>
      <w:numFmt w:val="bullet"/>
      <w:lvlText w:val=""/>
      <w:lvlJc w:val="start"/>
      <w:pPr>
        <w:tabs>
          <w:tab w:val="num" w:pos="0"/>
        </w:tabs>
        <w:ind w:start="933" w:hanging="93"/>
      </w:pPr>
      <w:rPr>
        <w:rFonts w:ascii="Symbol" w:hAnsi="Symbol" w:cs="Symbol" w:hint="default"/>
      </w:rPr>
    </w:lvl>
    <w:lvl w:ilvl="6">
      <w:start w:val="0"/>
      <w:numFmt w:val="bullet"/>
      <w:lvlText w:val=""/>
      <w:lvlJc w:val="start"/>
      <w:pPr>
        <w:tabs>
          <w:tab w:val="num" w:pos="0"/>
        </w:tabs>
        <w:ind w:start="1080" w:hanging="93"/>
      </w:pPr>
      <w:rPr>
        <w:rFonts w:ascii="Symbol" w:hAnsi="Symbol" w:cs="Symbol" w:hint="default"/>
      </w:rPr>
    </w:lvl>
    <w:lvl w:ilvl="7">
      <w:start w:val="0"/>
      <w:numFmt w:val="bullet"/>
      <w:lvlText w:val=""/>
      <w:lvlJc w:val="start"/>
      <w:pPr>
        <w:tabs>
          <w:tab w:val="num" w:pos="0"/>
        </w:tabs>
        <w:ind w:start="1226" w:hanging="93"/>
      </w:pPr>
      <w:rPr>
        <w:rFonts w:ascii="Symbol" w:hAnsi="Symbol" w:cs="Symbol" w:hint="default"/>
      </w:rPr>
    </w:lvl>
    <w:lvl w:ilvl="8">
      <w:start w:val="0"/>
      <w:numFmt w:val="bullet"/>
      <w:lvlText w:val=""/>
      <w:lvlJc w:val="start"/>
      <w:pPr>
        <w:tabs>
          <w:tab w:val="num" w:pos="0"/>
        </w:tabs>
        <w:ind w:start="1373" w:hanging="93"/>
      </w:pPr>
      <w:rPr>
        <w:rFonts w:ascii="Symbol" w:hAnsi="Symbol" w:cs="Symbol" w:hint="default"/>
      </w:rPr>
    </w:lvl>
  </w:abstractNum>
  <w:abstractNum w:abstractNumId="4">
    <w:lvl w:ilvl="0">
      <w:numFmt w:val="bullet"/>
      <w:lvlText w:val="•"/>
      <w:lvlJc w:val="start"/>
      <w:pPr>
        <w:tabs>
          <w:tab w:val="num" w:pos="0"/>
        </w:tabs>
        <w:ind w:start="192" w:hanging="93"/>
      </w:pPr>
      <w:rPr>
        <w:rFonts w:ascii="Arial" w:hAnsi="Arial" w:cs="Arial" w:hint="default"/>
        <w:color w:val="231F20"/>
        <w:sz w:val="18"/>
        <w:szCs w:val="18"/>
      </w:rPr>
    </w:lvl>
    <w:lvl w:ilvl="1">
      <w:start w:val="0"/>
      <w:numFmt w:val="bullet"/>
      <w:lvlText w:val=""/>
      <w:lvlJc w:val="start"/>
      <w:pPr>
        <w:tabs>
          <w:tab w:val="num" w:pos="0"/>
        </w:tabs>
        <w:ind w:start="342" w:hanging="93"/>
      </w:pPr>
      <w:rPr>
        <w:rFonts w:ascii="Symbol" w:hAnsi="Symbol" w:cs="Symbol" w:hint="default"/>
      </w:rPr>
    </w:lvl>
    <w:lvl w:ilvl="2">
      <w:start w:val="0"/>
      <w:numFmt w:val="bullet"/>
      <w:lvlText w:val=""/>
      <w:lvlJc w:val="start"/>
      <w:pPr>
        <w:tabs>
          <w:tab w:val="num" w:pos="0"/>
        </w:tabs>
        <w:ind w:start="484" w:hanging="93"/>
      </w:pPr>
      <w:rPr>
        <w:rFonts w:ascii="Symbol" w:hAnsi="Symbol" w:cs="Symbol" w:hint="default"/>
      </w:rPr>
    </w:lvl>
    <w:lvl w:ilvl="3">
      <w:start w:val="0"/>
      <w:numFmt w:val="bullet"/>
      <w:lvlText w:val=""/>
      <w:lvlJc w:val="start"/>
      <w:pPr>
        <w:tabs>
          <w:tab w:val="num" w:pos="0"/>
        </w:tabs>
        <w:ind w:start="626" w:hanging="93"/>
      </w:pPr>
      <w:rPr>
        <w:rFonts w:ascii="Symbol" w:hAnsi="Symbol" w:cs="Symbol" w:hint="default"/>
      </w:rPr>
    </w:lvl>
    <w:lvl w:ilvl="4">
      <w:start w:val="0"/>
      <w:numFmt w:val="bullet"/>
      <w:lvlText w:val=""/>
      <w:lvlJc w:val="start"/>
      <w:pPr>
        <w:tabs>
          <w:tab w:val="num" w:pos="0"/>
        </w:tabs>
        <w:ind w:start="768" w:hanging="93"/>
      </w:pPr>
      <w:rPr>
        <w:rFonts w:ascii="Symbol" w:hAnsi="Symbol" w:cs="Symbol" w:hint="default"/>
      </w:rPr>
    </w:lvl>
    <w:lvl w:ilvl="5">
      <w:start w:val="0"/>
      <w:numFmt w:val="bullet"/>
      <w:lvlText w:val=""/>
      <w:lvlJc w:val="start"/>
      <w:pPr>
        <w:tabs>
          <w:tab w:val="num" w:pos="0"/>
        </w:tabs>
        <w:ind w:start="910" w:hanging="93"/>
      </w:pPr>
      <w:rPr>
        <w:rFonts w:ascii="Symbol" w:hAnsi="Symbol" w:cs="Symbol" w:hint="default"/>
      </w:rPr>
    </w:lvl>
    <w:lvl w:ilvl="6">
      <w:start w:val="0"/>
      <w:numFmt w:val="bullet"/>
      <w:lvlText w:val=""/>
      <w:lvlJc w:val="start"/>
      <w:pPr>
        <w:tabs>
          <w:tab w:val="num" w:pos="0"/>
        </w:tabs>
        <w:ind w:start="1052" w:hanging="93"/>
      </w:pPr>
      <w:rPr>
        <w:rFonts w:ascii="Symbol" w:hAnsi="Symbol" w:cs="Symbol" w:hint="default"/>
      </w:rPr>
    </w:lvl>
    <w:lvl w:ilvl="7">
      <w:start w:val="0"/>
      <w:numFmt w:val="bullet"/>
      <w:lvlText w:val=""/>
      <w:lvlJc w:val="start"/>
      <w:pPr>
        <w:tabs>
          <w:tab w:val="num" w:pos="0"/>
        </w:tabs>
        <w:ind w:start="1194" w:hanging="93"/>
      </w:pPr>
      <w:rPr>
        <w:rFonts w:ascii="Symbol" w:hAnsi="Symbol" w:cs="Symbol" w:hint="default"/>
      </w:rPr>
    </w:lvl>
    <w:lvl w:ilvl="8">
      <w:start w:val="0"/>
      <w:numFmt w:val="bullet"/>
      <w:lvlText w:val=""/>
      <w:lvlJc w:val="start"/>
      <w:pPr>
        <w:tabs>
          <w:tab w:val="num" w:pos="0"/>
        </w:tabs>
        <w:ind w:start="1336" w:hanging="93"/>
      </w:pPr>
      <w:rPr>
        <w:rFonts w:ascii="Symbol" w:hAnsi="Symbol" w:cs="Symbol" w:hint="default"/>
      </w:rPr>
    </w:lvl>
  </w:abstractNum>
  <w:abstractNum w:abstractNumId="5">
    <w:lvl w:ilvl="0">
      <w:start w:val="1"/>
      <w:numFmt w:val="decimal"/>
      <w:lvlText w:val="%1."/>
      <w:lvlJc w:val="start"/>
      <w:pPr>
        <w:tabs>
          <w:tab w:val="num" w:pos="0"/>
        </w:tabs>
        <w:ind w:start="244" w:hanging="165"/>
      </w:pPr>
      <w:rPr>
        <w:rFonts w:ascii="Arial" w:hAnsi="Arial" w:eastAsia="Arial" w:cs="Arial"/>
        <w:color w:val="231F20"/>
        <w:sz w:val="18"/>
        <w:szCs w:val="18"/>
      </w:rPr>
    </w:lvl>
    <w:lvl w:ilvl="1">
      <w:start w:val="0"/>
      <w:numFmt w:val="bullet"/>
      <w:lvlText w:val=""/>
      <w:lvlJc w:val="start"/>
      <w:pPr>
        <w:tabs>
          <w:tab w:val="num" w:pos="0"/>
        </w:tabs>
        <w:ind w:start="1464" w:hanging="165"/>
      </w:pPr>
      <w:rPr>
        <w:rFonts w:ascii="Symbol" w:hAnsi="Symbol" w:cs="Symbol" w:hint="default"/>
      </w:rPr>
    </w:lvl>
    <w:lvl w:ilvl="2">
      <w:start w:val="0"/>
      <w:numFmt w:val="bullet"/>
      <w:lvlText w:val=""/>
      <w:lvlJc w:val="start"/>
      <w:pPr>
        <w:tabs>
          <w:tab w:val="num" w:pos="0"/>
        </w:tabs>
        <w:ind w:start="2689" w:hanging="165"/>
      </w:pPr>
      <w:rPr>
        <w:rFonts w:ascii="Symbol" w:hAnsi="Symbol" w:cs="Symbol" w:hint="default"/>
      </w:rPr>
    </w:lvl>
    <w:lvl w:ilvl="3">
      <w:start w:val="0"/>
      <w:numFmt w:val="bullet"/>
      <w:lvlText w:val=""/>
      <w:lvlJc w:val="start"/>
      <w:pPr>
        <w:tabs>
          <w:tab w:val="num" w:pos="0"/>
        </w:tabs>
        <w:ind w:start="3913" w:hanging="165"/>
      </w:pPr>
      <w:rPr>
        <w:rFonts w:ascii="Symbol" w:hAnsi="Symbol" w:cs="Symbol" w:hint="default"/>
      </w:rPr>
    </w:lvl>
    <w:lvl w:ilvl="4">
      <w:start w:val="0"/>
      <w:numFmt w:val="bullet"/>
      <w:lvlText w:val=""/>
      <w:lvlJc w:val="start"/>
      <w:pPr>
        <w:tabs>
          <w:tab w:val="num" w:pos="0"/>
        </w:tabs>
        <w:ind w:start="5138" w:hanging="165"/>
      </w:pPr>
      <w:rPr>
        <w:rFonts w:ascii="Symbol" w:hAnsi="Symbol" w:cs="Symbol" w:hint="default"/>
      </w:rPr>
    </w:lvl>
    <w:lvl w:ilvl="5">
      <w:start w:val="0"/>
      <w:numFmt w:val="bullet"/>
      <w:lvlText w:val=""/>
      <w:lvlJc w:val="start"/>
      <w:pPr>
        <w:tabs>
          <w:tab w:val="num" w:pos="0"/>
        </w:tabs>
        <w:ind w:start="6363" w:hanging="165"/>
      </w:pPr>
      <w:rPr>
        <w:rFonts w:ascii="Symbol" w:hAnsi="Symbol" w:cs="Symbol" w:hint="default"/>
      </w:rPr>
    </w:lvl>
    <w:lvl w:ilvl="6">
      <w:start w:val="0"/>
      <w:numFmt w:val="bullet"/>
      <w:lvlText w:val=""/>
      <w:lvlJc w:val="start"/>
      <w:pPr>
        <w:tabs>
          <w:tab w:val="num" w:pos="0"/>
        </w:tabs>
        <w:ind w:start="7587" w:hanging="165"/>
      </w:pPr>
      <w:rPr>
        <w:rFonts w:ascii="Symbol" w:hAnsi="Symbol" w:cs="Symbol" w:hint="default"/>
      </w:rPr>
    </w:lvl>
    <w:lvl w:ilvl="7">
      <w:start w:val="0"/>
      <w:numFmt w:val="bullet"/>
      <w:lvlText w:val=""/>
      <w:lvlJc w:val="start"/>
      <w:pPr>
        <w:tabs>
          <w:tab w:val="num" w:pos="0"/>
        </w:tabs>
        <w:ind w:start="8812" w:hanging="165"/>
      </w:pPr>
      <w:rPr>
        <w:rFonts w:ascii="Symbol" w:hAnsi="Symbol" w:cs="Symbol" w:hint="default"/>
      </w:rPr>
    </w:lvl>
    <w:lvl w:ilvl="8">
      <w:start w:val="0"/>
      <w:numFmt w:val="bullet"/>
      <w:lvlText w:val=""/>
      <w:lvlJc w:val="start"/>
      <w:pPr>
        <w:tabs>
          <w:tab w:val="num" w:pos="0"/>
        </w:tabs>
        <w:ind w:start="10036" w:hanging="165"/>
      </w:pPr>
      <w:rPr>
        <w:rFonts w:ascii="Symbol" w:hAnsi="Symbol" w:cs="Symbol" w:hint="default"/>
      </w:rPr>
    </w:lvl>
  </w:abstractNum>
  <w:abstractNum w:abstractNumId="6">
    <w:lvl w:ilvl="0">
      <w:start w:val="1"/>
      <w:numFmt w:val="decimal"/>
      <w:lvlText w:val="%1."/>
      <w:lvlJc w:val="start"/>
      <w:pPr>
        <w:tabs>
          <w:tab w:val="num" w:pos="0"/>
        </w:tabs>
        <w:ind w:start="250" w:hanging="171"/>
      </w:pPr>
      <w:rPr>
        <w:rFonts w:ascii="Arial" w:hAnsi="Arial" w:eastAsia="Arial" w:cs="Arial"/>
        <w:color w:val="231F20"/>
        <w:sz w:val="18"/>
        <w:szCs w:val="18"/>
      </w:rPr>
    </w:lvl>
    <w:lvl w:ilvl="1">
      <w:start w:val="0"/>
      <w:numFmt w:val="bullet"/>
      <w:lvlText w:val=""/>
      <w:lvlJc w:val="start"/>
      <w:pPr>
        <w:tabs>
          <w:tab w:val="num" w:pos="0"/>
        </w:tabs>
        <w:ind w:start="1482" w:hanging="171"/>
      </w:pPr>
      <w:rPr>
        <w:rFonts w:ascii="Symbol" w:hAnsi="Symbol" w:cs="Symbol" w:hint="default"/>
      </w:rPr>
    </w:lvl>
    <w:lvl w:ilvl="2">
      <w:start w:val="0"/>
      <w:numFmt w:val="bullet"/>
      <w:lvlText w:val=""/>
      <w:lvlJc w:val="start"/>
      <w:pPr>
        <w:tabs>
          <w:tab w:val="num" w:pos="0"/>
        </w:tabs>
        <w:ind w:start="2705" w:hanging="171"/>
      </w:pPr>
      <w:rPr>
        <w:rFonts w:ascii="Symbol" w:hAnsi="Symbol" w:cs="Symbol" w:hint="default"/>
      </w:rPr>
    </w:lvl>
    <w:lvl w:ilvl="3">
      <w:start w:val="0"/>
      <w:numFmt w:val="bullet"/>
      <w:lvlText w:val=""/>
      <w:lvlJc w:val="start"/>
      <w:pPr>
        <w:tabs>
          <w:tab w:val="num" w:pos="0"/>
        </w:tabs>
        <w:ind w:start="3927" w:hanging="171"/>
      </w:pPr>
      <w:rPr>
        <w:rFonts w:ascii="Symbol" w:hAnsi="Symbol" w:cs="Symbol" w:hint="default"/>
      </w:rPr>
    </w:lvl>
    <w:lvl w:ilvl="4">
      <w:start w:val="0"/>
      <w:numFmt w:val="bullet"/>
      <w:lvlText w:val=""/>
      <w:lvlJc w:val="start"/>
      <w:pPr>
        <w:tabs>
          <w:tab w:val="num" w:pos="0"/>
        </w:tabs>
        <w:ind w:start="5150" w:hanging="171"/>
      </w:pPr>
      <w:rPr>
        <w:rFonts w:ascii="Symbol" w:hAnsi="Symbol" w:cs="Symbol" w:hint="default"/>
      </w:rPr>
    </w:lvl>
    <w:lvl w:ilvl="5">
      <w:start w:val="0"/>
      <w:numFmt w:val="bullet"/>
      <w:lvlText w:val=""/>
      <w:lvlJc w:val="start"/>
      <w:pPr>
        <w:tabs>
          <w:tab w:val="num" w:pos="0"/>
        </w:tabs>
        <w:ind w:start="6373" w:hanging="171"/>
      </w:pPr>
      <w:rPr>
        <w:rFonts w:ascii="Symbol" w:hAnsi="Symbol" w:cs="Symbol" w:hint="default"/>
      </w:rPr>
    </w:lvl>
    <w:lvl w:ilvl="6">
      <w:start w:val="0"/>
      <w:numFmt w:val="bullet"/>
      <w:lvlText w:val=""/>
      <w:lvlJc w:val="start"/>
      <w:pPr>
        <w:tabs>
          <w:tab w:val="num" w:pos="0"/>
        </w:tabs>
        <w:ind w:start="7595" w:hanging="171"/>
      </w:pPr>
      <w:rPr>
        <w:rFonts w:ascii="Symbol" w:hAnsi="Symbol" w:cs="Symbol" w:hint="default"/>
      </w:rPr>
    </w:lvl>
    <w:lvl w:ilvl="7">
      <w:start w:val="0"/>
      <w:numFmt w:val="bullet"/>
      <w:lvlText w:val=""/>
      <w:lvlJc w:val="start"/>
      <w:pPr>
        <w:tabs>
          <w:tab w:val="num" w:pos="0"/>
        </w:tabs>
        <w:ind w:start="8818" w:hanging="171"/>
      </w:pPr>
      <w:rPr>
        <w:rFonts w:ascii="Symbol" w:hAnsi="Symbol" w:cs="Symbol" w:hint="default"/>
      </w:rPr>
    </w:lvl>
    <w:lvl w:ilvl="8">
      <w:start w:val="0"/>
      <w:numFmt w:val="bullet"/>
      <w:lvlText w:val=""/>
      <w:lvlJc w:val="start"/>
      <w:pPr>
        <w:tabs>
          <w:tab w:val="num" w:pos="0"/>
        </w:tabs>
        <w:ind w:start="10040" w:hanging="171"/>
      </w:pPr>
      <w:rPr>
        <w:rFonts w:ascii="Symbol" w:hAnsi="Symbol" w:cs="Symbol" w:hint="default"/>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60"/>
  <w:embedTrueTypeFonts/>
  <w:defaultTabStop w:val="720"/>
  <w:autoHyphenation w:val="true"/>
  <w:hyphenationZone w:val="0"/>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id-ID" w:eastAsia="zh-CN" w:bidi="hi-IN"/>
      </w:rPr>
    </w:rPrDefault>
    <w:pPrDefault>
      <w:pPr>
        <w:suppressAutoHyphens w:val="true"/>
      </w:pPr>
    </w:pPrDefault>
  </w:docDefaults>
  <w:style w:type="paragraph" w:styleId="Normal" w:default="1">
    <w:name w:val="Normal"/>
    <w:qFormat/>
    <w:pPr>
      <w:widowControl w:val="false"/>
      <w:bidi w:val="0"/>
      <w:spacing w:before="0" w:after="0"/>
      <w:jc w:val="start"/>
    </w:pPr>
    <w:rPr>
      <w:rFonts w:ascii="Cambria" w:hAnsi="Cambria" w:eastAsia="Cambria" w:cs="Cambria"/>
      <w:color w:val="auto"/>
      <w:kern w:val="0"/>
      <w:sz w:val="22"/>
      <w:szCs w:val="22"/>
      <w:lang w:val="id-ID" w:eastAsia="zh-CN" w:bidi="hi-IN"/>
    </w:rPr>
  </w:style>
  <w:style w:type="paragraph" w:styleId="Heading1">
    <w:name w:val="heading 1"/>
    <w:basedOn w:val="normal1"/>
    <w:next w:val="normal1"/>
    <w:uiPriority w:val="9"/>
    <w:qFormat/>
    <w:pPr>
      <w:spacing w:before="81" w:after="0"/>
      <w:jc w:val="end"/>
      <w:outlineLvl w:val="0"/>
    </w:pPr>
    <w:rPr>
      <w:b/>
      <w:bCs/>
      <w:sz w:val="72"/>
      <w:szCs w:val="72"/>
    </w:rPr>
  </w:style>
  <w:style w:type="paragraph" w:styleId="Heading2">
    <w:name w:val="heading 2"/>
    <w:basedOn w:val="normal1"/>
    <w:next w:val="normal1"/>
    <w:uiPriority w:val="9"/>
    <w:unhideWhenUsed/>
    <w:qFormat/>
    <w:pPr>
      <w:spacing w:before="89" w:after="0"/>
      <w:ind w:start="305" w:end="62"/>
      <w:jc w:val="center"/>
      <w:outlineLvl w:val="1"/>
    </w:pPr>
    <w:rPr>
      <w:rFonts w:ascii="Roboto Bk" w:hAnsi="Roboto Bk" w:eastAsia="Roboto Bk" w:cs="Roboto Bk"/>
      <w:b/>
      <w:bCs/>
      <w:sz w:val="50"/>
      <w:szCs w:val="50"/>
    </w:rPr>
  </w:style>
  <w:style w:type="paragraph" w:styleId="Heading3">
    <w:name w:val="heading 3"/>
    <w:basedOn w:val="normal1"/>
    <w:next w:val="normal1"/>
    <w:uiPriority w:val="9"/>
    <w:unhideWhenUsed/>
    <w:qFormat/>
    <w:pPr>
      <w:spacing w:before="76" w:after="0"/>
      <w:outlineLvl w:val="2"/>
    </w:pPr>
    <w:rPr>
      <w:b/>
      <w:bCs/>
      <w:sz w:val="46"/>
      <w:szCs w:val="46"/>
    </w:rPr>
  </w:style>
  <w:style w:type="paragraph" w:styleId="Heading4">
    <w:name w:val="heading 4"/>
    <w:basedOn w:val="normal1"/>
    <w:next w:val="normal1"/>
    <w:uiPriority w:val="9"/>
    <w:unhideWhenUsed/>
    <w:qFormat/>
    <w:pPr>
      <w:spacing w:before="91" w:after="0"/>
      <w:ind w:hanging="2299" w:start="982" w:end="720"/>
      <w:outlineLvl w:val="3"/>
    </w:pPr>
    <w:rPr>
      <w:rFonts w:ascii="Roboto" w:hAnsi="Roboto" w:eastAsia="Roboto" w:cs="Roboto"/>
      <w:b/>
      <w:bCs/>
      <w:sz w:val="40"/>
      <w:szCs w:val="40"/>
    </w:rPr>
  </w:style>
  <w:style w:type="paragraph" w:styleId="Heading5">
    <w:name w:val="heading 5"/>
    <w:basedOn w:val="normal1"/>
    <w:next w:val="normal1"/>
    <w:uiPriority w:val="9"/>
    <w:unhideWhenUsed/>
    <w:qFormat/>
    <w:pPr>
      <w:ind w:start="305"/>
      <w:jc w:val="center"/>
      <w:outlineLvl w:val="4"/>
    </w:pPr>
    <w:rPr>
      <w:rFonts w:ascii="Roboto Bk" w:hAnsi="Roboto Bk" w:eastAsia="Roboto Bk" w:cs="Roboto Bk"/>
      <w:b/>
      <w:bCs/>
      <w:sz w:val="36"/>
      <w:szCs w:val="36"/>
    </w:rPr>
  </w:style>
  <w:style w:type="paragraph" w:styleId="Heading6">
    <w:name w:val="heading 6"/>
    <w:basedOn w:val="normal1"/>
    <w:next w:val="normal1"/>
    <w:uiPriority w:val="9"/>
    <w:unhideWhenUsed/>
    <w:qFormat/>
    <w:pPr>
      <w:ind w:start="305" w:end="63"/>
      <w:jc w:val="center"/>
      <w:outlineLvl w:val="5"/>
    </w:pPr>
    <w:rPr>
      <w:rFonts w:ascii="Roboto" w:hAnsi="Roboto" w:eastAsia="Roboto" w:cs="Roboto"/>
      <w:b/>
      <w:bCs/>
      <w:sz w:val="34"/>
      <w:szCs w:val="34"/>
    </w:rPr>
  </w:style>
  <w:style w:type="paragraph" w:styleId="Heading7">
    <w:name w:val="heading 7"/>
    <w:basedOn w:val="normal1"/>
    <w:uiPriority w:val="1"/>
    <w:qFormat/>
    <w:pPr>
      <w:ind w:start="477"/>
      <w:outlineLvl w:val="6"/>
    </w:pPr>
    <w:rPr>
      <w:rFonts w:ascii="Arial" w:hAnsi="Arial" w:eastAsia="Arial" w:cs="Arial"/>
      <w:b/>
      <w:bCs/>
      <w:sz w:val="32"/>
      <w:szCs w:val="32"/>
    </w:rPr>
  </w:style>
  <w:style w:type="paragraph" w:styleId="Heading8">
    <w:name w:val="heading 8"/>
    <w:basedOn w:val="normal1"/>
    <w:uiPriority w:val="1"/>
    <w:qFormat/>
    <w:pPr>
      <w:spacing w:before="19" w:after="0"/>
      <w:ind w:start="20"/>
      <w:outlineLvl w:val="7"/>
    </w:pPr>
    <w:rPr>
      <w:rFonts w:ascii="Arial MT" w:hAnsi="Arial MT" w:eastAsia="Arial MT" w:cs="Arial MT"/>
      <w:sz w:val="28"/>
      <w:szCs w:val="28"/>
    </w:rPr>
  </w:style>
  <w:style w:type="paragraph" w:styleId="Heading9">
    <w:name w:val="heading 9"/>
    <w:basedOn w:val="normal1"/>
    <w:uiPriority w:val="1"/>
    <w:qFormat/>
    <w:pPr>
      <w:ind w:hanging="568" w:start="1214"/>
      <w:outlineLvl w:val="8"/>
    </w:pPr>
    <w:rPr>
      <w:b/>
      <w:bCs/>
      <w:sz w:val="24"/>
      <w:szCs w:val="24"/>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b2a2f"/>
    <w:rPr>
      <w:rFonts w:ascii="Cambria" w:hAnsi="Cambria" w:eastAsia="Cambria" w:cs="Cambria"/>
      <w:lang w:val="id-ID"/>
    </w:rPr>
  </w:style>
  <w:style w:type="character" w:styleId="FooterChar" w:customStyle="1">
    <w:name w:val="Footer Char"/>
    <w:basedOn w:val="DefaultParagraphFont"/>
    <w:link w:val="Footer"/>
    <w:uiPriority w:val="99"/>
    <w:qFormat/>
    <w:rsid w:val="00eb2a2f"/>
    <w:rPr>
      <w:rFonts w:ascii="Cambria" w:hAnsi="Cambria" w:eastAsia="Cambria" w:cs="Cambria"/>
      <w:lang w:val="id-ID"/>
    </w:rPr>
  </w:style>
  <w:style w:type="character" w:styleId="CommentReference">
    <w:name w:val="annotation reference"/>
    <w:basedOn w:val="DefaultParagraphFont"/>
    <w:uiPriority w:val="99"/>
    <w:semiHidden/>
    <w:unhideWhenUsed/>
    <w:qFormat/>
    <w:rsid w:val="00a744f2"/>
    <w:rPr>
      <w:sz w:val="16"/>
      <w:szCs w:val="16"/>
    </w:rPr>
  </w:style>
  <w:style w:type="character" w:styleId="CommentTextChar" w:customStyle="1">
    <w:name w:val="Comment Text Char"/>
    <w:basedOn w:val="DefaultParagraphFont"/>
    <w:link w:val="CommentText"/>
    <w:uiPriority w:val="99"/>
    <w:semiHidden/>
    <w:qFormat/>
    <w:rsid w:val="00a744f2"/>
    <w:rPr>
      <w:rFonts w:ascii="Cambria" w:hAnsi="Cambria" w:eastAsia="Cambria" w:cs="Cambria"/>
      <w:sz w:val="20"/>
      <w:szCs w:val="20"/>
      <w:lang w:val="id-ID"/>
    </w:rPr>
  </w:style>
  <w:style w:type="character" w:styleId="CommentSubjectChar" w:customStyle="1">
    <w:name w:val="Comment Subject Char"/>
    <w:basedOn w:val="CommentTextChar"/>
    <w:link w:val="annotationsubject"/>
    <w:uiPriority w:val="99"/>
    <w:semiHidden/>
    <w:qFormat/>
    <w:rsid w:val="00a744f2"/>
    <w:rPr>
      <w:rFonts w:ascii="Cambria" w:hAnsi="Cambria" w:eastAsia="Cambria" w:cs="Cambria"/>
      <w:b/>
      <w:bCs/>
      <w:sz w:val="20"/>
      <w:szCs w:val="20"/>
      <w:lang w:val="id-I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1"/>
    <w:uiPriority w:val="1"/>
    <w:qFormat/>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val="false"/>
      <w:bidi w:val="0"/>
      <w:spacing w:before="0" w:after="0"/>
      <w:jc w:val="start"/>
    </w:pPr>
    <w:rPr>
      <w:rFonts w:ascii="Cambria" w:hAnsi="Cambria" w:eastAsia="Cambria" w:cs="Cambria"/>
      <w:color w:val="auto"/>
      <w:kern w:val="0"/>
      <w:sz w:val="22"/>
      <w:szCs w:val="22"/>
      <w:lang w:val="id-ID"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TOC1">
    <w:name w:val="toc 1"/>
    <w:basedOn w:val="normal1"/>
    <w:uiPriority w:val="1"/>
    <w:qFormat/>
    <w:pPr>
      <w:spacing w:before="295" w:after="0"/>
      <w:ind w:start="193"/>
    </w:pPr>
    <w:rPr>
      <w:b/>
      <w:bCs/>
      <w:sz w:val="24"/>
      <w:szCs w:val="24"/>
    </w:rPr>
  </w:style>
  <w:style w:type="paragraph" w:styleId="TOC2">
    <w:name w:val="toc 2"/>
    <w:basedOn w:val="normal1"/>
    <w:uiPriority w:val="1"/>
    <w:qFormat/>
    <w:pPr>
      <w:spacing w:before="7" w:after="0"/>
      <w:ind w:start="193"/>
    </w:pPr>
    <w:rPr>
      <w:sz w:val="24"/>
      <w:szCs w:val="24"/>
    </w:rPr>
  </w:style>
  <w:style w:type="paragraph" w:styleId="TOC3">
    <w:name w:val="toc 3"/>
    <w:basedOn w:val="normal1"/>
    <w:uiPriority w:val="1"/>
    <w:qFormat/>
    <w:pPr>
      <w:spacing w:before="6" w:after="0"/>
      <w:ind w:start="930"/>
    </w:pPr>
    <w:rPr>
      <w:sz w:val="24"/>
      <w:szCs w:val="24"/>
    </w:rPr>
  </w:style>
  <w:style w:type="paragraph" w:styleId="ListParagraph">
    <w:name w:val="List Paragraph"/>
    <w:basedOn w:val="normal1"/>
    <w:uiPriority w:val="1"/>
    <w:qFormat/>
    <w:pPr>
      <w:ind w:hanging="567" w:start="1214"/>
      <w:jc w:val="both"/>
    </w:pPr>
    <w:rPr/>
  </w:style>
  <w:style w:type="paragraph" w:styleId="TableParagraph" w:customStyle="1">
    <w:name w:val="Table Paragraph"/>
    <w:basedOn w:val="normal1"/>
    <w:uiPriority w:val="1"/>
    <w:qFormat/>
    <w:pPr/>
    <w:rPr>
      <w:rFonts w:ascii="Arial MT" w:hAnsi="Arial MT" w:eastAsia="Arial MT" w:cs="Arial MT"/>
    </w:rPr>
  </w:style>
  <w:style w:type="paragraph" w:styleId="HeaderandFooter">
    <w:name w:val="Header and Footer"/>
    <w:basedOn w:val="Normal"/>
    <w:qFormat/>
    <w:pPr/>
    <w:rPr/>
  </w:style>
  <w:style w:type="paragraph" w:styleId="Header">
    <w:name w:val="header"/>
    <w:basedOn w:val="normal1"/>
    <w:link w:val="HeaderChar"/>
    <w:uiPriority w:val="99"/>
    <w:unhideWhenUsed/>
    <w:rsid w:val="00eb2a2f"/>
    <w:pPr>
      <w:tabs>
        <w:tab w:val="clear" w:pos="720"/>
        <w:tab w:val="center" w:pos="4513" w:leader="none"/>
        <w:tab w:val="right" w:pos="9026" w:leader="none"/>
      </w:tabs>
    </w:pPr>
    <w:rPr/>
  </w:style>
  <w:style w:type="paragraph" w:styleId="Footer">
    <w:name w:val="footer"/>
    <w:basedOn w:val="normal1"/>
    <w:link w:val="FooterChar"/>
    <w:uiPriority w:val="99"/>
    <w:unhideWhenUsed/>
    <w:rsid w:val="00eb2a2f"/>
    <w:pPr>
      <w:tabs>
        <w:tab w:val="clear" w:pos="720"/>
        <w:tab w:val="center" w:pos="4513" w:leader="none"/>
        <w:tab w:val="right" w:pos="9026" w:leader="none"/>
      </w:tabs>
    </w:pPr>
    <w:rPr/>
  </w:style>
  <w:style w:type="paragraph" w:styleId="CommentText">
    <w:name w:val="annotation text"/>
    <w:basedOn w:val="normal1"/>
    <w:link w:val="CommentTextChar"/>
    <w:uiPriority w:val="99"/>
    <w:semiHidden/>
    <w:unhideWhenUsed/>
    <w:rsid w:val="00a744f2"/>
    <w:pPr/>
    <w:rPr>
      <w:sz w:val="20"/>
      <w:szCs w:val="20"/>
    </w:rPr>
  </w:style>
  <w:style w:type="paragraph" w:styleId="annotationsubject">
    <w:name w:val="annotation subject"/>
    <w:basedOn w:val="CommentText"/>
    <w:next w:val="CommentText"/>
    <w:link w:val="CommentSubjectChar"/>
    <w:uiPriority w:val="99"/>
    <w:semiHidden/>
    <w:unhideWhenUsed/>
    <w:qFormat/>
    <w:rsid w:val="00a744f2"/>
    <w:pPr/>
    <w:rPr>
      <w:b/>
      <w:bCs/>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image" Target="media/image2.png"/><Relationship Id="rId6" Type="http://schemas.openxmlformats.org/officeDocument/2006/relationships/image" Target="media/image2.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image" Target="media/image3.png"/><Relationship Id="rId14" Type="http://schemas.openxmlformats.org/officeDocument/2006/relationships/image" Target="media/image3.png"/><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comments" Target="comments.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Nqf7As26l18xulSe3rQvigq2omw==">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LibreOffice/26.2.5.2$Linux_X86_64 LibreOffice_project/6d2b0d33fb0f5da53a12f98bed3e9973e56ff1f0</Application>
  <AppVersion>15.0000</AppVersion>
  <Pages>4</Pages>
  <Words>629</Words>
  <Characters>4044</Characters>
  <CharactersWithSpaces>4557</CharactersWithSpaces>
  <Paragraphs>133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2024-08-01T05:36:00Z</dcterms:created>
  <dc:creator>AFIRMASI-0197</dc:creator>
  <dc:description/>
  <dc:language>en-US</dc:language>
  <cp:lastModifiedBy/>
  <dcterms:modified xsi:type="dcterms:W3CDTF">2026-09-24T22:04:19Z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2024-07-20T00:00:00Z</vt:lpwstr>
  </property>
  <property fmtid="{D5CDD505-2E9C-101B-9397-08002B2CF9AE}" pid="3" name="Creator">
    <vt:lpwstr>Acrobat Pro DC 22.2.20191</vt:lpwstr>
  </property>
  <property fmtid="{D5CDD505-2E9C-101B-9397-08002B2CF9AE}" pid="4" name="LastSaved">
    <vt:lpwstr>2024-07-28T00:00:00Z</vt:lpwstr>
  </property>
</Properties>
</file>