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40" w:before="5" w:after="0"/>
        <w:ind w:hanging="0" w:start="0" w:end="0"/>
        <w:jc w:val="start"/>
        <w:rPr>
          <w:rFonts w:ascii="Roboto" w:hAnsi="Roboto" w:eastAsia="Roboto" w:cs="Roboto"/>
          <w:b w:val="false"/>
          <w:bCs w:val="false"/>
          <w:i w:val="false"/>
          <w:iCs w:val="false"/>
          <w:caps w:val="false"/>
          <w:smallCaps w:val="false"/>
          <w:strike w:val="false"/>
          <w:dstrike w:val="false"/>
          <w:color w:val="000000"/>
          <w:position w:val="0"/>
          <w:sz w:val="13"/>
          <w:szCs w:val="13"/>
          <w:u w:val="none"/>
          <w:shd w:fill="auto" w:val="clear"/>
          <w:vertAlign w:val="baseline"/>
        </w:rPr>
      </w:pPr>
      <w:r>
        <w:rPr>
          <w:rFonts w:eastAsia="Roboto" w:cs="Roboto" w:ascii="Roboto" w:hAnsi="Roboto"/>
          <w:b w:val="false"/>
          <w:bCs w:val="false"/>
          <w:i w:val="false"/>
          <w:iCs w:val="false"/>
          <w:caps w:val="false"/>
          <w:smallCaps w:val="false"/>
          <w:strike w:val="false"/>
          <w:dstrike w:val="false"/>
          <w:color w:val="000000"/>
          <w:position w:val="0"/>
          <w:sz w:val="13"/>
          <w:szCs w:val="13"/>
          <w:u w:val="none"/>
          <w:shd w:fill="auto" w:val="clear"/>
          <w:vertAlign w:val="baseline"/>
        </w:rPr>
        <mc:AlternateContent>
          <mc:Choice Requires="wps">
            <w:drawing>
              <wp:anchor distT="0" distB="0" distL="0" distR="0" simplePos="0" relativeHeight="2" behindDoc="0" locked="0" layoutInCell="0" allowOverlap="1">
                <wp:simplePos x="0" y="0"/>
                <wp:positionH relativeFrom="page">
                  <wp:posOffset>282575</wp:posOffset>
                </wp:positionH>
                <wp:positionV relativeFrom="page">
                  <wp:posOffset>6494780</wp:posOffset>
                </wp:positionV>
                <wp:extent cx="239395" cy="267970"/>
                <wp:effectExtent l="0" t="0" r="0" b="0"/>
                <wp:wrapNone/>
                <wp:docPr id="1" name="Shape 7"/>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117</w:t>
                            </w:r>
                          </w:p>
                        </w:txbxContent>
                      </wps:txbx>
                      <wps:bodyPr lIns="0" tIns="0" rIns="0" bIns="0" anchor="t">
                        <a:noAutofit/>
                      </wps:bodyPr>
                    </wps:wsp>
                  </a:graphicData>
                </a:graphic>
              </wp:anchor>
            </w:drawing>
          </mc:Choice>
          <mc:Fallback>
            <w:pict>
              <v:rect id="shape_0" stroked="f" o:allowincell="f" style="position:absolute;margin-left:22.2pt;margin-top:511.4pt;width:18.8pt;height:21.05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117</w:t>
                      </w:r>
                    </w:p>
                  </w:txbxContent>
                </v:textbox>
                <w10:wrap type="none"/>
              </v:rect>
            </w:pict>
          </mc:Fallback>
        </mc:AlternateContent>
      </w:r>
    </w:p>
    <w:p>
      <w:pPr>
        <w:pStyle w:val="normal1"/>
        <w:keepNext w:val="false"/>
        <w:keepLines w:val="false"/>
        <w:pageBreakBefore w:val="false"/>
        <w:widowControl w:val="false"/>
        <w:pBdr/>
        <w:shd w:val="clear" w:fill="auto"/>
        <w:spacing w:lineRule="auto" w:line="240" w:before="5" w:after="0"/>
        <w:ind w:hanging="0" w:start="0" w:end="0"/>
        <w:jc w:val="start"/>
        <w:rPr>
          <w:rFonts w:ascii="Arial" w:hAnsi="Arial" w:eastAsia="Arial" w:cs="Arial"/>
          <w:b/>
          <w:bCs/>
          <w:i w:val="false"/>
          <w:iCs w:val="false"/>
          <w:caps w:val="false"/>
          <w:smallCaps w:val="false"/>
          <w:strike w:val="false"/>
          <w:dstrike w:val="false"/>
          <w:color w:val="000000"/>
          <w:position w:val="0"/>
          <w:sz w:val="23"/>
          <w:szCs w:val="23"/>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3"/>
          <w:szCs w:val="23"/>
          <w:u w:val="none"/>
          <w:shd w:fill="auto" w:val="clear"/>
          <w:vertAlign w:val="baseline"/>
        </w:rPr>
      </w:r>
    </w:p>
    <w:tbl>
      <w:tblPr>
        <w:tblStyle w:val="Table1"/>
        <w:tblW w:w="14292" w:type="dxa"/>
        <w:jc w:val="start"/>
        <w:tblInd w:w="128" w:type="dxa"/>
        <w:tblLayout w:type="fixed"/>
        <w:tblCellMar>
          <w:top w:w="0" w:type="dxa"/>
          <w:start w:w="108" w:type="dxa"/>
          <w:bottom w:w="0" w:type="dxa"/>
          <w:end w:w="108" w:type="dxa"/>
        </w:tblCellMar>
        <w:tblLook w:val="0000"/>
      </w:tblPr>
      <w:tblGrid>
        <w:gridCol w:w="1797"/>
        <w:gridCol w:w="1031"/>
        <w:gridCol w:w="3473"/>
        <w:gridCol w:w="3674"/>
        <w:gridCol w:w="3056"/>
        <w:gridCol w:w="1261"/>
      </w:tblGrid>
      <w:tr>
        <w:trPr>
          <w:trHeight w:val="1027" w:hRule="atLeast"/>
        </w:trPr>
        <w:tc>
          <w:tcPr>
            <w:tcW w:w="1797" w:type="dxa"/>
            <w:tcBorders>
              <w:top w:val="single" w:sz="4" w:space="0" w:color="231F20"/>
              <w:start w:val="single" w:sz="4" w:space="0" w:color="231F20"/>
              <w:bottom w:val="single" w:sz="4" w:space="0" w:color="231F20"/>
              <w:end w:val="single" w:sz="4" w:space="0" w:color="231F20"/>
            </w:tcBorders>
            <w:shd w:fill="auto" w:val="clear"/>
          </w:tcPr>
          <w:p>
            <w:pPr>
              <w:pStyle w:val="normal1"/>
              <w:keepNext w:val="false"/>
              <w:keepLines w:val="false"/>
              <w:widowControl w:val="false"/>
              <w:pBdr/>
              <w:shd w:val="clear" w:fill="auto"/>
              <w:spacing w:lineRule="auto" w:line="240" w:before="0" w:after="0"/>
              <w:ind w:hanging="0" w:start="0" w:end="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2"/>
                <w:szCs w:val="22"/>
                <w:u w:val="none"/>
                <w:shd w:fill="auto" w:val="clear"/>
                <w:vertAlign w:val="baseline"/>
              </w:rPr>
              <w:drawing>
                <wp:anchor distT="0" distB="0" distL="0" distR="0" simplePos="0" relativeHeight="4" behindDoc="0" locked="0" layoutInCell="1" allowOverlap="1">
                  <wp:simplePos x="0" y="0"/>
                  <wp:positionH relativeFrom="column">
                    <wp:posOffset>255270</wp:posOffset>
                  </wp:positionH>
                  <wp:positionV relativeFrom="paragraph">
                    <wp:posOffset>27940</wp:posOffset>
                  </wp:positionV>
                  <wp:extent cx="615950" cy="602615"/>
                  <wp:effectExtent l="0" t="0" r="0" b="0"/>
                  <wp:wrapNone/>
                  <wp:docPr id="2" name="image1.jpg" descr="UNIROW LOGO WA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UNIROW LOGO WARNA"/>
                          <pic:cNvPicPr>
                            <a:picLocks noChangeAspect="1" noChangeArrowheads="1"/>
                          </pic:cNvPicPr>
                        </pic:nvPicPr>
                        <pic:blipFill>
                          <a:blip r:embed="rId2"/>
                          <a:stretch>
                            <a:fillRect/>
                          </a:stretch>
                        </pic:blipFill>
                        <pic:spPr bwMode="auto">
                          <a:xfrm>
                            <a:off x="0" y="0"/>
                            <a:ext cx="615950" cy="602615"/>
                          </a:xfrm>
                          <a:prstGeom prst="rect">
                            <a:avLst/>
                          </a:prstGeom>
                          <a:noFill/>
                        </pic:spPr>
                      </pic:pic>
                    </a:graphicData>
                  </a:graphic>
                </wp:anchor>
              </w:drawing>
            </w:r>
          </w:p>
          <w:p>
            <w:pPr>
              <w:pStyle w:val="normal1"/>
              <w:keepNext w:val="false"/>
              <w:keepLines w:val="false"/>
              <w:widowControl w:val="false"/>
              <w:pBdr/>
              <w:shd w:val="clear" w:fill="auto"/>
              <w:spacing w:lineRule="auto" w:line="240" w:before="0" w:after="0"/>
              <w:ind w:hanging="0" w:start="353"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1234" w:type="dxa"/>
            <w:gridSpan w:val="4"/>
            <w:tcBorders>
              <w:top w:val="single" w:sz="4" w:space="0" w:color="231F20"/>
              <w:start w:val="single" w:sz="4" w:space="0" w:color="231F20"/>
              <w:bottom w:val="single" w:sz="6" w:space="0" w:color="231F20"/>
              <w:end w:val="single" w:sz="4" w:space="0" w:color="231F20"/>
            </w:tcBorders>
            <w:shd w:fill="auto" w:val="clear"/>
          </w:tcPr>
          <w:p>
            <w:pPr>
              <w:spacing w:before="40" w:after="40" w:line="252" w:lineRule="auto"/>
              <w:jc w:val="center"/>
            </w:pPr>
            <w:r>
              <w:rPr>
                <w:rFonts w:ascii="Calibri" w:hAnsi="Calibri"/>
                <w:b/>
                <w:color w:val="000000"/>
                <w:sz w:val="20"/>
              </w:rPr>
              <w:t>UNIVERSITAS PGRI RONGGOLAWE</w:t>
              <w:br/>
              <w:t>FAKULTAS SAINS DAN TEKNOLOGI</w:t>
              <w:br/>
              <w:t>PROGRAM STUDI S1 INFORMATIKA</w:t>
            </w:r>
          </w:p>
        </w:tc>
        <w:tc>
          <w:tcPr>
            <w:tcW w:w="1261" w:type="dxa"/>
            <w:tcBorders>
              <w:top w:val="single" w:sz="4" w:space="0" w:color="231F20"/>
              <w:start w:val="single" w:sz="4" w:space="0" w:color="231F20"/>
              <w:bottom w:val="single" w:sz="4" w:space="0" w:color="231F20"/>
              <w:end w:val="single" w:sz="4" w:space="0" w:color="231F20"/>
            </w:tcBorders>
            <w:shd w:fill="auto" w:val="clear"/>
          </w:tcPr>
          <w:p>
            <w:pPr>
              <w:spacing w:before="40" w:after="40" w:line="252" w:lineRule="auto"/>
              <w:jc w:val="center"/>
            </w:pPr>
            <w:r>
              <w:rPr>
                <w:rFonts w:ascii="Calibri" w:hAnsi="Calibri"/>
                <w:b/>
                <w:color w:val="000000"/>
                <w:sz w:val="18"/>
              </w:rPr>
              <w:t>Kode Dokumen:</w:t>
              <w:br/>
              <w:t>RPS-INF-IF6801</w:t>
            </w:r>
          </w:p>
        </w:tc>
      </w:tr>
      <w:tr>
        <w:trPr>
          <w:trHeight w:val="276" w:hRule="atLeast"/>
        </w:trPr>
        <w:tc>
          <w:tcPr>
            <w:tcW w:w="14292" w:type="dxa"/>
            <w:gridSpan w:val="6"/>
            <w:tcBorders>
              <w:top w:val="single" w:sz="6" w:space="0" w:color="231F20"/>
              <w:start w:val="single" w:sz="4" w:space="0" w:color="231F20"/>
              <w:bottom w:val="single" w:sz="6" w:space="0" w:color="231F20"/>
              <w:end w:val="single" w:sz="4" w:space="0" w:color="231F20"/>
            </w:tcBorders>
            <w:shd w:fill="auto" w:val="clear"/>
          </w:tcPr>
          <w:p>
            <w:pPr>
              <w:pStyle w:val="normal1"/>
              <w:keepNext w:val="false"/>
              <w:keepLines w:val="false"/>
              <w:widowControl w:val="false"/>
              <w:pBdr/>
              <w:shd w:val="clear" w:fill="auto"/>
              <w:spacing w:lineRule="auto" w:line="240" w:before="34" w:after="0"/>
              <w:ind w:hanging="0" w:start="5715" w:end="570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RENCANA PEMBELAJARAN SEMESTER</w:t>
            </w:r>
          </w:p>
        </w:tc>
      </w:tr>
      <w:tr>
        <w:trPr>
          <w:trHeight w:val="492" w:hRule="atLeast"/>
        </w:trPr>
        <w:tc>
          <w:tcPr>
            <w:tcW w:w="179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MATA KULIAH (MK)</w:t>
            </w:r>
          </w:p>
        </w:tc>
        <w:tc>
          <w:tcPr>
            <w:tcW w:w="1031"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302"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KODE</w:t>
            </w:r>
          </w:p>
        </w:tc>
        <w:tc>
          <w:tcPr>
            <w:tcW w:w="3473" w:type="dxa"/>
            <w:tcBorders>
              <w:top w:val="single" w:sz="6" w:space="0" w:color="231F20"/>
              <w:start w:val="single" w:sz="4" w:space="0" w:color="231F20"/>
              <w:bottom w:val="single" w:sz="6"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1132" w:end="112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Rumpun MK</w:t>
            </w:r>
          </w:p>
        </w:tc>
        <w:tc>
          <w:tcPr>
            <w:tcW w:w="3674"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204" w:end="19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BOBOT (sks)</w:t>
            </w:r>
          </w:p>
        </w:tc>
        <w:tc>
          <w:tcPr>
            <w:tcW w:w="3056"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1064" w:end="10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SEMESTER</w:t>
            </w:r>
          </w:p>
        </w:tc>
        <w:tc>
          <w:tcPr>
            <w:tcW w:w="1261"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34" w:after="0"/>
              <w:ind w:firstLine="321" w:start="202" w:end="171"/>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Tgl Penyusunan</w:t>
            </w:r>
          </w:p>
        </w:tc>
      </w:tr>
      <w:tr>
        <w:trPr>
          <w:trHeight w:val="276" w:hRule="atLeast"/>
        </w:trPr>
        <w:tc>
          <w:tcPr>
            <w:tcW w:w="1797"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Teknologi Internet of Thing</w:t>
            </w:r>
          </w:p>
        </w:tc>
        <w:tc>
          <w:tcPr>
            <w:tcW w:w="1031"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IF6801</w:t>
            </w:r>
          </w:p>
        </w:tc>
        <w:tc>
          <w:tcPr>
            <w:tcW w:w="3473" w:type="dxa"/>
            <w:tcBorders>
              <w:top w:val="single" w:sz="6"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Sistem Tertanam, Jaringan &amp; Keamanan Komputer</w:t>
            </w:r>
          </w:p>
        </w:tc>
        <w:tc>
          <w:tcPr>
            <w:tcW w:w="3674"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3</w:t>
            </w:r>
          </w:p>
        </w:tc>
        <w:tc>
          <w:tcPr>
            <w:tcW w:w="3056"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6</w:t>
            </w:r>
          </w:p>
        </w:tc>
        <w:tc>
          <w:tcPr>
            <w:tcW w:w="1261"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25 Agustus 2025</w:t>
            </w:r>
          </w:p>
        </w:tc>
      </w:tr>
      <w:tr>
        <w:trPr>
          <w:trHeight w:val="278" w:hRule="atLeast"/>
        </w:trPr>
        <w:tc>
          <w:tcPr>
            <w:tcW w:w="1797" w:type="dxa"/>
            <w:vMerge w:val="restart"/>
            <w:tcBorders>
              <w:top w:val="single" w:sz="4" w:space="0" w:color="231F20"/>
              <w:start w:val="single" w:sz="6" w:space="0" w:color="231F20"/>
              <w:bottom w:val="single" w:sz="4" w:space="0" w:color="231F20"/>
              <w:end w:val="single" w:sz="6" w:space="0" w:color="231F20"/>
            </w:tcBorders>
          </w:tcPr>
          <w:p>
            <w:pPr>
              <w:pStyle w:val="normal1"/>
              <w:keepNext w:val="false"/>
              <w:keepLines w:val="false"/>
              <w:widowControl w:val="false"/>
              <w:pBdr/>
              <w:shd w:val="clear" w:fill="auto"/>
              <w:spacing w:lineRule="auto" w:line="25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OTORISASI / PENGESAHAN</w:t>
            </w:r>
          </w:p>
        </w:tc>
        <w:tc>
          <w:tcPr>
            <w:tcW w:w="4504" w:type="dxa"/>
            <w:gridSpan w:val="2"/>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4" w:after="0"/>
              <w:ind w:hanging="0" w:start="137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Dosen Pengembang RPS</w:t>
            </w:r>
          </w:p>
        </w:tc>
        <w:tc>
          <w:tcPr>
            <w:tcW w:w="3674"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4" w:after="0"/>
              <w:ind w:hanging="0" w:start="1228"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Koordinator RMK</w:t>
            </w:r>
          </w:p>
        </w:tc>
        <w:tc>
          <w:tcPr>
            <w:tcW w:w="4317" w:type="dxa"/>
            <w:gridSpan w:val="2"/>
            <w:tcBorders>
              <w:top w:val="single" w:sz="6"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4" w:after="0"/>
              <w:ind w:hanging="0" w:start="1796" w:end="178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Ka PRODI</w:t>
            </w:r>
          </w:p>
        </w:tc>
      </w:tr>
      <w:tr>
        <w:trPr>
          <w:trHeight w:val="1390" w:hRule="atLeast"/>
        </w:trPr>
        <w:tc>
          <w:tcPr>
            <w:tcW w:w="1797" w:type="dxa"/>
            <w:vMerge w:val="continue"/>
            <w:tcBorders>
              <w:top w:val="single" w:sz="4" w:space="0" w:color="231F20"/>
              <w:start w:val="single" w:sz="6" w:space="0" w:color="231F20"/>
              <w:bottom w:val="single" w:sz="4" w:space="0" w:color="231F20"/>
              <w:end w:val="single" w:sz="6"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4504" w:type="dxa"/>
            <w:gridSpan w:val="2"/>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br/>
              <w:br/>
              <w:t>TTD</w:t>
              <w:br/>
              <w:br/>
              <w:t>Fitroh Amaluddin, M.Kom.</w:t>
            </w:r>
          </w:p>
        </w:tc>
        <w:tc>
          <w:tcPr>
            <w:tcW w:w="3674"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br/>
              <w:br/>
              <w:t>TTD</w:t>
              <w:br/>
              <w:br/>
              <w:t>Fitroh Amaluddin, M.Kom.</w:t>
            </w:r>
          </w:p>
        </w:tc>
        <w:tc>
          <w:tcPr>
            <w:tcW w:w="4317" w:type="dxa"/>
            <w:gridSpan w:val="2"/>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br/>
              <w:br/>
              <w:t>TTD</w:t>
              <w:br/>
              <w:br/>
              <w:t>AMALUDIN ARIFIA, M.Kom.</w:t>
              <w:br/>
              <w:t>NIDN: 07xxxxxxxx</w:t>
            </w:r>
          </w:p>
        </w:tc>
      </w:tr>
      <w:tr>
        <w:trPr>
          <w:trHeight w:val="276" w:hRule="atLeast"/>
        </w:trPr>
        <w:tc>
          <w:tcPr>
            <w:tcW w:w="1797" w:type="dxa"/>
            <w:vMerge w:val="restart"/>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Capaian Pembelajaran</w:t>
            </w:r>
          </w:p>
        </w:tc>
        <w:tc>
          <w:tcPr>
            <w:tcW w:w="4504" w:type="dxa"/>
            <w:gridSpan w:val="2"/>
            <w:tcBorders>
              <w:top w:val="single" w:sz="4" w:space="0" w:color="231F20"/>
              <w:start w:val="dashed" w:sz="4" w:space="0" w:color="231F20"/>
              <w:bottom w:val="single" w:sz="4" w:space="0" w:color="231F20"/>
              <w:end w:val="single" w:sz="4" w:space="0" w:color="231F20"/>
            </w:tcBorders>
            <w:shd w:fill="E0E1E2"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CPL-PRODI yang dibebankan pada 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1" w:type="dxa"/>
            <w:tcBorders>
              <w:top w:val="single" w:sz="4" w:space="0" w:color="231F20"/>
              <w:start w:val="dashed" w:sz="4" w:space="0" w:color="231F20"/>
              <w:bottom w:val="single" w:sz="4" w:space="0" w:color="231F20"/>
              <w:end w:val="single" w:sz="4" w:space="0" w:color="231F20"/>
            </w:tcBorders>
          </w:tcPr>
          <w:p>
            <w:pPr>
              <w:spacing w:before="40" w:after="40" w:line="252" w:lineRule="auto"/>
              <w:jc w:val="left"/>
            </w:pPr>
            <w:r>
              <w:rPr>
                <w:rFonts w:ascii="Calibri" w:hAnsi="Calibri"/>
                <w:b/>
                <w:color w:val="000000"/>
                <w:sz w:val="18"/>
              </w:rPr>
              <w:t>CPL03</w:t>
              <w:br/>
              <w:br/>
              <w:t>CPL04</w:t>
              <w:br/>
              <w:br/>
              <w:t>CPL05</w:t>
              <w:br/>
              <w:br/>
              <w:t>CPL08</w:t>
            </w:r>
          </w:p>
        </w:tc>
        <w:tc>
          <w:tcPr>
            <w:tcW w:w="11464" w:type="dxa"/>
            <w:gridSpan w:val="4"/>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CPL03: Memiliki kemampuan memahami cara kerja sistem komputer serta menerapkan berbagai algoritma/metode untuk memecahkan masalah dalam suatu organisasi. [C2, C3]</w:t>
              <w:br/>
              <w:br/>
              <w:t>CPL04: Memiliki kompetensi dalam menganalisis persoalan computing yang kompleks untuk mengidentifikasi solusi pengelolaan proyek teknologi di bidang informatika/ilmu komputer dengan mempertimbangkan perkembangan ilmu transdisiplin. [C4]</w:t>
              <w:br/>
              <w:br/>
              <w:t>CPL05: Memiliki kemampuan merancang, mengimplementasikan, dan mengevaluasi solusi berbasis computing (sistem cerdas, embedded systems, IoT, cloud) yang memenuhi kebutuhan pengguna dengan pendekatan analitis dan saintifik. [C5, C6]</w:t>
              <w:br/>
              <w:br/>
              <w:t>CPL08: Menunjukkan komitmen terhadap standar profesional, etika, tata kelola, dan kerja sama tim interdisipliner dalam pelaksanaan proyek teknologi. [A3, A4]</w:t>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4504" w:type="dxa"/>
            <w:gridSpan w:val="2"/>
            <w:tcBorders>
              <w:top w:val="single" w:sz="4" w:space="0" w:color="231F20"/>
              <w:start w:val="dashed" w:sz="4" w:space="0" w:color="231F20"/>
              <w:bottom w:val="single" w:sz="4" w:space="0" w:color="231F20"/>
              <w:end w:val="single" w:sz="4" w:space="0" w:color="231F20"/>
            </w:tcBorders>
            <w:shd w:fill="EDECE0"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Capaian Pembelajaran Mata Kuliah (CPMK)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1" w:type="dxa"/>
            <w:tcBorders>
              <w:top w:val="single" w:sz="4" w:space="0" w:color="231F20"/>
              <w:start w:val="dashed" w:sz="4" w:space="0" w:color="231F20"/>
              <w:bottom w:val="single" w:sz="4" w:space="0" w:color="231F20"/>
              <w:end w:val="single" w:sz="4" w:space="0" w:color="231F20"/>
            </w:tcBorders>
          </w:tcPr>
          <w:p>
            <w:pPr>
              <w:spacing w:before="40" w:after="40" w:line="252" w:lineRule="auto"/>
              <w:jc w:val="left"/>
            </w:pPr>
            <w:r>
              <w:rPr>
                <w:rFonts w:ascii="Calibri" w:hAnsi="Calibri"/>
                <w:b/>
                <w:color w:val="000000"/>
                <w:sz w:val="18"/>
              </w:rPr>
              <w:t>CPMK1 (100%)</w:t>
              <w:br/>
              <w:br/>
              <w:t>CPMK2 (100%)</w:t>
              <w:br/>
              <w:br/>
              <w:t>CPMK3 (100%)</w:t>
              <w:br/>
              <w:br/>
              <w:t>CPMK4 (100%)</w:t>
            </w:r>
          </w:p>
        </w:tc>
        <w:tc>
          <w:tcPr>
            <w:tcW w:w="11464" w:type="dxa"/>
            <w:gridSpan w:val="4"/>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CPMK1 [induk CPL03]: Mampu menjelaskan arsitektur referensi IoT, komponen sensor/aktuator, mikrokontroler (ESP32/Arduino), dan mengonfigurasi interkoneksi hardware serta interfacing I/O analog/digital dan komunikasi bus (I2C, SPI, UART) [C2, C3].</w:t>
              <w:br/>
              <w:br/>
              <w:t>CPMK2 [induk CPL04]: Mampu menganalisis dan menerapkan protokol komunikasi IoT (MQTT, CoAP, HTTP REST, WebSocket) serta teknologi jaringan nirkabel (Wi-Fi, Bluetooth Low Energy, LoRaWAN) untuk pertukaran data telemetri yang hemat daya dan andal [C4].</w:t>
              <w:br/>
              <w:br/>
              <w:t>CPMK3 [induk CPL05]: Mampu merancang dan mengintegrasikan platform cloud IoT (ThingsBoard, Firebase, Node-RED, InfluxDB/Grafana), dashboard analitik, dan inferensi Edge AI / TinyML sederhana [C5].</w:t>
              <w:br/>
              <w:br/>
              <w:t>CPMK4 [induk CPL08]: Mampu bekerja sama dalam tim interdisipliner untuk merancang, mengimplementasikan, dan memvalidasi purwarupa sistem pintar IoT dunia nyata dengan memperhatikan aspek keamanan siber (TLS/SSL, autentikasi token) dan etika profesional [A4, C6].</w:t>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4504" w:type="dxa"/>
            <w:gridSpan w:val="2"/>
            <w:tcBorders>
              <w:top w:val="single" w:sz="4" w:space="0" w:color="231F20"/>
              <w:start w:val="dashed" w:sz="4" w:space="0" w:color="231F20"/>
              <w:bottom w:val="single" w:sz="4" w:space="0" w:color="231F20"/>
              <w:end w:val="single" w:sz="4" w:space="0" w:color="231F20"/>
            </w:tcBorders>
            <w:shd w:fill="EDECE0"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Kemampuan akhir tiap tahapan belajar MK (SubCPMK)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1" w:type="dxa"/>
            <w:tcBorders>
              <w:top w:val="single" w:sz="4" w:space="0" w:color="231F20"/>
              <w:start w:val="dashed" w:sz="4" w:space="0" w:color="231F20"/>
              <w:bottom w:val="single" w:sz="4" w:space="0" w:color="231F20"/>
              <w:end w:val="single" w:sz="4" w:space="0" w:color="231F20"/>
            </w:tcBorders>
          </w:tcPr>
          <w:p>
            <w:pPr>
              <w:spacing w:before="40" w:after="40" w:line="252" w:lineRule="auto"/>
              <w:jc w:val="left"/>
            </w:pPr>
            <w:r>
              <w:rPr>
                <w:rFonts w:ascii="Calibri" w:hAnsi="Calibri"/>
                <w:b/>
                <w:color w:val="000000"/>
                <w:sz w:val="18"/>
              </w:rPr>
              <w:t>Sub-CPMK 1</w:t>
              <w:br/>
              <w:br/>
              <w:t>Sub-CPMK 2</w:t>
              <w:br/>
              <w:br/>
              <w:t>Sub-CPMK 3</w:t>
              <w:br/>
              <w:br/>
              <w:t>Sub-CPMK 4</w:t>
              <w:br/>
              <w:br/>
              <w:t>Sub-CPMK 5</w:t>
              <w:br/>
              <w:br/>
              <w:t>Sub-CPMK 6</w:t>
              <w:br/>
              <w:br/>
              <w:t>Sub-CPMK 7</w:t>
              <w:br/>
              <w:br/>
              <w:t>Sub-CPMK 8</w:t>
              <w:br/>
              <w:br/>
              <w:t>Sub-CPMK 9</w:t>
              <w:br/>
              <w:br/>
              <w:t>Sub-CPMK 10</w:t>
              <w:br/>
              <w:br/>
              <w:t>Sub-CPMK 11</w:t>
              <w:br/>
              <w:br/>
              <w:t>Sub-CPMK 12 (UTS &amp; UAS)</w:t>
            </w:r>
          </w:p>
        </w:tc>
        <w:tc>
          <w:tcPr>
            <w:tcW w:w="11464" w:type="dxa"/>
            <w:gridSpan w:val="4"/>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Sub-CPMK 1: Mampu menjelaskan definisi, evolusi, arsitektur 4-layer IoT (Persepsi, Jaringan, Middleware, Aplikasi), dan studi kasus penerapan industri 4.0 [C2].</w:t>
              <w:br/>
              <w:br/>
              <w:t>Sub-CPMK 2: Mampu mengonfigurasi GPIO mikrokontroler ESP32, sinyal digital, pembacaan ADC analog, modulasi PWM, serta interfacing sensor fisik (suhu/kelembaban, cahaya, gerak) dan aktuator [C3].</w:t>
              <w:br/>
              <w:br/>
              <w:t>Sub-CPMK 3: Mampu memprogram dan menganalisis komunikasi bus periferal sensor cerdas menggunakan antarmuka serial UART, protokol I2C (OLED/Sensor kompleks), dan antarmuka SPI kecepatan tinggi [C4].</w:t>
              <w:br/>
              <w:br/>
              <w:t>Sub-CPMK 4: Mampu mengonfigurasi konektivitas nirkabel jarak pendek Wi-Fi (Station &amp; SoftAP mode) dan Bluetooth Low Energy (BLE Server/Client &amp; Beacon) pada mikrokontroler [C3, C4].</w:t>
              <w:br/>
              <w:br/>
              <w:t>Sub-CPMK 5: Mampu menganalisis arsitektur Low-Power Wide-Area Network (LPWAN), modulasi radio LoRa, topologi star LoRaWAN, dan transmisi data telemetri jarak jauh berdaya rendah [C4].</w:t>
              <w:br/>
              <w:br/>
              <w:t>Sub-CPMK 6: Mampu menerapkan protokol publish-subscribe MQTT (Message Queuing Telemetry Transport), merancang hirarki topik, dan mengonfigurasi Quality of Service (QoS 0, 1, 2) dengan broker Mosquitto [C4].</w:t>
              <w:br/>
              <w:br/>
              <w:t>Sub-CPMK 7: Mampu membandingkan efisiensi protokol MQTT vs HTTP REST vs CoAP (Constrained Application Protocol) dan mengimplementasikan WebSocket untuk komunikasi data sensor dua arah waktu-nyata [C4].</w:t>
              <w:br/>
              <w:br/>
              <w:t>Sub-CPMK 8: Mampu merancang alur logika pemrosesan data sensor terdistribusi berbasis event-driven menggunakan Node-RED flow engine dan visualisasi UI Node-RED Dashboard [C5].</w:t>
              <w:br/>
              <w:br/>
              <w:t>Sub-CPMK 9: Mampu mengintegrasikan node sensor IoT ke platform Cloud IoT (ThingsBoard Open-Source / Firebase Realtime) dan membangun visualisasi data time-series terkelola (InfluxDB &amp; Grafana) [C5].</w:t>
              <w:br/>
              <w:br/>
              <w:t>Sub-CPMK 10: Mampu menerapkan keamanan komunikasi IoT (MQTTS/TLS enkripsi), token autentikasi, fitur Over-The-Air (OTA) firmware update, serta pengantar inferensi Edge AI/TinyML pada mikrokontroler [C4, C5].</w:t>
              <w:br/>
              <w:br/>
              <w:t>Sub-CPMK 11: Mampu mengintegrasikan purwarupa produk cerdas IoT end-to-end (Hardware, Firmware, Jaringan, Cloud, Dashboard) dan mempresentasikannya secara profesional dalam kolaborasi tim [A4, C6].</w:t>
              <w:br/>
              <w:br/>
              <w:t>Sub-CPMK 12 (UTS &amp; UAS): Mampu mendemonstrasikan evaluasi komprehensif penguasaan konsep, analisis protokol, dan unjuk kerja purwarupa IoT melalui Evaluasi Tengah Semester (15%) dan Capstone Project Akhir Semester (15%) [C3, C4, C5, C6].</w:t>
            </w:r>
          </w:p>
        </w:tc>
      </w:tr>
    </w:tbl>
    <w:p>
      <w:pPr>
        <w:sectPr>
          <w:footerReference w:type="even" r:id="rId3"/>
          <w:footerReference w:type="default" r:id="rId4"/>
          <w:type w:val="nextPage"/>
          <w:pgSz w:orient="landscape" w:w="16838" w:h="11906"/>
          <w:pgMar w:left="1020" w:right="1280" w:gutter="0" w:header="0" w:top="1100" w:footer="0" w:bottom="280"/>
          <w:pgNumType w:start="1" w:fmt="decimal"/>
          <w:formProt w:val="false"/>
          <w:textDirection w:val="lrTb"/>
          <w:docGrid w:type="default" w:linePitch="100" w:charSpace="0"/>
        </w:sectPr>
      </w:pPr>
      <w:r>
        <w:br w:type="page"/>
      </w:r>
    </w:p>
    <w:p>
      <w:pPr>
        <w:pStyle w:val="normal1"/>
        <w:keepNext w:val="false"/>
        <w:keepLines w:val="false"/>
        <w:pageBreakBefore w:val="false"/>
        <w:widowControl w:val="false"/>
        <w:pBdr/>
        <w:shd w:val="clear" w:fill="auto"/>
        <w:spacing w:lineRule="auto" w:line="240" w:before="5" w:after="0"/>
        <w:ind w:hanging="0" w:start="0" w:end="0"/>
        <w:jc w:val="start"/>
        <w:rPr>
          <w:rFonts w:ascii="Arial" w:hAnsi="Arial" w:eastAsia="Arial" w:cs="Arial"/>
          <w:b/>
          <w:bCs/>
          <w:i w:val="false"/>
          <w:iCs w:val="false"/>
          <w:caps w:val="false"/>
          <w:smallCaps w:val="false"/>
          <w:strike w:val="false"/>
          <w:dstrike w:val="false"/>
          <w:color w:val="000000"/>
          <w:position w:val="0"/>
          <w:sz w:val="2"/>
          <w:szCs w:val="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
          <w:szCs w:val="2"/>
          <w:u w:val="none"/>
          <w:shd w:fill="auto" w:val="clear"/>
          <w:vertAlign w:val="baseline"/>
        </w:rPr>
      </w:r>
    </w:p>
    <w:p>
      <w:pPr>
        <w:pStyle w:val="normal1"/>
        <w:keepNext w:val="false"/>
        <w:keepLines w:val="false"/>
        <w:pageBreakBefore w:val="false"/>
        <w:widowControl w:val="false"/>
        <w:pBdr/>
        <w:shd w:val="clear" w:fill="auto"/>
        <w:spacing w:lineRule="auto" w:line="240" w:before="5" w:after="0"/>
        <w:ind w:hanging="0" w:start="0" w:end="0"/>
        <w:jc w:val="start"/>
        <w:rPr>
          <w:rFonts w:ascii="Arial" w:hAnsi="Arial" w:eastAsia="Arial" w:cs="Arial"/>
          <w:b/>
          <w:bCs/>
          <w:i w:val="false"/>
          <w:iCs w:val="false"/>
          <w:caps w:val="false"/>
          <w:smallCaps w:val="false"/>
          <w:strike w:val="false"/>
          <w:dstrike w:val="false"/>
          <w:color w:val="000000"/>
          <w:position w:val="0"/>
          <w:sz w:val="2"/>
          <w:szCs w:val="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
          <w:szCs w:val="2"/>
          <w:u w:val="none"/>
          <w:shd w:fill="auto" w:val="clear"/>
          <w:vertAlign w:val="baseline"/>
        </w:rPr>
        <mc:AlternateContent>
          <mc:Choice Requires="wps">
            <w:drawing>
              <wp:anchor distT="0" distB="0" distL="0" distR="0" simplePos="0" relativeHeight="5" behindDoc="0" locked="0" layoutInCell="0" allowOverlap="1">
                <wp:simplePos x="0" y="0"/>
                <wp:positionH relativeFrom="page">
                  <wp:posOffset>282575</wp:posOffset>
                </wp:positionH>
                <wp:positionV relativeFrom="page">
                  <wp:posOffset>751840</wp:posOffset>
                </wp:positionV>
                <wp:extent cx="239395" cy="267970"/>
                <wp:effectExtent l="0" t="0" r="0" b="0"/>
                <wp:wrapNone/>
                <wp:docPr id="3" name="Shape 8"/>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118</w:t>
                            </w:r>
                          </w:p>
                        </w:txbxContent>
                      </wps:txbx>
                      <wps:bodyPr lIns="0" tIns="0" rIns="0" bIns="0" anchor="t">
                        <a:noAutofit/>
                      </wps:bodyPr>
                    </wps:wsp>
                  </a:graphicData>
                </a:graphic>
              </wp:anchor>
            </w:drawing>
          </mc:Choice>
          <mc:Fallback>
            <w:pict>
              <v:rect id="shape_0" stroked="f" o:allowincell="f" style="position:absolute;margin-left:22.2pt;margin-top:59.2pt;width:18.8pt;height:21.05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118</w:t>
                      </w:r>
                    </w:p>
                  </w:txbxContent>
                </v:textbox>
                <w10:wrap type="none"/>
              </v:rect>
            </w:pict>
          </mc:Fallback>
        </mc:AlternateContent>
        <mc:AlternateContent>
          <mc:Choice Requires="wps">
            <w:drawing>
              <wp:anchor distT="0" distB="0" distL="0" distR="0" simplePos="0" relativeHeight="9" behindDoc="0" locked="0" layoutInCell="0" allowOverlap="1">
                <wp:simplePos x="0" y="0"/>
                <wp:positionH relativeFrom="page">
                  <wp:posOffset>371475</wp:posOffset>
                </wp:positionH>
                <wp:positionV relativeFrom="page">
                  <wp:posOffset>-2451735</wp:posOffset>
                </wp:positionV>
                <wp:extent cx="151765" cy="4641215"/>
                <wp:effectExtent l="0" t="0" r="0" b="0"/>
                <wp:wrapNone/>
                <wp:docPr id="4" name="Shape 2"/>
                <a:graphic xmlns:a="http://schemas.openxmlformats.org/drawingml/2006/main">
                  <a:graphicData uri="http://schemas.microsoft.com/office/word/2010/wordprocessingShape">
                    <wps:wsp>
                      <wps:cNvSpPr/>
                      <wps:spPr>
                        <a:xfrm rot="5400000">
                          <a:off x="0" y="0"/>
                          <a:ext cx="151920" cy="464112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6D6E71"/>
                                <w:position w:val="0"/>
                                <w:sz w:val="16"/>
                                <w:vertAlign w:val="baseline"/>
                              </w:rPr>
                              <w:t>Panduan Penyusunan Kurikulum Pendidikan Tinggi Mendukung Merdeka Belajar-Kampus Merdeka Menuju Indonesia Emas</w:t>
                            </w:r>
                          </w:p>
                        </w:txbxContent>
                      </wps:txbx>
                      <wps:bodyPr lIns="0" tIns="0" rIns="0" bIns="0" anchor="t">
                        <a:noAutofit/>
                      </wps:bodyPr>
                    </wps:wsp>
                  </a:graphicData>
                </a:graphic>
              </wp:anchor>
            </w:drawing>
          </mc:Choice>
          <mc:Fallback>
            <w:pict>
              <v:rect id="shape_0" stroked="f" o:allowincell="f" style="position:absolute;margin-left:29.25pt;margin-top:-193.1pt;width:11.9pt;height:365.4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6D6E71"/>
                          <w:position w:val="0"/>
                          <w:sz w:val="16"/>
                          <w:vertAlign w:val="baseline"/>
                        </w:rPr>
                        <w:t>Panduan Penyusunan Kurikulum Pendidikan Tinggi Mendukung Merdeka Belajar-Kampus Merdeka Menuju Indonesia Emas</w:t>
                      </w:r>
                    </w:p>
                  </w:txbxContent>
                </v:textbox>
                <w10:wrap type="none"/>
              </v:rect>
            </w:pict>
          </mc:Fallback>
        </mc:AlternateContent>
        <mc:AlternateContent>
          <mc:Choice Requires="wpg">
            <w:drawing>
              <wp:anchor distT="0" distB="0" distL="0" distR="0" simplePos="0" relativeHeight="13" behindDoc="0" locked="0" layoutInCell="0" allowOverlap="1">
                <wp:simplePos x="0" y="0"/>
                <wp:positionH relativeFrom="page">
                  <wp:posOffset>185420</wp:posOffset>
                </wp:positionH>
                <wp:positionV relativeFrom="page">
                  <wp:posOffset>720090</wp:posOffset>
                </wp:positionV>
                <wp:extent cx="387985" cy="5940425"/>
                <wp:effectExtent l="0" t="5715" r="6985" b="6985"/>
                <wp:wrapNone/>
                <wp:docPr id="5" name="Shape1"/>
                <a:graphic xmlns:a="http://schemas.openxmlformats.org/drawingml/2006/main">
                  <a:graphicData uri="http://schemas.microsoft.com/office/word/2010/wordprocessingGroup">
                    <wpg:wgp>
                      <wpg:cNvGrpSpPr/>
                      <wpg:grpSpPr>
                        <a:xfrm>
                          <a:off x="0" y="0"/>
                          <a:ext cx="388080" cy="5940360"/>
                          <a:chOff x="0" y="0"/>
                          <a:chExt cx="388080" cy="5940360"/>
                        </a:xfrm>
                      </wpg:grpSpPr>
                      <wpg:grpSp>
                        <wpg:cNvGrpSpPr/>
                        <wpg:grpSpPr>
                          <a:xfrm>
                            <a:off x="0" y="0"/>
                            <a:ext cx="388080" cy="5940360"/>
                          </a:xfrm>
                        </wpg:grpSpPr>
                        <wps:wsp>
                          <wps:cNvPr id="6" name="Shape 4"/>
                          <wps:cNvSpPr/>
                          <wps:spPr>
                            <a:xfrm>
                              <a:off x="0" y="720"/>
                              <a:ext cx="385920" cy="593712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91440" bIns="91440" anchor="ctr">
                            <a:noAutofit/>
                          </wps:bodyPr>
                        </wps:wsp>
                        <pic:pic xmlns:pic="http://schemas.openxmlformats.org/drawingml/2006/picture">
                          <pic:nvPicPr>
                            <pic:cNvPr id="7" name="Shape 5"/>
                            <pic:cNvPicPr/>
                          </pic:nvPicPr>
                          <pic:blipFill>
                            <a:blip r:embed="rId5"/>
                            <a:stretch/>
                          </pic:blipFill>
                          <pic:spPr>
                            <a:xfrm>
                              <a:off x="0" y="0"/>
                              <a:ext cx="387360" cy="397440"/>
                            </a:xfrm>
                            <a:prstGeom prst="rect">
                              <a:avLst/>
                            </a:prstGeom>
                            <a:noFill/>
                            <a:ln w="0">
                              <a:noFill/>
                            </a:ln>
                          </pic:spPr>
                        </pic:pic>
                        <wps:wsp>
                          <wps:cNvPr id="8" name=""/>
                          <wps:cNvSpPr/>
                          <wps:spPr>
                            <a:xfrm>
                              <a:off x="387360" y="720"/>
                              <a:ext cx="720" cy="5939640"/>
                            </a:xfrm>
                            <a:prstGeom prst="straightConnector1">
                              <a:avLst/>
                            </a:prstGeom>
                            <a:noFill/>
                            <a:ln w="12700">
                              <a:solidFill>
                                <a:srgbClr val="6D6E71"/>
                              </a:solidFill>
                              <a:round/>
                            </a:ln>
                          </wps:spPr>
                          <wps:style>
                            <a:lnRef idx="0"/>
                            <a:fillRef idx="0"/>
                            <a:effectRef idx="0"/>
                            <a:fontRef idx="minor"/>
                          </wps:style>
                          <wps:bodyPr/>
                        </wps:wsp>
                      </wpg:grpSp>
                    </wpg:wgp>
                  </a:graphicData>
                </a:graphic>
              </wp:anchor>
            </w:drawing>
          </mc:Choice>
          <mc:Fallback>
            <w:pict>
              <v:group id="shape_0" alt="Shape1" style="position:absolute;margin-left:14.6pt;margin-top:56.7pt;width:30.55pt;height:467.8pt" coordorigin="292,1134" coordsize="611,9356">
                <v:group id="shape_0" style="position:absolute;left:292;top:1134;width:611;height:9356">
                  <v:rect id="shape_0" stroked="f" o:allowincell="f" style="position:absolute;left:292;top:1135;width:607;height:9349;mso-wrap-style:none;v-text-anchor:middle;mso-position-horizontal-relative:page;mso-position-vertical-relative:page">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292;top:1134;width:609;height:625;mso-wrap-style:none;v-text-anchor:middle;mso-position-horizontal-relative:page;mso-position-vertical-relative:page" type="_x0000_t75">
                    <v:imagedata r:id="rId6"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02;top:1135;width:0;height:9353;mso-wrap-style:none;v-text-anchor:middle;mso-position-horizontal-relative:page;mso-position-vertical-relative:page" type="_x0000_t32" path="m0,0l-2147483648,-2147483647e">
                    <v:fill o:detectmouseclick="t" on="false"/>
                    <v:stroke color="#6d6e71" weight="12600" joinstyle="round" endcap="flat"/>
                    <w10:wrap type="none"/>
                  </v:shape>
                </v:group>
              </v:group>
            </w:pict>
          </mc:Fallback>
        </mc:AlternateContent>
      </w:r>
    </w:p>
    <w:tbl>
      <w:tblPr>
        <w:tblStyle w:val="Table3"/>
        <w:tblW w:w="14294" w:type="dxa"/>
        <w:jc w:val="start"/>
        <w:tblInd w:w="128" w:type="dxa"/>
        <w:tblLayout w:type="fixed"/>
        <w:tblCellMar>
          <w:top w:w="0" w:type="dxa"/>
          <w:start w:w="108" w:type="dxa"/>
          <w:bottom w:w="0" w:type="dxa"/>
          <w:end w:w="108" w:type="dxa"/>
        </w:tblCellMar>
        <w:tblLook w:val="0000"/>
      </w:tblPr>
      <w:tblGrid>
        <w:gridCol w:w="1798"/>
        <w:gridCol w:w="1030"/>
        <w:gridCol w:w="3472"/>
        <w:gridCol w:w="7994"/>
      </w:tblGrid>
      <w:tr>
        <w:trPr>
          <w:trHeight w:val="281" w:hRule="atLeast"/>
        </w:trPr>
        <w:tc>
          <w:tcPr>
            <w:tcW w:w="1798" w:type="dxa"/>
            <w:vMerge w:val="restart"/>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4502" w:type="dxa"/>
            <w:gridSpan w:val="2"/>
            <w:tcBorders>
              <w:top w:val="single" w:sz="4" w:space="0" w:color="231F20"/>
              <w:start w:val="single" w:sz="4" w:space="0" w:color="231F20"/>
              <w:bottom w:val="single" w:sz="4" w:space="0" w:color="231F20"/>
              <w:end w:val="single" w:sz="4" w:space="0" w:color="231F20"/>
            </w:tcBorders>
            <w:shd w:fill="D3D5D6" w:val="clear"/>
          </w:tcPr>
          <w:p>
            <w:pPr>
              <w:pStyle w:val="normal1"/>
              <w:keepNext w:val="false"/>
              <w:keepLines w:val="false"/>
              <w:widowControl w:val="false"/>
              <w:pBdr/>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Korelasi CPL terhadap Sub-CPMK</w:t>
            </w:r>
          </w:p>
        </w:tc>
        <w:tc>
          <w:tcPr>
            <w:tcW w:w="7994"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194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bl>
            <w:tblPr>
              <w:tblStyle w:val="Table2"/>
              <w:tblW w:w="7271" w:type="dxa"/>
              <w:jc w:val="start"/>
              <w:tblInd w:w="10" w:type="dxa"/>
              <w:tblLayout w:type="fixed"/>
              <w:tblCellMar>
                <w:top w:w="0" w:type="dxa"/>
                <w:start w:w="108" w:type="dxa"/>
                <w:bottom w:w="0" w:type="dxa"/>
                <w:end w:w="108" w:type="dxa"/>
              </w:tblCellMar>
              <w:tblLook w:val="0000"/>
            </w:tblPr>
            <w:tblGrid>
              <w:gridCol w:w="1006"/>
              <w:gridCol w:w="872"/>
              <w:gridCol w:w="874"/>
              <w:gridCol w:w="874"/>
              <w:gridCol w:w="828"/>
              <w:gridCol w:w="1567"/>
              <w:gridCol w:w="1250"/>
            </w:tblGrid>
            <w:tr>
              <w:trPr>
                <w:trHeight w:val="271" w:hRule="atLeast"/>
              </w:trPr>
              <w:tc>
                <w:tcPr>
                  <w:tcW w:w="1006"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Sub-CPMK</w:t>
                  </w:r>
                </w:p>
              </w:tc>
              <w:tc>
                <w:tcPr>
                  <w:tcW w:w="872"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CPL03</w:t>
                  </w:r>
                </w:p>
              </w:tc>
              <w:tc>
                <w:tcPr>
                  <w:tcW w:w="874"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CPL04</w:t>
                  </w:r>
                </w:p>
              </w:tc>
              <w:tc>
                <w:tcPr>
                  <w:tcW w:w="874"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CPL05</w:t>
                  </w:r>
                </w:p>
              </w:tc>
              <w:tc>
                <w:tcPr>
                  <w:tcW w:w="828"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CPL08</w:t>
                  </w:r>
                </w:p>
              </w:tc>
              <w:tc>
                <w:tcPr>
                  <w:tcW w:w="1567"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Bobot (%)</w:t>
                  </w:r>
                </w:p>
              </w:tc>
              <w:tc>
                <w:tcPr>
                  <w:tcW w:w="1250"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Jumlah Minggu</w:t>
                  </w:r>
                </w:p>
              </w:tc>
            </w:tr>
            <w:tr>
              <w:tc>
                <w:tcPr>
                  <w:tcW w:type="dxa" w:w="1006"/>
                </w:tcPr>
                <w:p>
                  <w:pPr>
                    <w:spacing w:before="40" w:after="40" w:line="252" w:lineRule="auto"/>
                    <w:jc w:val="left"/>
                  </w:pPr>
                  <w:r>
                    <w:rPr>
                      <w:rFonts w:ascii="Calibri" w:hAnsi="Calibri"/>
                      <w:b/>
                      <w:color w:val="000000"/>
                      <w:sz w:val="17"/>
                    </w:rPr>
                    <w:t>Sub-CPMK 1</w:t>
                  </w:r>
                </w:p>
              </w:tc>
              <w:tc>
                <w:tcPr>
                  <w:tcW w:type="dxa" w:w="872"/>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3%</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 2</w:t>
                  </w:r>
                </w:p>
              </w:tc>
              <w:tc>
                <w:tcPr>
                  <w:tcW w:type="dxa" w:w="872"/>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4%</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 3</w:t>
                  </w:r>
                </w:p>
              </w:tc>
              <w:tc>
                <w:tcPr>
                  <w:tcW w:type="dxa" w:w="872"/>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7%</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 4</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6%</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 5</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5%</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 6</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5%</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 7</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5%</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 8</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5%</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 9</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10%</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10</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8%</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11</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t>V</w:t>
                  </w:r>
                </w:p>
              </w:tc>
              <w:tc>
                <w:tcPr>
                  <w:tcW w:type="dxa" w:w="1567"/>
                </w:tcPr>
                <w:p>
                  <w:pPr>
                    <w:spacing w:before="40" w:after="40" w:line="252" w:lineRule="auto"/>
                    <w:jc w:val="center"/>
                  </w:pPr>
                  <w:r>
                    <w:rPr>
                      <w:rFonts w:ascii="Calibri" w:hAnsi="Calibri"/>
                      <w:b w:val="0"/>
                      <w:color w:val="000000"/>
                      <w:sz w:val="17"/>
                    </w:rPr>
                    <w:t>12%</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12 (UTS &amp; UAS)</w:t>
                  </w:r>
                </w:p>
              </w:tc>
              <w:tc>
                <w:tcPr>
                  <w:tcW w:type="dxa" w:w="872"/>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t>V</w:t>
                  </w:r>
                </w:p>
              </w:tc>
              <w:tc>
                <w:tcPr>
                  <w:tcW w:type="dxa" w:w="828"/>
                </w:tcPr>
                <w:p>
                  <w:pPr>
                    <w:spacing w:before="40" w:after="40" w:line="252" w:lineRule="auto"/>
                    <w:jc w:val="center"/>
                  </w:pPr>
                  <w:r>
                    <w:rPr>
                      <w:rFonts w:ascii="Calibri" w:hAnsi="Calibri"/>
                      <w:b w:val="0"/>
                      <w:color w:val="000000"/>
                      <w:sz w:val="17"/>
                    </w:rPr>
                    <w:t>V</w:t>
                  </w:r>
                </w:p>
              </w:tc>
              <w:tc>
                <w:tcPr>
                  <w:tcW w:type="dxa" w:w="1567"/>
                </w:tcPr>
                <w:p>
                  <w:pPr>
                    <w:spacing w:before="40" w:after="40" w:line="252" w:lineRule="auto"/>
                    <w:jc w:val="center"/>
                  </w:pPr>
                  <w:r>
                    <w:rPr>
                      <w:rFonts w:ascii="Calibri" w:hAnsi="Calibri"/>
                      <w:b w:val="0"/>
                      <w:color w:val="000000"/>
                      <w:sz w:val="17"/>
                    </w:rPr>
                    <w:t>30%</w:t>
                  </w:r>
                </w:p>
              </w:tc>
              <w:tc>
                <w:tcPr>
                  <w:tcW w:type="dxa" w:w="1250"/>
                </w:tcPr>
                <w:p>
                  <w:pPr>
                    <w:spacing w:before="40" w:after="40" w:line="252" w:lineRule="auto"/>
                    <w:jc w:val="center"/>
                  </w:pPr>
                  <w:r>
                    <w:rPr>
                      <w:rFonts w:ascii="Calibri" w:hAnsi="Calibri"/>
                      <w:b w:val="0"/>
                      <w:color w:val="000000"/>
                      <w:sz w:val="17"/>
                    </w:rPr>
                    <w:t>2</w:t>
                  </w:r>
                </w:p>
              </w:tc>
            </w:tr>
            <w:tr>
              <w:tc>
                <w:tcPr>
                  <w:tcW w:type="dxa" w:w="1006"/>
                  <w:shd w:fill="E8EEF5"/>
                </w:tcPr>
                <w:p>
                  <w:pPr>
                    <w:spacing w:before="40" w:after="40" w:line="252" w:lineRule="auto"/>
                    <w:jc w:val="left"/>
                  </w:pPr>
                  <w:r>
                    <w:rPr>
                      <w:rFonts w:ascii="Calibri" w:hAnsi="Calibri"/>
                      <w:b/>
                      <w:color w:val="000000"/>
                      <w:sz w:val="17"/>
                    </w:rPr>
                    <w:t>Total Bobot &amp; Alokasi Minggu</w:t>
                  </w:r>
                </w:p>
              </w:tc>
              <w:tc>
                <w:tcPr>
                  <w:tcW w:type="dxa" w:w="872"/>
                </w:tcPr>
                <w:p>
                  <w:r/>
                </w:p>
              </w:tc>
              <w:tc>
                <w:tcPr>
                  <w:tcW w:type="dxa" w:w="874"/>
                </w:tcPr>
                <w:p>
                  <w:r/>
                </w:p>
              </w:tc>
              <w:tc>
                <w:tcPr>
                  <w:tcW w:type="dxa" w:w="874"/>
                </w:tcPr>
                <w:p>
                  <w:r/>
                </w:p>
              </w:tc>
              <w:tc>
                <w:tcPr>
                  <w:tcW w:type="dxa" w:w="828"/>
                </w:tcPr>
                <w:p>
                  <w:r/>
                </w:p>
              </w:tc>
              <w:tc>
                <w:tcPr>
                  <w:tcW w:type="dxa" w:w="1567"/>
                  <w:shd w:fill="E8EEF5"/>
                </w:tcPr>
                <w:p>
                  <w:pPr>
                    <w:spacing w:before="40" w:after="40" w:line="252" w:lineRule="auto"/>
                    <w:jc w:val="center"/>
                  </w:pPr>
                  <w:r>
                    <w:rPr>
                      <w:rFonts w:ascii="Calibri" w:hAnsi="Calibri"/>
                      <w:b/>
                      <w:color w:val="000000"/>
                      <w:sz w:val="17"/>
                    </w:rPr>
                    <w:t>100%</w:t>
                  </w:r>
                </w:p>
              </w:tc>
              <w:tc>
                <w:tcPr>
                  <w:tcW w:type="dxa" w:w="1250"/>
                  <w:shd w:fill="E8EEF5"/>
                </w:tcPr>
                <w:p>
                  <w:pPr>
                    <w:spacing w:before="40" w:after="40" w:line="252" w:lineRule="auto"/>
                    <w:jc w:val="center"/>
                  </w:pPr>
                  <w:r>
                    <w:rPr>
                      <w:rFonts w:ascii="Calibri" w:hAnsi="Calibri"/>
                      <w:b/>
                      <w:color w:val="000000"/>
                      <w:sz w:val="17"/>
                    </w:rPr>
                    <w:t>16 Minggu</w:t>
                  </w:r>
                </w:p>
              </w:tc>
            </w:tr>
          </w:tbl>
          <w:p>
            <w:pPr>
              <w:pStyle w:val="Normal"/>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710"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Deskripsi Singkat MK</w:t>
            </w:r>
          </w:p>
        </w:tc>
        <w:tc>
          <w:tcPr>
            <w:tcW w:w="12496" w:type="dxa"/>
            <w:gridSpan w:val="3"/>
            <w:tcBorders>
              <w:top w:val="single" w:sz="4"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Mata kuliah Teknologi Internet of Thing (IF6801) membekali mahasiswa S1 Informatika dengan pemahaman teori mendalam dan keterampilan praktis komprehensif dalam merekayasa ekosistem Internet of Things (IoT) modern. Materi perkuliahan mencakup arsitektur 4-lapisan IoT, pemrograman sistem tertanam mikrokontroler modern (ESP32 SoC), interfacing aneka sensor/aktuator, protokol komunikasi bus (UART, I2C, SPI), serta jaringan nirkabel jarak pendek dan jarak jauh (Wi-Fi, Bluetooth Low Energy/BLE, dan LPWAN/LoRaWAN). Mahasiswa dilatih mengimplementasikan protokol perpesanan data telemetri hemat daya (MQTT, CoAP, HTTP REST, WebSocket), mengintegrasikan platform komputasi awan IoT (ThingsBoard, Firebase, Node-RED, InfluxDB/Grafana), menerapkan keamanan siber IoT (TLS/SSL, autentikasi berbasis token, pembaruan firmware nirkabel Over-The-Air/OTA), serta pengenalan komputasi tepi (Edge AI / TinyML). Perkuliahan menitikberatkan pada Project-Based Learning berbasis studi kasus nyata (Smart Agriculture, Smart Environment, Smart Home, Industrial IoT).</w:t>
            </w:r>
          </w:p>
        </w:tc>
      </w:tr>
      <w:tr>
        <w:trPr>
          <w:trHeight w:val="2004" w:hRule="atLeast"/>
        </w:trPr>
        <w:tc>
          <w:tcPr>
            <w:tcW w:w="1798" w:type="dxa"/>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Bahan Kajian:</w:t>
            </w:r>
          </w:p>
          <w:p>
            <w:pPr>
              <w:pStyle w:val="normal1"/>
              <w:keepNext w:val="false"/>
              <w:keepLines w:val="false"/>
              <w:widowControl w:val="false"/>
              <w:pBdr/>
              <w:shd w:val="clear" w:fill="auto"/>
              <w:spacing w:lineRule="auto" w:line="240" w:before="9" w:after="0"/>
              <w:ind w:hanging="0" w:start="77"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231F20"/>
                <w:position w:val="0"/>
                <w:sz w:val="18"/>
                <w:szCs w:val="18"/>
                <w:u w:val="none"/>
                <w:shd w:fill="auto" w:val="clear"/>
                <w:vertAlign w:val="baseline"/>
              </w:rPr>
              <w:t>Materi pembelajaran</w:t>
            </w:r>
          </w:p>
        </w:tc>
        <w:tc>
          <w:tcPr>
            <w:tcW w:w="12496" w:type="dxa"/>
            <w:gridSpan w:val="3"/>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1. Pengantar Ekosistem Internet of Things (IoT), Arsitektur Referensi 4-Lapisan, &amp; Tren Industri 4.0</w:t>
              <w:br/>
              <w:t>2. Arsitektur Mikrokontroler IoT (ESP32 SoC Architecture), GPIO, Interfacing Analog ADC/DAC, &amp; PWM</w:t>
              <w:br/>
              <w:t>3. Protokol Bus Komunikasi Periferal Sensor: UART Serial, I2C Bus Protocol, &amp; SPI High-Speed Bus</w:t>
              <w:br/>
              <w:t>4. Jaringan Nirkabel Jarak Pendek: Wi-Fi Networking (Station vs SoftAP) &amp; Bluetooth Low Energy (BLE Services/Characteristics)</w:t>
              <w:br/>
              <w:t>5. Jaringan Nirkabel Jarak Jauh Berdaya Rendah (LPWAN): Karakteristik Radio LoRa &amp; Arsitektur LoRaWAN Gateway</w:t>
              <w:br/>
              <w:t>6. Protokol Komunikasi Telemetri IoT: MQTT Broker Architecture, Topic Structure, &amp; Quality of Service (QoS)</w:t>
              <w:br/>
              <w:t>7. Protokol Ringan CoAP (Constrained Application Protocol), HTTP REST, &amp; WebSockets untuk Data Sensor Real-Time</w:t>
              <w:br/>
              <w:t>8. Pemrosesan Data Event-Driven &amp; Integrasi Middleware menggunakan Node-RED Flow Engine</w:t>
              <w:br/>
              <w:t>9. Platform Komputasi Awan IoT: Arsitektur ThingsBoard (Rule Engine, Device Provisioning) &amp; Firebase</w:t>
              <w:br/>
              <w:t>10. Manajemen Data Sensor Time-Series: InfluxDB Database &amp; Visualisasi Dashboard Interaktif Grafana</w:t>
              <w:br/>
              <w:t>11. Keamanan Siber IoT: Enkripsi Komunikasi Data (MQTTS/HTTPS via TLS), Token Autentikasi, &amp; Secure Boot</w:t>
              <w:br/>
              <w:t>12. Pembaruan Firmware Nirkabel: Over-The-Air (OTA) Updates &amp; Manajemen Daya Rendah (Deep Sleep Mode)</w:t>
              <w:br/>
              <w:t>13. Pengenalan Edge Computing &amp; TinyML: Inferensi Kecerdasan Buatan pada Mikrokontroler ESP32</w:t>
              <w:br/>
              <w:t>14. Perancangan &amp; Integrasi Purwarupa Produk Cerdas IoT Terpadu Berbasis Studi Kasus Nyata</w:t>
            </w:r>
          </w:p>
        </w:tc>
      </w:tr>
      <w:tr>
        <w:trPr>
          <w:trHeight w:val="278" w:hRule="atLeast"/>
        </w:trPr>
        <w:tc>
          <w:tcPr>
            <w:tcW w:w="1798" w:type="dxa"/>
            <w:vMerge w:val="restart"/>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Pustaka</w:t>
            </w:r>
          </w:p>
        </w:tc>
        <w:tc>
          <w:tcPr>
            <w:tcW w:w="1030" w:type="dxa"/>
            <w:tcBorders>
              <w:top w:val="single" w:sz="4" w:space="0" w:color="231F20"/>
              <w:start w:val="single" w:sz="4" w:space="0" w:color="231F20"/>
              <w:bottom w:val="single" w:sz="4" w:space="0" w:color="231F20"/>
              <w:end w:val="single" w:sz="4" w:space="0" w:color="231F20"/>
            </w:tcBorders>
            <w:shd w:fill="E0E1E2"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Utama:</w:t>
            </w:r>
          </w:p>
        </w:tc>
        <w:tc>
          <w:tcPr>
            <w:tcW w:w="11466" w:type="dxa"/>
            <w:gridSpan w:val="2"/>
            <w:tcBorders>
              <w:top w:val="single" w:sz="6" w:space="0" w:color="231F20"/>
              <w:start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136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start w:val="single" w:sz="4" w:space="0" w:color="231F20"/>
              <w:end w:val="single" w:sz="4" w:space="0" w:color="231F20"/>
            </w:tcBorders>
          </w:tcPr>
          <w:p>
            <w:pPr>
              <w:spacing w:before="40" w:after="40" w:line="252" w:lineRule="auto"/>
              <w:jc w:val="left"/>
            </w:pPr>
            <w:r>
              <w:rPr>
                <w:rFonts w:ascii="Calibri" w:hAnsi="Calibri"/>
                <w:b w:val="0"/>
                <w:color w:val="000000"/>
                <w:sz w:val="18"/>
              </w:rPr>
              <w:t>[1] 1. Hanes, D., Salgueiro, G., Grossetete, P., Barton, R., &amp; Henry, J. (2017). IoT Fundamentals: Networking Technologies, Protocols, and Use Cases for the Internet of Things. Cisco Press.</w:t>
              <w:br/>
              <w:t>[2] 2. Buyya, R., &amp; Dastjerdi, A. V. (2016). Internet of Things: Principles and Paradigms. Morgan Kaufmann / Elsevier.</w:t>
              <w:br/>
              <w:t>[3] 3. Lea, P. (2020). Internet of Things for Architects: Architecting IoT solutions by implementing sensors, communication infrastructure, edge computing, and cloud systems. Packt Publishing.</w:t>
            </w:r>
          </w:p>
        </w:tc>
      </w:tr>
      <w:tr>
        <w:trPr>
          <w:trHeight w:val="28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0" w:type="dxa"/>
            <w:tcBorders>
              <w:top w:val="single" w:sz="4" w:space="0" w:color="231F20"/>
              <w:start w:val="single" w:sz="4" w:space="0" w:color="231F20"/>
              <w:bottom w:val="single" w:sz="4" w:space="0" w:color="231F20"/>
              <w:end w:val="single" w:sz="4" w:space="0" w:color="231F20"/>
            </w:tcBorders>
            <w:shd w:fill="E0E1E2" w:val="clear"/>
          </w:tcPr>
          <w:p>
            <w:pPr>
              <w:pStyle w:val="normal1"/>
              <w:keepNext w:val="false"/>
              <w:keepLines w:val="false"/>
              <w:widowControl w:val="false"/>
              <w:pBdr/>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Pendukung:</w:t>
            </w:r>
          </w:p>
        </w:tc>
        <w:tc>
          <w:tcPr>
            <w:tcW w:w="11466" w:type="dxa"/>
            <w:gridSpan w:val="2"/>
            <w:tcBorders>
              <w:start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710"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[1] 1. Schwartz, M. (2018). Internet of Things with ESP32. Packt Publishing.</w:t>
              <w:br/>
              <w:t>[2] 2. Warden, P., &amp; Situnayake, D. (2019). TinyML: Machine Learning with TensorFlow Lite on Arduino and Ultra-Low-Power Microcontrollers. O'Reilly Media.</w:t>
              <w:br/>
              <w:t>[3] 3. Al-Sarawi, S., Anbar, M., Alieyan, K., &amp; Alzubi, M. (2017). Internet of Things (IoT) communication protocols: Review. IEEE 8th International Conference on Information Technology.</w:t>
              <w:br/>
              <w:t>[4] 4. IEEE Internet of Things Journal &amp; ACM Transactions on Sensor Networks terkini.</w:t>
            </w:r>
          </w:p>
        </w:tc>
      </w:tr>
      <w:tr>
        <w:trPr>
          <w:trHeight w:val="276"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Dosen Pengampu</w:t>
            </w:r>
          </w:p>
        </w:tc>
        <w:tc>
          <w:tcPr>
            <w:tcW w:w="12496" w:type="dxa"/>
            <w:gridSpan w:val="3"/>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Fitroh Amaluddin, M.Kom.</w:t>
            </w:r>
          </w:p>
        </w:tc>
      </w:tr>
      <w:tr>
        <w:trPr>
          <w:trHeight w:val="276"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Matakuliah syarat</w:t>
            </w:r>
          </w:p>
        </w:tc>
        <w:tc>
          <w:tcPr>
            <w:tcW w:w="12496" w:type="dxa"/>
            <w:gridSpan w:val="3"/>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IF240224 Jaringan Komputer / Sistem Operasi</w:t>
            </w:r>
          </w:p>
        </w:tc>
      </w:tr>
    </w:tbl>
    <w:p>
      <w:pPr>
        <w:sectPr>
          <w:footerReference w:type="even" r:id="rId7"/>
          <w:footerReference w:type="default" r:id="rId8"/>
          <w:footerReference w:type="first" r:id="rId9"/>
          <w:type w:val="nextPage"/>
          <w:pgSz w:orient="landscape" w:w="16838" w:h="11906"/>
          <w:pgMar w:left="1020" w:right="1280" w:gutter="0" w:header="0" w:top="1100" w:footer="0" w:bottom="280"/>
          <w:pgNumType w:fmt="decimal"/>
          <w:formProt w:val="false"/>
          <w:textDirection w:val="lrTb"/>
          <w:docGrid w:type="default" w:linePitch="100" w:charSpace="0"/>
        </w:sectPr>
      </w:pPr>
      <w:r>
        <w:br w:type="page"/>
      </w:r>
    </w:p>
    <w:p>
      <w:pPr>
        <w:pStyle w:val="normal1"/>
        <w:keepNext w:val="false"/>
        <w:keepLines w:val="false"/>
        <w:pageBreakBefore w:val="false"/>
        <w:widowControl w:val="false"/>
        <w:pBdr/>
        <w:shd w:val="clear" w:fill="auto"/>
        <w:spacing w:lineRule="auto" w:line="240" w:before="1" w:after="0"/>
        <w:ind w:hanging="0" w:start="0" w:end="0"/>
        <w:jc w:val="start"/>
        <w:rPr>
          <w:rFonts w:ascii="Arial" w:hAnsi="Arial" w:eastAsia="Arial" w:cs="Arial"/>
          <w:b/>
          <w:bCs/>
          <w:i w:val="false"/>
          <w:iCs w:val="false"/>
          <w:caps w:val="false"/>
          <w:smallCaps w:val="false"/>
          <w:strike w:val="false"/>
          <w:dstrike w:val="false"/>
          <w:color w:val="000000"/>
          <w:position w:val="0"/>
          <w:sz w:val="27"/>
          <w:szCs w:val="27"/>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7"/>
          <w:szCs w:val="27"/>
          <w:u w:val="none"/>
          <w:shd w:fill="auto" w:val="clear"/>
          <w:vertAlign w:val="baseline"/>
        </w:rPr>
        <mc:AlternateContent>
          <mc:Choice Requires="wps">
            <w:drawing>
              <wp:anchor distT="0" distB="0" distL="0" distR="0" simplePos="0" relativeHeight="11" behindDoc="0" locked="0" layoutInCell="0" allowOverlap="1">
                <wp:simplePos x="0" y="0"/>
                <wp:positionH relativeFrom="page">
                  <wp:posOffset>282575</wp:posOffset>
                </wp:positionH>
                <wp:positionV relativeFrom="page">
                  <wp:posOffset>6494780</wp:posOffset>
                </wp:positionV>
                <wp:extent cx="239395" cy="267970"/>
                <wp:effectExtent l="0" t="0" r="0" b="0"/>
                <wp:wrapNone/>
                <wp:docPr id="9" name="Shape 9"/>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119</w:t>
                            </w:r>
                          </w:p>
                        </w:txbxContent>
                      </wps:txbx>
                      <wps:bodyPr lIns="0" tIns="0" rIns="0" bIns="0" anchor="t">
                        <a:noAutofit/>
                      </wps:bodyPr>
                    </wps:wsp>
                  </a:graphicData>
                </a:graphic>
              </wp:anchor>
            </w:drawing>
          </mc:Choice>
          <mc:Fallback>
            <w:pict>
              <v:rect id="shape_0" stroked="f" o:allowincell="f" style="position:absolute;margin-left:22.2pt;margin-top:511.4pt;width:18.8pt;height:21.05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119</w:t>
                      </w:r>
                    </w:p>
                  </w:txbxContent>
                </v:textbox>
                <w10:wrap type="none"/>
              </v:rect>
            </w:pict>
          </mc:Fallback>
        </mc:AlternateContent>
      </w:r>
    </w:p>
    <w:tbl>
      <w:tblPr>
        <w:tblStyle w:val="Table4"/>
        <w:tblW w:w="14295" w:type="dxa"/>
        <w:jc w:val="start"/>
        <w:tblInd w:w="128" w:type="dxa"/>
        <w:tblLayout w:type="fixed"/>
        <w:tblCellMar>
          <w:top w:w="0" w:type="dxa"/>
          <w:start w:w="108" w:type="dxa"/>
          <w:bottom w:w="0" w:type="dxa"/>
          <w:end w:w="108" w:type="dxa"/>
        </w:tblCellMar>
        <w:tblLook w:val="0000"/>
      </w:tblPr>
      <w:tblGrid>
        <w:gridCol w:w="547"/>
        <w:gridCol w:w="2283"/>
        <w:gridCol w:w="1843"/>
        <w:gridCol w:w="1629"/>
        <w:gridCol w:w="1677"/>
        <w:gridCol w:w="1998"/>
        <w:gridCol w:w="3058"/>
        <w:gridCol w:w="1260"/>
      </w:tblGrid>
      <w:tr>
        <w:trPr>
          <w:trHeight w:val="281" w:hRule="atLeast"/>
        </w:trPr>
        <w:tc>
          <w:tcPr>
            <w:tcW w:w="547"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145" w:after="0"/>
              <w:ind w:firstLine="12" w:start="155" w:end="143"/>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Mg Ke-</w:t>
            </w:r>
          </w:p>
        </w:tc>
        <w:tc>
          <w:tcPr>
            <w:tcW w:w="2283"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145" w:after="0"/>
              <w:ind w:firstLine="98" w:start="250" w:end="201"/>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Kemampuan akhir tiap tahapan belajar (CPMK) </w:t>
            </w:r>
          </w:p>
        </w:tc>
        <w:tc>
          <w:tcPr>
            <w:tcW w:w="3472" w:type="dxa"/>
            <w:gridSpan w:val="2"/>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1359" w:end="135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Penilaian</w:t>
            </w:r>
          </w:p>
        </w:tc>
        <w:tc>
          <w:tcPr>
            <w:tcW w:w="3675" w:type="dxa"/>
            <w:gridSpan w:val="2"/>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202" w:end="19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Bantuk Pembelajaran;</w:t>
            </w:r>
          </w:p>
          <w:p>
            <w:pPr>
              <w:pStyle w:val="normal1"/>
              <w:keepNext w:val="false"/>
              <w:keepLines w:val="false"/>
              <w:widowControl w:val="false"/>
              <w:pBdr/>
              <w:shd w:val="clear" w:fill="auto"/>
              <w:spacing w:lineRule="auto" w:line="250" w:before="9" w:after="0"/>
              <w:ind w:hanging="0" w:start="204" w:end="19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Metode Pembelajaran; Penugasan Mahasiswa; </w:t>
            </w:r>
            <w:r>
              <w:rPr>
                <w:rFonts w:eastAsia="Arial" w:cs="Arial" w:ascii="Arial" w:hAnsi="Arial"/>
                <w:b/>
                <w:bCs/>
                <w:i w:val="false"/>
                <w:iCs w:val="false"/>
                <w:caps w:val="false"/>
                <w:smallCaps w:val="false"/>
                <w:strike w:val="false"/>
                <w:dstrike w:val="false"/>
                <w:color w:val="3A53A4"/>
                <w:position w:val="0"/>
                <w:sz w:val="18"/>
                <w:szCs w:val="18"/>
                <w:u w:val="none"/>
                <w:shd w:fill="auto" w:val="clear"/>
                <w:vertAlign w:val="baseline"/>
              </w:rPr>
              <w:t>[Estimasi Waktu]</w:t>
            </w:r>
          </w:p>
        </w:tc>
        <w:tc>
          <w:tcPr>
            <w:tcW w:w="3058"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37" w:after="0"/>
              <w:ind w:hanging="386" w:start="1195" w:end="19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Materi Pembelajaran </w:t>
            </w:r>
            <w:r>
              <w:rPr>
                <w:rFonts w:eastAsia="Arial" w:cs="Arial" w:ascii="Arial" w:hAnsi="Arial"/>
                <w:b/>
                <w:bCs/>
                <w:i w:val="false"/>
                <w:iCs w:val="false"/>
                <w:caps w:val="false"/>
                <w:smallCaps w:val="false"/>
                <w:strike w:val="false"/>
                <w:dstrike w:val="false"/>
                <w:color w:val="3A53A4"/>
                <w:position w:val="0"/>
                <w:sz w:val="18"/>
                <w:szCs w:val="18"/>
                <w:u w:val="none"/>
                <w:shd w:fill="auto" w:val="clear"/>
                <w:vertAlign w:val="baseline"/>
              </w:rPr>
              <w:t>[Pustaka]</w:t>
            </w:r>
          </w:p>
        </w:tc>
        <w:tc>
          <w:tcPr>
            <w:tcW w:w="1260"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145" w:after="0"/>
              <w:ind w:firstLine="246" w:start="171"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Bobot Penilaian (%)</w:t>
            </w:r>
          </w:p>
        </w:tc>
      </w:tr>
      <w:tr>
        <w:trPr>
          <w:trHeight w:val="421" w:hRule="atLeast"/>
        </w:trPr>
        <w:tc>
          <w:tcPr>
            <w:tcW w:w="547"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2283"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843"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07" w:after="0"/>
              <w:ind w:hanging="0" w:start="558" w:end="5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Indikator</w:t>
            </w:r>
          </w:p>
        </w:tc>
        <w:tc>
          <w:tcPr>
            <w:tcW w:w="1629"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07" w:after="0"/>
              <w:ind w:hanging="0" w:start="217" w:end="209"/>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Teknik &amp; Kriteria</w:t>
            </w:r>
          </w:p>
        </w:tc>
        <w:tc>
          <w:tcPr>
            <w:tcW w:w="3675" w:type="dxa"/>
            <w:gridSpan w:val="2"/>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3058"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260"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r>
      <w:tr>
        <w:trPr>
          <w:trHeight w:val="281" w:hRule="atLeast"/>
        </w:trPr>
        <w:tc>
          <w:tcPr>
            <w:tcW w:w="54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(1)</w:t>
            </w:r>
          </w:p>
        </w:tc>
        <w:tc>
          <w:tcPr>
            <w:tcW w:w="2283"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0" w:end="1012"/>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(2)</w:t>
            </w:r>
          </w:p>
        </w:tc>
        <w:tc>
          <w:tcPr>
            <w:tcW w:w="1843" w:type="dxa"/>
            <w:tcBorders>
              <w:top w:val="single" w:sz="4" w:space="0" w:color="231F20"/>
              <w:start w:val="single" w:sz="4" w:space="0" w:color="231F20"/>
              <w:bottom w:val="single" w:sz="4" w:space="0" w:color="00000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558" w:end="5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(3)</w:t>
            </w:r>
          </w:p>
        </w:tc>
        <w:tc>
          <w:tcPr>
            <w:tcW w:w="1629"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217" w:end="209"/>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(4)</w:t>
            </w:r>
          </w:p>
        </w:tc>
        <w:tc>
          <w:tcPr>
            <w:tcW w:w="167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49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Luring (5)</w:t>
            </w:r>
          </w:p>
        </w:tc>
        <w:tc>
          <w:tcPr>
            <w:tcW w:w="1998"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654"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Daring (6)</w:t>
            </w:r>
          </w:p>
        </w:tc>
        <w:tc>
          <w:tcPr>
            <w:tcW w:w="3058"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1060" w:end="10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(7)</w:t>
            </w:r>
          </w:p>
        </w:tc>
        <w:tc>
          <w:tcPr>
            <w:tcW w:w="1260"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74" w:end="6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(8)</w:t>
            </w:r>
          </w:p>
        </w:tc>
      </w:tr>
      <w:tr>
        <w:tc>
          <w:tcPr>
            <w:tcW w:type="dxa" w:w="547"/>
          </w:tcPr>
          <w:p>
            <w:pPr>
              <w:spacing w:before="40" w:after="40" w:line="252" w:lineRule="auto"/>
              <w:jc w:val="center"/>
            </w:pPr>
            <w:r>
              <w:rPr>
                <w:rFonts w:ascii="Calibri" w:hAnsi="Calibri"/>
                <w:b/>
                <w:color w:val="000000"/>
                <w:sz w:val="17"/>
              </w:rPr>
              <w:t>1</w:t>
            </w:r>
          </w:p>
        </w:tc>
        <w:tc>
          <w:tcPr>
            <w:tcW w:type="dxa" w:w="2283"/>
          </w:tcPr>
          <w:p>
            <w:pPr>
              <w:spacing w:before="40" w:after="40" w:line="252" w:lineRule="auto"/>
              <w:jc w:val="left"/>
            </w:pPr>
            <w:r>
              <w:rPr>
                <w:rFonts w:ascii="Calibri" w:hAnsi="Calibri"/>
                <w:b/>
                <w:color w:val="000000"/>
                <w:sz w:val="17"/>
              </w:rPr>
              <w:t>Sub-CPMK 1: Mampu menjelaskan definisi, evolusi, arsitektur 4-layer IoT, dan studi kasus industri 4.0 [C2]</w:t>
            </w:r>
          </w:p>
        </w:tc>
        <w:tc>
          <w:tcPr>
            <w:tcW w:type="dxa" w:w="1843"/>
          </w:tcPr>
          <w:p>
            <w:pPr>
              <w:spacing w:before="40" w:after="40" w:line="252" w:lineRule="auto"/>
              <w:jc w:val="left"/>
            </w:pPr>
            <w:r>
              <w:rPr>
                <w:rFonts w:ascii="Calibri" w:hAnsi="Calibri"/>
                <w:b w:val="0"/>
                <w:color w:val="000000"/>
                <w:sz w:val="17"/>
              </w:rPr>
              <w:t>Ketepatan menjelaskan komponen ekosistem IoT, membedakan lapisan persepsi, jaringan, middleware, dan aplikasi, serta mengidentifikasi peluang implementasi IoT di lingkungan sekitar</w:t>
            </w:r>
          </w:p>
        </w:tc>
        <w:tc>
          <w:tcPr>
            <w:tcW w:type="dxa" w:w="1629"/>
          </w:tcPr>
          <w:p>
            <w:pPr>
              <w:spacing w:before="40" w:after="40" w:line="252" w:lineRule="auto"/>
              <w:jc w:val="left"/>
            </w:pPr>
            <w:r>
              <w:rPr>
                <w:rFonts w:ascii="Calibri" w:hAnsi="Calibri"/>
                <w:b w:val="0"/>
                <w:color w:val="000000"/>
                <w:sz w:val="17"/>
              </w:rPr>
              <w:t>Kriteria: Kejelasan konsep &amp; penalaran; Teknik: Kuis interaktif &amp; Diskusi kelas</w:t>
            </w:r>
          </w:p>
        </w:tc>
        <w:tc>
          <w:tcPr>
            <w:tcW w:type="dxa" w:w="1677"/>
          </w:tcPr>
          <w:p>
            <w:pPr>
              <w:spacing w:before="40" w:after="40" w:line="252" w:lineRule="auto"/>
              <w:jc w:val="left"/>
            </w:pPr>
            <w:r>
              <w:rPr>
                <w:rFonts w:ascii="Calibri" w:hAnsi="Calibri"/>
                <w:b w:val="0"/>
                <w:color w:val="000000"/>
                <w:sz w:val="17"/>
              </w:rPr>
              <w:t>Kuliah interaktif, Diskusi Kelompok, Eksplorasi Ekosistem IoT dan Studi Kasus Smart Agriculture/Smart City Tuban (PB: 3x50'; PT: 3x60'; BM: 3x60')</w:t>
            </w:r>
          </w:p>
        </w:tc>
        <w:tc>
          <w:tcPr>
            <w:tcW w:type="dxa" w:w="1998"/>
          </w:tcPr>
          <w:p>
            <w:pPr>
              <w:spacing w:before="40" w:after="40" w:line="252" w:lineRule="auto"/>
              <w:jc w:val="left"/>
            </w:pPr>
            <w:r>
              <w:rPr>
                <w:rFonts w:ascii="Calibri" w:hAnsi="Calibri"/>
                <w:b w:val="0"/>
                <w:color w:val="000000"/>
                <w:sz w:val="17"/>
              </w:rPr>
              <w:t>Mempelajari modul RPS-01, video arsitektur IoT, forum diskusi di LMS UNIROW</w:t>
            </w:r>
          </w:p>
        </w:tc>
        <w:tc>
          <w:tcPr>
            <w:tcW w:type="dxa" w:w="3058"/>
          </w:tcPr>
          <w:p>
            <w:pPr>
              <w:spacing w:before="40" w:after="40" w:line="252" w:lineRule="auto"/>
              <w:jc w:val="left"/>
            </w:pPr>
            <w:r>
              <w:rPr>
                <w:rFonts w:ascii="Calibri" w:hAnsi="Calibri"/>
                <w:b w:val="0"/>
                <w:color w:val="000000"/>
                <w:sz w:val="17"/>
              </w:rPr>
              <w:t>Pengenalan IoT, Karakteristik M2M vs IoT, Arsitektur 4 Lapisan, Tantangan IoT (Bandwidth, Power, Security) (Hanes Bab 1-2, Buyya Bab 1)</w:t>
            </w:r>
          </w:p>
        </w:tc>
        <w:tc>
          <w:tcPr>
            <w:tcW w:type="dxa" w:w="1260"/>
          </w:tcPr>
          <w:p>
            <w:pPr>
              <w:spacing w:before="40" w:after="40" w:line="252" w:lineRule="auto"/>
              <w:jc w:val="center"/>
            </w:pPr>
            <w:r>
              <w:rPr>
                <w:rFonts w:ascii="Calibri" w:hAnsi="Calibri"/>
                <w:b/>
                <w:color w:val="000000"/>
                <w:sz w:val="17"/>
              </w:rPr>
              <w:t>3%</w:t>
            </w:r>
          </w:p>
        </w:tc>
      </w:tr>
      <w:tr>
        <w:tc>
          <w:tcPr>
            <w:tcW w:type="dxa" w:w="547"/>
          </w:tcPr>
          <w:p>
            <w:pPr>
              <w:spacing w:before="40" w:after="40" w:line="252" w:lineRule="auto"/>
              <w:jc w:val="center"/>
            </w:pPr>
            <w:r>
              <w:rPr>
                <w:rFonts w:ascii="Calibri" w:hAnsi="Calibri"/>
                <w:b/>
                <w:color w:val="000000"/>
                <w:sz w:val="17"/>
              </w:rPr>
              <w:t>2</w:t>
            </w:r>
          </w:p>
        </w:tc>
        <w:tc>
          <w:tcPr>
            <w:tcW w:type="dxa" w:w="2283"/>
          </w:tcPr>
          <w:p>
            <w:pPr>
              <w:spacing w:before="40" w:after="40" w:line="252" w:lineRule="auto"/>
              <w:jc w:val="left"/>
            </w:pPr>
            <w:r>
              <w:rPr>
                <w:rFonts w:ascii="Calibri" w:hAnsi="Calibri"/>
                <w:b/>
                <w:color w:val="000000"/>
                <w:sz w:val="17"/>
              </w:rPr>
              <w:t>Sub-CPMK 2: Mampu mengonfigurasi GPIO mikrokontroler ESP32, sinyal analog ADC/DAC, PWM, dan interfacing sensor fisik [C3]</w:t>
            </w:r>
          </w:p>
        </w:tc>
        <w:tc>
          <w:tcPr>
            <w:tcW w:type="dxa" w:w="1843"/>
          </w:tcPr>
          <w:p>
            <w:pPr>
              <w:spacing w:before="40" w:after="40" w:line="252" w:lineRule="auto"/>
              <w:jc w:val="left"/>
            </w:pPr>
            <w:r>
              <w:rPr>
                <w:rFonts w:ascii="Calibri" w:hAnsi="Calibri"/>
                <w:b w:val="0"/>
                <w:color w:val="000000"/>
                <w:sz w:val="17"/>
              </w:rPr>
              <w:t>Keterampilan menghubungkan rangkaian pinout ESP32, memprogram pembacaan data sensor analog/digital (DHT22, LDR, Ultrasonik), dan mengontrol aktuator relai/LED via PWM</w:t>
            </w:r>
          </w:p>
        </w:tc>
        <w:tc>
          <w:tcPr>
            <w:tcW w:type="dxa" w:w="1629"/>
          </w:tcPr>
          <w:p>
            <w:pPr>
              <w:spacing w:before="40" w:after="40" w:line="252" w:lineRule="auto"/>
              <w:jc w:val="left"/>
            </w:pPr>
            <w:r>
              <w:rPr>
                <w:rFonts w:ascii="Calibri" w:hAnsi="Calibri"/>
                <w:b w:val="0"/>
                <w:color w:val="000000"/>
                <w:sz w:val="17"/>
              </w:rPr>
              <w:t>Kriteria: Kebenaran rangkaian skematik &amp; kode firmware C++/Arduino IDE; Teknik: Praktikum Lab 1</w:t>
            </w:r>
          </w:p>
        </w:tc>
        <w:tc>
          <w:tcPr>
            <w:tcW w:type="dxa" w:w="1677"/>
          </w:tcPr>
          <w:p>
            <w:pPr>
              <w:spacing w:before="40" w:after="40" w:line="252" w:lineRule="auto"/>
              <w:jc w:val="left"/>
            </w:pPr>
            <w:r>
              <w:rPr>
                <w:rFonts w:ascii="Calibri" w:hAnsi="Calibri"/>
                <w:b w:val="0"/>
                <w:color w:val="000000"/>
                <w:sz w:val="17"/>
              </w:rPr>
              <w:t>Kuliah Pengantar, Praktikum Lab: Instalasi Board ESP32, Wiring Pinout Sensor &amp; Aktuator, Serial Monitoring di Lab Komputer (PB: 3x50'; PT: 3x60'; BM: 3x60')</w:t>
            </w:r>
          </w:p>
        </w:tc>
        <w:tc>
          <w:tcPr>
            <w:tcW w:type="dxa" w:w="1998"/>
          </w:tcPr>
          <w:p>
            <w:pPr>
              <w:spacing w:before="40" w:after="40" w:line="252" w:lineRule="auto"/>
              <w:jc w:val="left"/>
            </w:pPr>
            <w:r>
              <w:rPr>
                <w:rFonts w:ascii="Calibri" w:hAnsi="Calibri"/>
                <w:b w:val="0"/>
                <w:color w:val="000000"/>
                <w:sz w:val="17"/>
              </w:rPr>
              <w:t>Simulasi rangkaian sirkuit ESP32 menggunakan Wokwi Simulator di LMS UNIROW</w:t>
            </w:r>
          </w:p>
        </w:tc>
        <w:tc>
          <w:tcPr>
            <w:tcW w:type="dxa" w:w="3058"/>
          </w:tcPr>
          <w:p>
            <w:pPr>
              <w:spacing w:before="40" w:after="40" w:line="252" w:lineRule="auto"/>
              <w:jc w:val="left"/>
            </w:pPr>
            <w:r>
              <w:rPr>
                <w:rFonts w:ascii="Calibri" w:hAnsi="Calibri"/>
                <w:b w:val="0"/>
                <w:color w:val="000000"/>
                <w:sz w:val="17"/>
              </w:rPr>
              <w:t>Arsitektur SoC ESP32 (Tensilica Xtensa), Pinout GPIO, ADC/DAC Resolution, PWM Duty Cycle, Interfacing Sensor Analog &amp; Digital (Schwartz Bab 1-2)</w:t>
            </w:r>
          </w:p>
        </w:tc>
        <w:tc>
          <w:tcPr>
            <w:tcW w:type="dxa" w:w="1260"/>
          </w:tcPr>
          <w:p>
            <w:pPr>
              <w:spacing w:before="40" w:after="40" w:line="252" w:lineRule="auto"/>
              <w:jc w:val="center"/>
            </w:pPr>
            <w:r>
              <w:rPr>
                <w:rFonts w:ascii="Calibri" w:hAnsi="Calibri"/>
                <w:b/>
                <w:color w:val="000000"/>
                <w:sz w:val="17"/>
              </w:rPr>
              <w:t>4%</w:t>
            </w:r>
          </w:p>
        </w:tc>
      </w:tr>
      <w:tr>
        <w:tc>
          <w:tcPr>
            <w:tcW w:type="dxa" w:w="547"/>
          </w:tcPr>
          <w:p>
            <w:pPr>
              <w:spacing w:before="40" w:after="40" w:line="252" w:lineRule="auto"/>
              <w:jc w:val="center"/>
            </w:pPr>
            <w:r>
              <w:rPr>
                <w:rFonts w:ascii="Calibri" w:hAnsi="Calibri"/>
                <w:b/>
                <w:color w:val="000000"/>
                <w:sz w:val="17"/>
              </w:rPr>
              <w:t>3</w:t>
            </w:r>
          </w:p>
        </w:tc>
        <w:tc>
          <w:tcPr>
            <w:tcW w:type="dxa" w:w="2283"/>
          </w:tcPr>
          <w:p>
            <w:pPr>
              <w:spacing w:before="40" w:after="40" w:line="252" w:lineRule="auto"/>
              <w:jc w:val="left"/>
            </w:pPr>
            <w:r>
              <w:rPr>
                <w:rFonts w:ascii="Calibri" w:hAnsi="Calibri"/>
                <w:b/>
                <w:color w:val="000000"/>
                <w:sz w:val="17"/>
              </w:rPr>
              <w:t>Sub-CPMK 3: Mampu memprogram komunikasi bus periferal sensor cerdas: UART Serial, protokol I2C, dan antarmuka SPI [C4]</w:t>
            </w:r>
          </w:p>
        </w:tc>
        <w:tc>
          <w:tcPr>
            <w:tcW w:type="dxa" w:w="1843"/>
          </w:tcPr>
          <w:p>
            <w:pPr>
              <w:spacing w:before="40" w:after="40" w:line="252" w:lineRule="auto"/>
              <w:jc w:val="left"/>
            </w:pPr>
            <w:r>
              <w:rPr>
                <w:rFonts w:ascii="Calibri" w:hAnsi="Calibri"/>
                <w:b w:val="0"/>
                <w:color w:val="000000"/>
                <w:sz w:val="17"/>
              </w:rPr>
              <w:t>Ketepatan mengatur baudrate UART, pengalamatan slave I2C (Address Scanner), menampilkan data sensor pada layar OLED I2C, dan komunikasi bus SPI berkecepatan tinggi</w:t>
            </w:r>
          </w:p>
        </w:tc>
        <w:tc>
          <w:tcPr>
            <w:tcW w:type="dxa" w:w="1629"/>
          </w:tcPr>
          <w:p>
            <w:pPr>
              <w:spacing w:before="40" w:after="40" w:line="252" w:lineRule="auto"/>
              <w:jc w:val="left"/>
            </w:pPr>
            <w:r>
              <w:rPr>
                <w:rFonts w:ascii="Calibri" w:hAnsi="Calibri"/>
                <w:b w:val="0"/>
                <w:color w:val="000000"/>
                <w:sz w:val="17"/>
              </w:rPr>
              <w:t>Kriteria: Keberhasilan transmisi data bus &amp; ketepatan timing pulsa; Teknik: Penilaian Tugas Terstruktur Praktikum 2</w:t>
            </w:r>
          </w:p>
        </w:tc>
        <w:tc>
          <w:tcPr>
            <w:tcW w:type="dxa" w:w="1677"/>
          </w:tcPr>
          <w:p>
            <w:pPr>
              <w:spacing w:before="40" w:after="40" w:line="252" w:lineRule="auto"/>
              <w:jc w:val="left"/>
            </w:pPr>
            <w:r>
              <w:rPr>
                <w:rFonts w:ascii="Calibri" w:hAnsi="Calibri"/>
                <w:b w:val="0"/>
                <w:color w:val="000000"/>
                <w:sz w:val="17"/>
              </w:rPr>
              <w:t>Praktikum Komputasi di Lab: I2C Scanner, Interfacing Display OLED SSD1306, Sensor BME280 / MPU6050, dan Logging SPI MicroSD (PB: 3x50'; PT: 3x60'; BM: 3x60')</w:t>
            </w:r>
          </w:p>
        </w:tc>
        <w:tc>
          <w:tcPr>
            <w:tcW w:type="dxa" w:w="1998"/>
          </w:tcPr>
          <w:p>
            <w:pPr>
              <w:spacing w:before="40" w:after="40" w:line="252" w:lineRule="auto"/>
              <w:jc w:val="left"/>
            </w:pPr>
            <w:r>
              <w:rPr>
                <w:rFonts w:ascii="Calibri" w:hAnsi="Calibri"/>
                <w:b w:val="0"/>
                <w:color w:val="000000"/>
                <w:sz w:val="17"/>
              </w:rPr>
              <w:t>Mengunduh library sensor, submit laporan praktikum bus I2C/SPI di LMS UNIROW</w:t>
            </w:r>
          </w:p>
        </w:tc>
        <w:tc>
          <w:tcPr>
            <w:tcW w:type="dxa" w:w="3058"/>
          </w:tcPr>
          <w:p>
            <w:pPr>
              <w:spacing w:before="40" w:after="40" w:line="252" w:lineRule="auto"/>
              <w:jc w:val="left"/>
            </w:pPr>
            <w:r>
              <w:rPr>
                <w:rFonts w:ascii="Calibri" w:hAnsi="Calibri"/>
                <w:b w:val="0"/>
                <w:color w:val="000000"/>
                <w:sz w:val="17"/>
              </w:rPr>
              <w:t>Protokol Bus: UART (Baudrate, Parity), I2C (SDA/SCL, Start/Stop Bit, Acknowledge), SPI (MOSI, MISO, SCK, CS) (Lea Bab 3, Schwartz Bab 3)</w:t>
            </w:r>
          </w:p>
        </w:tc>
        <w:tc>
          <w:tcPr>
            <w:tcW w:type="dxa" w:w="1260"/>
          </w:tcPr>
          <w:p>
            <w:pPr>
              <w:spacing w:before="40" w:after="40" w:line="252" w:lineRule="auto"/>
              <w:jc w:val="center"/>
            </w:pPr>
            <w:r>
              <w:rPr>
                <w:rFonts w:ascii="Calibri" w:hAnsi="Calibri"/>
                <w:b/>
                <w:color w:val="000000"/>
                <w:sz w:val="17"/>
              </w:rPr>
              <w:t>7%</w:t>
            </w:r>
          </w:p>
        </w:tc>
      </w:tr>
      <w:tr>
        <w:tc>
          <w:tcPr>
            <w:tcW w:type="dxa" w:w="547"/>
          </w:tcPr>
          <w:p>
            <w:pPr>
              <w:spacing w:before="40" w:after="40" w:line="252" w:lineRule="auto"/>
              <w:jc w:val="center"/>
            </w:pPr>
            <w:r>
              <w:rPr>
                <w:rFonts w:ascii="Calibri" w:hAnsi="Calibri"/>
                <w:b/>
                <w:color w:val="000000"/>
                <w:sz w:val="17"/>
              </w:rPr>
              <w:t>4</w:t>
            </w:r>
          </w:p>
        </w:tc>
        <w:tc>
          <w:tcPr>
            <w:tcW w:type="dxa" w:w="2283"/>
          </w:tcPr>
          <w:p>
            <w:pPr>
              <w:spacing w:before="40" w:after="40" w:line="252" w:lineRule="auto"/>
              <w:jc w:val="left"/>
            </w:pPr>
            <w:r>
              <w:rPr>
                <w:rFonts w:ascii="Calibri" w:hAnsi="Calibri"/>
                <w:b/>
                <w:color w:val="000000"/>
                <w:sz w:val="17"/>
              </w:rPr>
              <w:t>Sub-CPMK 4: Mampu mengonfigurasi konektivitas nirkabel Wi-Fi (Station &amp; SoftAP) dan Bluetooth Low Energy (BLE) [C3, C4]</w:t>
            </w:r>
          </w:p>
        </w:tc>
        <w:tc>
          <w:tcPr>
            <w:tcW w:type="dxa" w:w="1843"/>
          </w:tcPr>
          <w:p>
            <w:pPr>
              <w:spacing w:before="40" w:after="40" w:line="252" w:lineRule="auto"/>
              <w:jc w:val="left"/>
            </w:pPr>
            <w:r>
              <w:rPr>
                <w:rFonts w:ascii="Calibri" w:hAnsi="Calibri"/>
                <w:b w:val="0"/>
                <w:color w:val="000000"/>
                <w:sz w:val="17"/>
              </w:rPr>
              <w:t>Kemampuan menghubungkan ESP32 ke Access Point lokal, membuat SoftAP mandiri, merancang BLE GATT Server (Service &amp; Characteristic), dan bertukar data dengan smartphone</w:t>
            </w:r>
          </w:p>
        </w:tc>
        <w:tc>
          <w:tcPr>
            <w:tcW w:type="dxa" w:w="1629"/>
          </w:tcPr>
          <w:p>
            <w:pPr>
              <w:spacing w:before="40" w:after="40" w:line="252" w:lineRule="auto"/>
              <w:jc w:val="left"/>
            </w:pPr>
            <w:r>
              <w:rPr>
                <w:rFonts w:ascii="Calibri" w:hAnsi="Calibri"/>
                <w:b w:val="0"/>
                <w:color w:val="000000"/>
                <w:sz w:val="17"/>
              </w:rPr>
              <w:t>Kriteria: Stabilitas koneksi nirkabel &amp; keberhasilan pairing BLE; Teknik: Lembar Kerja Praktikum Nirkabel</w:t>
            </w:r>
          </w:p>
        </w:tc>
        <w:tc>
          <w:tcPr>
            <w:tcW w:type="dxa" w:w="1677"/>
          </w:tcPr>
          <w:p>
            <w:pPr>
              <w:spacing w:before="40" w:after="40" w:line="252" w:lineRule="auto"/>
              <w:jc w:val="left"/>
            </w:pPr>
            <w:r>
              <w:rPr>
                <w:rFonts w:ascii="Calibri" w:hAnsi="Calibri"/>
                <w:b w:val="0"/>
                <w:color w:val="000000"/>
                <w:sz w:val="17"/>
              </w:rPr>
              <w:t>Kuliah Mimbar, Praktikum Pembuatan ESP32 Web Server Mandiri dan BLE Environmental Sensing Server (PB: 3x50'; PT: 3x60'; BM: 3x60')</w:t>
            </w:r>
          </w:p>
        </w:tc>
        <w:tc>
          <w:tcPr>
            <w:tcW w:type="dxa" w:w="1998"/>
          </w:tcPr>
          <w:p>
            <w:pPr>
              <w:spacing w:before="40" w:after="40" w:line="252" w:lineRule="auto"/>
              <w:jc w:val="left"/>
            </w:pPr>
            <w:r>
              <w:rPr>
                <w:rFonts w:ascii="Calibri" w:hAnsi="Calibri"/>
                <w:b w:val="0"/>
                <w:color w:val="000000"/>
                <w:sz w:val="17"/>
              </w:rPr>
              <w:t>Eksplorasi aplikasi nRF Connect untuk monitoring transmisi data BLE di LMS UNIROW</w:t>
            </w:r>
          </w:p>
        </w:tc>
        <w:tc>
          <w:tcPr>
            <w:tcW w:type="dxa" w:w="3058"/>
          </w:tcPr>
          <w:p>
            <w:pPr>
              <w:spacing w:before="40" w:after="40" w:line="252" w:lineRule="auto"/>
              <w:jc w:val="left"/>
            </w:pPr>
            <w:r>
              <w:rPr>
                <w:rFonts w:ascii="Calibri" w:hAnsi="Calibri"/>
                <w:b w:val="0"/>
                <w:color w:val="000000"/>
                <w:sz w:val="17"/>
              </w:rPr>
              <w:t>Protokol Nirkabel Jarak Pendek: Wi-Fi 802.11 b/g/n (STA vs AP mode), Bluetooth Low Energy (BLE Architecture, GAP, GATT, Advertising) (Hanes Bab 4, Schwartz Bab 4)</w:t>
            </w:r>
          </w:p>
        </w:tc>
        <w:tc>
          <w:tcPr>
            <w:tcW w:type="dxa" w:w="1260"/>
          </w:tcPr>
          <w:p>
            <w:pPr>
              <w:spacing w:before="40" w:after="40" w:line="252" w:lineRule="auto"/>
              <w:jc w:val="center"/>
            </w:pPr>
            <w:r>
              <w:rPr>
                <w:rFonts w:ascii="Calibri" w:hAnsi="Calibri"/>
                <w:b/>
                <w:color w:val="000000"/>
                <w:sz w:val="17"/>
              </w:rPr>
              <w:t>6%</w:t>
            </w:r>
          </w:p>
        </w:tc>
      </w:tr>
      <w:tr>
        <w:tc>
          <w:tcPr>
            <w:tcW w:type="dxa" w:w="547"/>
          </w:tcPr>
          <w:p>
            <w:pPr>
              <w:spacing w:before="40" w:after="40" w:line="252" w:lineRule="auto"/>
              <w:jc w:val="center"/>
            </w:pPr>
            <w:r>
              <w:rPr>
                <w:rFonts w:ascii="Calibri" w:hAnsi="Calibri"/>
                <w:b/>
                <w:color w:val="000000"/>
                <w:sz w:val="17"/>
              </w:rPr>
              <w:t>5</w:t>
            </w:r>
          </w:p>
        </w:tc>
        <w:tc>
          <w:tcPr>
            <w:tcW w:type="dxa" w:w="2283"/>
          </w:tcPr>
          <w:p>
            <w:pPr>
              <w:spacing w:before="40" w:after="40" w:line="252" w:lineRule="auto"/>
              <w:jc w:val="left"/>
            </w:pPr>
            <w:r>
              <w:rPr>
                <w:rFonts w:ascii="Calibri" w:hAnsi="Calibri"/>
                <w:b/>
                <w:color w:val="000000"/>
                <w:sz w:val="17"/>
              </w:rPr>
              <w:t>Sub-CPMK 5: Mampu menganalisis arsitektur LPWAN, modulasi radio LoRa, dan transmisi data LoRaWAN jarak jauh berdaya rendah [C4]</w:t>
            </w:r>
          </w:p>
        </w:tc>
        <w:tc>
          <w:tcPr>
            <w:tcW w:type="dxa" w:w="1843"/>
          </w:tcPr>
          <w:p>
            <w:pPr>
              <w:spacing w:before="40" w:after="40" w:line="252" w:lineRule="auto"/>
              <w:jc w:val="left"/>
            </w:pPr>
            <w:r>
              <w:rPr>
                <w:rFonts w:ascii="Calibri" w:hAnsi="Calibri"/>
                <w:b w:val="0"/>
                <w:color w:val="000000"/>
                <w:sz w:val="17"/>
              </w:rPr>
              <w:t>Keahlian mengatur frekuensi regional LoRa (920-923 MHz AS923 Indonesia), parameter Spreading Factor (SF), Bandwidth, Coding Rate, serta menguji jarak transmisi paket data</w:t>
            </w:r>
          </w:p>
        </w:tc>
        <w:tc>
          <w:tcPr>
            <w:tcW w:type="dxa" w:w="1629"/>
          </w:tcPr>
          <w:p>
            <w:pPr>
              <w:spacing w:before="40" w:after="40" w:line="252" w:lineRule="auto"/>
              <w:jc w:val="left"/>
            </w:pPr>
            <w:r>
              <w:rPr>
                <w:rFonts w:ascii="Calibri" w:hAnsi="Calibri"/>
                <w:b w:val="0"/>
                <w:color w:val="000000"/>
                <w:sz w:val="17"/>
              </w:rPr>
              <w:t>Kriteria: Ketepatan perhitungan link budget &amp; packet loss telemetry; Teknik: Tugas Analisis Jaringan Sensor</w:t>
            </w:r>
          </w:p>
        </w:tc>
        <w:tc>
          <w:tcPr>
            <w:tcW w:type="dxa" w:w="1677"/>
          </w:tcPr>
          <w:p>
            <w:pPr>
              <w:spacing w:before="40" w:after="40" w:line="252" w:lineRule="auto"/>
              <w:jc w:val="left"/>
            </w:pPr>
            <w:r>
              <w:rPr>
                <w:rFonts w:ascii="Calibri" w:hAnsi="Calibri"/>
                <w:b w:val="0"/>
                <w:color w:val="000000"/>
                <w:sz w:val="17"/>
              </w:rPr>
              <w:t>Kuliah Interaktif, Demonstrasi Point-to-Point LoRa Transceiver RFM95/SX1276 dan Topologi LoRaWAN Gateway di Lab (PB: 3x50'; PT: 3x60'; BM: 3x60')</w:t>
            </w:r>
          </w:p>
        </w:tc>
        <w:tc>
          <w:tcPr>
            <w:tcW w:type="dxa" w:w="1998"/>
          </w:tcPr>
          <w:p>
            <w:pPr>
              <w:spacing w:before="40" w:after="40" w:line="252" w:lineRule="auto"/>
              <w:jc w:val="left"/>
            </w:pPr>
            <w:r>
              <w:rPr>
                <w:rFonts w:ascii="Calibri" w:hAnsi="Calibri"/>
                <w:b w:val="0"/>
                <w:color w:val="000000"/>
                <w:sz w:val="17"/>
              </w:rPr>
              <w:t>Simulasi cakupan sinyal LoRa dan analisis konsumsi daya modulasi di LMS UNIROW</w:t>
            </w:r>
          </w:p>
        </w:tc>
        <w:tc>
          <w:tcPr>
            <w:tcW w:type="dxa" w:w="3058"/>
          </w:tcPr>
          <w:p>
            <w:pPr>
              <w:spacing w:before="40" w:after="40" w:line="252" w:lineRule="auto"/>
              <w:jc w:val="left"/>
            </w:pPr>
            <w:r>
              <w:rPr>
                <w:rFonts w:ascii="Calibri" w:hAnsi="Calibri"/>
                <w:b w:val="0"/>
                <w:color w:val="000000"/>
                <w:sz w:val="17"/>
              </w:rPr>
              <w:t>LPWAN Overview, Teknologi LoRa (Chirp Spread Spectrum), LoRaWAN (Class A, B, C Devices, Join Procedure OTAA vs ABP), Gateway (Hanes Bab 4, Lea Bab 4)</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6</w:t>
            </w:r>
          </w:p>
        </w:tc>
        <w:tc>
          <w:tcPr>
            <w:tcW w:type="dxa" w:w="2283"/>
          </w:tcPr>
          <w:p>
            <w:pPr>
              <w:spacing w:before="40" w:after="40" w:line="252" w:lineRule="auto"/>
              <w:jc w:val="left"/>
            </w:pPr>
            <w:r>
              <w:rPr>
                <w:rFonts w:ascii="Calibri" w:hAnsi="Calibri"/>
                <w:b/>
                <w:color w:val="000000"/>
                <w:sz w:val="17"/>
              </w:rPr>
              <w:t>Sub-CPMK 6: Mampu menerapkan protokol publish-subscribe MQTT, perancangan topik, dan konfigurasi QoS dengan broker Mosquitto [C4]</w:t>
            </w:r>
          </w:p>
        </w:tc>
        <w:tc>
          <w:tcPr>
            <w:tcW w:type="dxa" w:w="1843"/>
          </w:tcPr>
          <w:p>
            <w:pPr>
              <w:spacing w:before="40" w:after="40" w:line="252" w:lineRule="auto"/>
              <w:jc w:val="left"/>
            </w:pPr>
            <w:r>
              <w:rPr>
                <w:rFonts w:ascii="Calibri" w:hAnsi="Calibri"/>
                <w:b w:val="0"/>
                <w:color w:val="000000"/>
                <w:sz w:val="17"/>
              </w:rPr>
              <w:t>Ketepatan merancang struktur topik MQTT (e.g., campus/fst/lab/temp), konfigurasi pesan retained, Last Will and Testament (LWT), dan implementasi klien Pub/Sub di ESP32</w:t>
            </w:r>
          </w:p>
        </w:tc>
        <w:tc>
          <w:tcPr>
            <w:tcW w:type="dxa" w:w="1629"/>
          </w:tcPr>
          <w:p>
            <w:pPr>
              <w:spacing w:before="40" w:after="40" w:line="252" w:lineRule="auto"/>
              <w:jc w:val="left"/>
            </w:pPr>
            <w:r>
              <w:rPr>
                <w:rFonts w:ascii="Calibri" w:hAnsi="Calibri"/>
                <w:b w:val="0"/>
                <w:color w:val="000000"/>
                <w:sz w:val="17"/>
              </w:rPr>
              <w:t>Kriteria: Integritas pengiriman pesan telemetri &amp; efisiensi payload JSON; Teknik: Tugas Terstruktur Implementasi MQTT</w:t>
            </w:r>
          </w:p>
        </w:tc>
        <w:tc>
          <w:tcPr>
            <w:tcW w:type="dxa" w:w="1677"/>
          </w:tcPr>
          <w:p>
            <w:pPr>
              <w:spacing w:before="40" w:after="40" w:line="252" w:lineRule="auto"/>
              <w:jc w:val="left"/>
            </w:pPr>
            <w:r>
              <w:rPr>
                <w:rFonts w:ascii="Calibri" w:hAnsi="Calibri"/>
                <w:b w:val="0"/>
                <w:color w:val="000000"/>
                <w:sz w:val="17"/>
              </w:rPr>
              <w:t>Kuliah Pengantar, Praktikum Konfigurasi MQTT Broker Eclipse Mosquitto, Uji Publish-Subscribe Data Sensor ESP32 ke Broker Lokal/Cloud (PB: 3x50'; PT: 3x60'; BM: 3x60')</w:t>
            </w:r>
          </w:p>
        </w:tc>
        <w:tc>
          <w:tcPr>
            <w:tcW w:type="dxa" w:w="1998"/>
          </w:tcPr>
          <w:p>
            <w:pPr>
              <w:spacing w:before="40" w:after="40" w:line="252" w:lineRule="auto"/>
              <w:jc w:val="left"/>
            </w:pPr>
            <w:r>
              <w:rPr>
                <w:rFonts w:ascii="Calibri" w:hAnsi="Calibri"/>
                <w:b w:val="0"/>
                <w:color w:val="000000"/>
                <w:sz w:val="17"/>
              </w:rPr>
              <w:t>Testing MQTT klien menggunakan MQTT Explorer / MQTTX di LMS UNIROW</w:t>
            </w:r>
          </w:p>
        </w:tc>
        <w:tc>
          <w:tcPr>
            <w:tcW w:type="dxa" w:w="3058"/>
          </w:tcPr>
          <w:p>
            <w:pPr>
              <w:spacing w:before="40" w:after="40" w:line="252" w:lineRule="auto"/>
              <w:jc w:val="left"/>
            </w:pPr>
            <w:r>
              <w:rPr>
                <w:rFonts w:ascii="Calibri" w:hAnsi="Calibri"/>
                <w:b w:val="0"/>
                <w:color w:val="000000"/>
                <w:sz w:val="17"/>
              </w:rPr>
              <w:t>Arsitektur Publish-Subscribe, Protokol MQTT v3.1.1/v5.0, Topik Hirarkis, QoS Level (0, 1, 2), Broker Mosquitto, Klien PubSubClient (Hanes Bab 5, Buyya Bab 4)</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7</w:t>
            </w:r>
          </w:p>
        </w:tc>
        <w:tc>
          <w:tcPr>
            <w:tcW w:type="dxa" w:w="2283"/>
          </w:tcPr>
          <w:p>
            <w:pPr>
              <w:spacing w:before="40" w:after="40" w:line="252" w:lineRule="auto"/>
              <w:jc w:val="left"/>
            </w:pPr>
            <w:r>
              <w:rPr>
                <w:rFonts w:ascii="Calibri" w:hAnsi="Calibri"/>
                <w:b/>
                <w:color w:val="000000"/>
                <w:sz w:val="17"/>
              </w:rPr>
              <w:t>Sub-CPMK 7: Mampu membandingkan efisiensi protokol MQTT vs HTTP REST vs CoAP dan mengimplementasikan WebSocket [C4]</w:t>
            </w:r>
          </w:p>
        </w:tc>
        <w:tc>
          <w:tcPr>
            <w:tcW w:type="dxa" w:w="1843"/>
          </w:tcPr>
          <w:p>
            <w:pPr>
              <w:spacing w:before="40" w:after="40" w:line="252" w:lineRule="auto"/>
              <w:jc w:val="left"/>
            </w:pPr>
            <w:r>
              <w:rPr>
                <w:rFonts w:ascii="Calibri" w:hAnsi="Calibri"/>
                <w:b w:val="0"/>
                <w:color w:val="000000"/>
                <w:sz w:val="17"/>
              </w:rPr>
              <w:t>Kemampuan mengukur overhead header paket, latensi pertukaran data, konsumsi daya pada protokol CoAP berbasis UDP, dan streaming WebSocket interaktif</w:t>
            </w:r>
          </w:p>
        </w:tc>
        <w:tc>
          <w:tcPr>
            <w:tcW w:type="dxa" w:w="1629"/>
          </w:tcPr>
          <w:p>
            <w:pPr>
              <w:spacing w:before="40" w:after="40" w:line="252" w:lineRule="auto"/>
              <w:jc w:val="left"/>
            </w:pPr>
            <w:r>
              <w:rPr>
                <w:rFonts w:ascii="Calibri" w:hAnsi="Calibri"/>
                <w:b w:val="0"/>
                <w:color w:val="000000"/>
                <w:sz w:val="17"/>
              </w:rPr>
              <w:t>Kriteria: Analisis komparatif kinerja protokol IoT; Teknik: Presentasi Singkat Hasil Benchmark Protokol</w:t>
            </w:r>
          </w:p>
        </w:tc>
        <w:tc>
          <w:tcPr>
            <w:tcW w:type="dxa" w:w="1677"/>
          </w:tcPr>
          <w:p>
            <w:pPr>
              <w:spacing w:before="40" w:after="40" w:line="252" w:lineRule="auto"/>
              <w:jc w:val="left"/>
            </w:pPr>
            <w:r>
              <w:rPr>
                <w:rFonts w:ascii="Calibri" w:hAnsi="Calibri"/>
                <w:b w:val="0"/>
                <w:color w:val="000000"/>
                <w:sz w:val="17"/>
              </w:rPr>
              <w:t>Kuliah Diskusi, Praktikum Komparasi Packet Sniffing Wireshark pada payload MQTT, CoAP, dan HTTP (PB: 3x50'; PT: 3x60'; BM: 3x60')</w:t>
            </w:r>
          </w:p>
        </w:tc>
        <w:tc>
          <w:tcPr>
            <w:tcW w:type="dxa" w:w="1998"/>
          </w:tcPr>
          <w:p>
            <w:pPr>
              <w:spacing w:before="40" w:after="40" w:line="252" w:lineRule="auto"/>
              <w:jc w:val="left"/>
            </w:pPr>
            <w:r>
              <w:rPr>
                <w:rFonts w:ascii="Calibri" w:hAnsi="Calibri"/>
                <w:b w:val="0"/>
                <w:color w:val="000000"/>
                <w:sz w:val="17"/>
              </w:rPr>
              <w:t>Review persiapan Evaluasi Tengah Semester (UTS) di LMS UNIROW</w:t>
            </w:r>
          </w:p>
        </w:tc>
        <w:tc>
          <w:tcPr>
            <w:tcW w:type="dxa" w:w="3058"/>
          </w:tcPr>
          <w:p>
            <w:pPr>
              <w:spacing w:before="40" w:after="40" w:line="252" w:lineRule="auto"/>
              <w:jc w:val="left"/>
            </w:pPr>
            <w:r>
              <w:rPr>
                <w:rFonts w:ascii="Calibri" w:hAnsi="Calibri"/>
                <w:b w:val="0"/>
                <w:color w:val="000000"/>
                <w:sz w:val="17"/>
              </w:rPr>
              <w:t>Protokol CoAP (Constrained Application Protocol), Format Pesan CoAP, HTTP RESTful vs CoAP vs MQTT, WebSocket Duplex Streaming (Hanes Bab 5, Al-Sarawi et al.)</w:t>
            </w:r>
          </w:p>
        </w:tc>
        <w:tc>
          <w:tcPr>
            <w:tcW w:type="dxa" w:w="1260"/>
          </w:tcPr>
          <w:p>
            <w:pPr>
              <w:spacing w:before="40" w:after="40" w:line="252" w:lineRule="auto"/>
              <w:jc w:val="center"/>
            </w:pPr>
            <w:r>
              <w:rPr>
                <w:rFonts w:ascii="Calibri" w:hAnsi="Calibri"/>
                <w:b/>
                <w:color w:val="000000"/>
                <w:sz w:val="17"/>
              </w:rPr>
              <w:t>5%</w:t>
            </w:r>
          </w:p>
        </w:tc>
      </w:tr>
      <w:tr>
        <w:tc>
          <w:tcPr>
            <w:tcW w:type="dxa" w:w="547"/>
            <w:shd w:fill="FFF2CC"/>
          </w:tcPr>
          <w:p>
            <w:pPr>
              <w:spacing w:before="40" w:after="40" w:line="252" w:lineRule="auto"/>
              <w:jc w:val="center"/>
            </w:pPr>
            <w:r>
              <w:rPr>
                <w:rFonts w:ascii="Calibri" w:hAnsi="Calibri"/>
                <w:b/>
                <w:color w:val="000000"/>
                <w:sz w:val="17"/>
              </w:rPr>
              <w:t>8</w:t>
            </w:r>
          </w:p>
        </w:tc>
        <w:tc>
          <w:tcPr>
            <w:tcW w:type="dxa" w:w="2283"/>
            <w:shd w:fill="FFF2CC"/>
          </w:tcPr>
          <w:p>
            <w:pPr>
              <w:spacing w:before="40" w:after="40" w:line="252" w:lineRule="auto"/>
              <w:jc w:val="left"/>
            </w:pPr>
            <w:r>
              <w:rPr>
                <w:rFonts w:ascii="Calibri" w:hAnsi="Calibri"/>
                <w:b/>
                <w:color w:val="000000"/>
                <w:sz w:val="17"/>
              </w:rPr>
              <w:t>Evaluasi Tengah Semester (UTS): Mengukur ketercapaian CPMK1 dan CPMK2 (Sub-CPMK 1 s.d. 7)</w:t>
            </w:r>
          </w:p>
        </w:tc>
        <w:tc>
          <w:tcPr>
            <w:tcW w:type="dxa" w:w="1843"/>
            <w:shd w:fill="FFF2CC"/>
          </w:tcPr>
          <w:p>
            <w:pPr>
              <w:spacing w:before="40" w:after="40" w:line="252" w:lineRule="auto"/>
              <w:jc w:val="left"/>
            </w:pPr>
            <w:r>
              <w:rPr>
                <w:rFonts w:ascii="Calibri" w:hAnsi="Calibri"/>
                <w:b w:val="0"/>
                <w:color w:val="000000"/>
                <w:sz w:val="17"/>
              </w:rPr>
              <w:t>Ketuntasan, ketelitian, dan kecepatan mahasiswa dalam merangkai sirkuit sensor mikrokontroler, memprogram bus komunikasi, dan mentransmisikan telemetri via protokol MQTT/Wi-Fi</w:t>
            </w:r>
          </w:p>
        </w:tc>
        <w:tc>
          <w:tcPr>
            <w:tcW w:type="dxa" w:w="1629"/>
            <w:shd w:fill="FFF2CC"/>
          </w:tcPr>
          <w:p>
            <w:pPr>
              <w:spacing w:before="40" w:after="40" w:line="252" w:lineRule="auto"/>
              <w:jc w:val="left"/>
            </w:pPr>
            <w:r>
              <w:rPr>
                <w:rFonts w:ascii="Calibri" w:hAnsi="Calibri"/>
                <w:b w:val="0"/>
                <w:color w:val="000000"/>
                <w:sz w:val="17"/>
              </w:rPr>
              <w:t>Kriteria: Rubrik Asesmen Ujian Tertulis &amp; Ujian Lab Terjadwal (Skala 1-100); Teknik: Tes Tulis &amp; Live Coding Sirkuit</w:t>
            </w:r>
          </w:p>
        </w:tc>
        <w:tc>
          <w:tcPr>
            <w:tcW w:type="dxa" w:w="1677"/>
            <w:shd w:fill="FFF2CC"/>
          </w:tcPr>
          <w:p>
            <w:pPr>
              <w:spacing w:before="40" w:after="40" w:line="252" w:lineRule="auto"/>
              <w:jc w:val="left"/>
            </w:pPr>
            <w:r>
              <w:rPr>
                <w:rFonts w:ascii="Calibri" w:hAnsi="Calibri"/>
                <w:b w:val="0"/>
                <w:color w:val="000000"/>
                <w:sz w:val="17"/>
              </w:rPr>
              <w:t>Ujian Tengah Semester Luring di Lab Komputer &amp; Embedded Systems (150 Menit)</w:t>
            </w:r>
          </w:p>
        </w:tc>
        <w:tc>
          <w:tcPr>
            <w:tcW w:type="dxa" w:w="1998"/>
            <w:shd w:fill="FFF2CC"/>
          </w:tcPr>
          <w:p>
            <w:pPr>
              <w:spacing w:before="40" w:after="40" w:line="252" w:lineRule="auto"/>
              <w:jc w:val="left"/>
            </w:pPr>
            <w:r>
              <w:rPr>
                <w:rFonts w:ascii="Calibri" w:hAnsi="Calibri"/>
                <w:b w:val="0"/>
                <w:color w:val="000000"/>
                <w:sz w:val="17"/>
              </w:rPr>
              <w:t>Unggah kode firmware dan rekaman pembuktian telemetri sensor di portal LMS UNIROW</w:t>
            </w:r>
          </w:p>
        </w:tc>
        <w:tc>
          <w:tcPr>
            <w:tcW w:type="dxa" w:w="3058"/>
            <w:shd w:fill="FFF2CC"/>
          </w:tcPr>
          <w:p>
            <w:pPr>
              <w:spacing w:before="40" w:after="40" w:line="252" w:lineRule="auto"/>
              <w:jc w:val="left"/>
            </w:pPr>
            <w:r>
              <w:rPr>
                <w:rFonts w:ascii="Calibri" w:hAnsi="Calibri"/>
                <w:b w:val="0"/>
                <w:color w:val="000000"/>
                <w:sz w:val="17"/>
              </w:rPr>
              <w:t>Materi Perkuliahan Minggu 1 sampai Minggu 7</w:t>
            </w:r>
          </w:p>
        </w:tc>
        <w:tc>
          <w:tcPr>
            <w:tcW w:type="dxa" w:w="1260"/>
            <w:shd w:fill="FFF2CC"/>
          </w:tcPr>
          <w:p>
            <w:pPr>
              <w:spacing w:before="40" w:after="40" w:line="252" w:lineRule="auto"/>
              <w:jc w:val="center"/>
            </w:pPr>
            <w:r>
              <w:rPr>
                <w:rFonts w:ascii="Calibri" w:hAnsi="Calibri"/>
                <w:b/>
                <w:color w:val="000000"/>
                <w:sz w:val="17"/>
              </w:rPr>
              <w:t>15%</w:t>
            </w:r>
          </w:p>
        </w:tc>
      </w:tr>
      <w:tr>
        <w:tc>
          <w:tcPr>
            <w:tcW w:type="dxa" w:w="547"/>
          </w:tcPr>
          <w:p>
            <w:pPr>
              <w:spacing w:before="40" w:after="40" w:line="252" w:lineRule="auto"/>
              <w:jc w:val="center"/>
            </w:pPr>
            <w:r>
              <w:rPr>
                <w:rFonts w:ascii="Calibri" w:hAnsi="Calibri"/>
                <w:b/>
                <w:color w:val="000000"/>
                <w:sz w:val="17"/>
              </w:rPr>
              <w:t>9</w:t>
            </w:r>
          </w:p>
        </w:tc>
        <w:tc>
          <w:tcPr>
            <w:tcW w:type="dxa" w:w="2283"/>
          </w:tcPr>
          <w:p>
            <w:pPr>
              <w:spacing w:before="40" w:after="40" w:line="252" w:lineRule="auto"/>
              <w:jc w:val="left"/>
            </w:pPr>
            <w:r>
              <w:rPr>
                <w:rFonts w:ascii="Calibri" w:hAnsi="Calibri"/>
                <w:b/>
                <w:color w:val="000000"/>
                <w:sz w:val="17"/>
              </w:rPr>
              <w:t>Sub-CPMK 8: Mampu merancang alur pemrosesan data event-driven berbasis Node-RED dan visualisasi dashboard UI [C5]</w:t>
            </w:r>
          </w:p>
        </w:tc>
        <w:tc>
          <w:tcPr>
            <w:tcW w:type="dxa" w:w="1843"/>
          </w:tcPr>
          <w:p>
            <w:pPr>
              <w:spacing w:before="40" w:after="40" w:line="252" w:lineRule="auto"/>
              <w:jc w:val="left"/>
            </w:pPr>
            <w:r>
              <w:rPr>
                <w:rFonts w:ascii="Calibri" w:hAnsi="Calibri"/>
                <w:b w:val="0"/>
                <w:color w:val="000000"/>
                <w:sz w:val="17"/>
              </w:rPr>
              <w:t>Keahlian membuat flow pemrosesan data (MQTT Input, Function Node JavaScript, Switch, Change), integrasi notifikasi pesan Telegram/Email, dan perancangan grafik dashboard responsif</w:t>
            </w:r>
          </w:p>
        </w:tc>
        <w:tc>
          <w:tcPr>
            <w:tcW w:type="dxa" w:w="1629"/>
          </w:tcPr>
          <w:p>
            <w:pPr>
              <w:spacing w:before="40" w:after="40" w:line="252" w:lineRule="auto"/>
              <w:jc w:val="left"/>
            </w:pPr>
            <w:r>
              <w:rPr>
                <w:rFonts w:ascii="Calibri" w:hAnsi="Calibri"/>
                <w:b w:val="0"/>
                <w:color w:val="000000"/>
                <w:sz w:val="17"/>
              </w:rPr>
              <w:t>Kriteria: Logika alur otomatisasi &amp; kemudahan interaksi dashboard; Teknik: Penilaian Tugas Terstruktur Node-RED</w:t>
            </w:r>
          </w:p>
        </w:tc>
        <w:tc>
          <w:tcPr>
            <w:tcW w:type="dxa" w:w="1677"/>
          </w:tcPr>
          <w:p>
            <w:pPr>
              <w:spacing w:before="40" w:after="40" w:line="252" w:lineRule="auto"/>
              <w:jc w:val="left"/>
            </w:pPr>
            <w:r>
              <w:rPr>
                <w:rFonts w:ascii="Calibri" w:hAnsi="Calibri"/>
                <w:b w:val="0"/>
                <w:color w:val="000000"/>
                <w:sz w:val="17"/>
              </w:rPr>
              <w:t>Hands-on Workshop: Instalasi Node-RED di Komputer Lab, Merancang Otomasi Sistem Kontrol Suhu Ruangan &amp; Dashboard UI (PB: 3x50'; PT: 3x60'; BM: 3x60')</w:t>
            </w:r>
          </w:p>
        </w:tc>
        <w:tc>
          <w:tcPr>
            <w:tcW w:type="dxa" w:w="1998"/>
          </w:tcPr>
          <w:p>
            <w:pPr>
              <w:spacing w:before="40" w:after="40" w:line="252" w:lineRule="auto"/>
              <w:jc w:val="left"/>
            </w:pPr>
            <w:r>
              <w:rPr>
                <w:rFonts w:ascii="Calibri" w:hAnsi="Calibri"/>
                <w:b w:val="0"/>
                <w:color w:val="000000"/>
                <w:sz w:val="17"/>
              </w:rPr>
              <w:t>Ekspor dan impor alur flow Node-RED (JSON) melalui forum LMS UNIROW</w:t>
            </w:r>
          </w:p>
        </w:tc>
        <w:tc>
          <w:tcPr>
            <w:tcW w:type="dxa" w:w="3058"/>
          </w:tcPr>
          <w:p>
            <w:pPr>
              <w:spacing w:before="40" w:after="40" w:line="252" w:lineRule="auto"/>
              <w:jc w:val="left"/>
            </w:pPr>
            <w:r>
              <w:rPr>
                <w:rFonts w:ascii="Calibri" w:hAnsi="Calibri"/>
                <w:b w:val="0"/>
                <w:color w:val="000000"/>
                <w:sz w:val="17"/>
              </w:rPr>
              <w:t>Event-Driven Architecture, Node-RED Runtime Engine, Node Configuration, JavaScript Function Nodes, Node-RED Dashboard Widgets (Lea Bab 6)</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10</w:t>
            </w:r>
          </w:p>
        </w:tc>
        <w:tc>
          <w:tcPr>
            <w:tcW w:type="dxa" w:w="2283"/>
          </w:tcPr>
          <w:p>
            <w:pPr>
              <w:spacing w:before="40" w:after="40" w:line="252" w:lineRule="auto"/>
              <w:jc w:val="left"/>
            </w:pPr>
            <w:r>
              <w:rPr>
                <w:rFonts w:ascii="Calibri" w:hAnsi="Calibri"/>
                <w:b/>
                <w:color w:val="000000"/>
                <w:sz w:val="17"/>
              </w:rPr>
              <w:t>Sub-CPMK 9: Mampu mengintegrasikan node sensor IoT ke platform Cloud IoT ThingsBoard dan Firebase Realtime [C5]</w:t>
            </w:r>
          </w:p>
        </w:tc>
        <w:tc>
          <w:tcPr>
            <w:tcW w:type="dxa" w:w="1843"/>
          </w:tcPr>
          <w:p>
            <w:pPr>
              <w:spacing w:before="40" w:after="40" w:line="252" w:lineRule="auto"/>
              <w:jc w:val="left"/>
            </w:pPr>
            <w:r>
              <w:rPr>
                <w:rFonts w:ascii="Calibri" w:hAnsi="Calibri"/>
                <w:b w:val="0"/>
                <w:color w:val="000000"/>
                <w:sz w:val="17"/>
              </w:rPr>
              <w:t>Keahlian provisioning perangkat pada ThingsBoard (Access Token/Device Credential), merancang Rule Chain telemetry, konfigurasi alarm, dan sinkronisasi database NoSQL Firebase</w:t>
            </w:r>
          </w:p>
        </w:tc>
        <w:tc>
          <w:tcPr>
            <w:tcW w:type="dxa" w:w="1629"/>
          </w:tcPr>
          <w:p>
            <w:pPr>
              <w:spacing w:before="40" w:after="40" w:line="252" w:lineRule="auto"/>
              <w:jc w:val="left"/>
            </w:pPr>
            <w:r>
              <w:rPr>
                <w:rFonts w:ascii="Calibri" w:hAnsi="Calibri"/>
                <w:b w:val="0"/>
                <w:color w:val="000000"/>
                <w:sz w:val="17"/>
              </w:rPr>
              <w:t>Kriteria: Integrasi telemetri awan &amp; keandalan rule chain otomatis; Teknik: Portofolio Cloud IoT</w:t>
            </w:r>
          </w:p>
        </w:tc>
        <w:tc>
          <w:tcPr>
            <w:tcW w:type="dxa" w:w="1677"/>
          </w:tcPr>
          <w:p>
            <w:pPr>
              <w:spacing w:before="40" w:after="40" w:line="252" w:lineRule="auto"/>
              <w:jc w:val="left"/>
            </w:pPr>
            <w:r>
              <w:rPr>
                <w:rFonts w:ascii="Calibri" w:hAnsi="Calibri"/>
                <w:b w:val="0"/>
                <w:color w:val="000000"/>
                <w:sz w:val="17"/>
              </w:rPr>
              <w:t>Kuliah Interaktif, Praktikum Konfigurasi ThingsBoard Cloud/Local Server, Setting Telemetri Widget &amp; Remote RPC Control Aktuator (PB: 3x50'; PT: 3x60'; BM: 3x60')</w:t>
            </w:r>
          </w:p>
        </w:tc>
        <w:tc>
          <w:tcPr>
            <w:tcW w:type="dxa" w:w="1998"/>
          </w:tcPr>
          <w:p>
            <w:pPr>
              <w:spacing w:before="40" w:after="40" w:line="252" w:lineRule="auto"/>
              <w:jc w:val="left"/>
            </w:pPr>
            <w:r>
              <w:rPr>
                <w:rFonts w:ascii="Calibri" w:hAnsi="Calibri"/>
                <w:b w:val="0"/>
                <w:color w:val="000000"/>
                <w:sz w:val="17"/>
              </w:rPr>
              <w:t>Akses server ThingsBoard prodi melalui LMS UNIROW</w:t>
            </w:r>
          </w:p>
        </w:tc>
        <w:tc>
          <w:tcPr>
            <w:tcW w:type="dxa" w:w="3058"/>
          </w:tcPr>
          <w:p>
            <w:pPr>
              <w:spacing w:before="40" w:after="40" w:line="252" w:lineRule="auto"/>
              <w:jc w:val="left"/>
            </w:pPr>
            <w:r>
              <w:rPr>
                <w:rFonts w:ascii="Calibri" w:hAnsi="Calibri"/>
                <w:b w:val="0"/>
                <w:color w:val="000000"/>
                <w:sz w:val="17"/>
              </w:rPr>
              <w:t>Cloud IoT Architecture, ThingsBoard Core (Device Provisioning, Telemetry Data, Rule Engine, Alarms), Firebase Realtime Database (Buyya Bab 6, Lea Bab 8)</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11</w:t>
            </w:r>
          </w:p>
        </w:tc>
        <w:tc>
          <w:tcPr>
            <w:tcW w:type="dxa" w:w="2283"/>
          </w:tcPr>
          <w:p>
            <w:pPr>
              <w:spacing w:before="40" w:after="40" w:line="252" w:lineRule="auto"/>
              <w:jc w:val="left"/>
            </w:pPr>
            <w:r>
              <w:rPr>
                <w:rFonts w:ascii="Calibri" w:hAnsi="Calibri"/>
                <w:b/>
                <w:color w:val="000000"/>
                <w:sz w:val="17"/>
              </w:rPr>
              <w:t>Sub-CPMK 9: Mampu mengelola database time-series InfluxDB dan membangun visualisasi analitik Grafana [C5]</w:t>
            </w:r>
          </w:p>
        </w:tc>
        <w:tc>
          <w:tcPr>
            <w:tcW w:type="dxa" w:w="1843"/>
          </w:tcPr>
          <w:p>
            <w:pPr>
              <w:spacing w:before="40" w:after="40" w:line="252" w:lineRule="auto"/>
              <w:jc w:val="left"/>
            </w:pPr>
            <w:r>
              <w:rPr>
                <w:rFonts w:ascii="Calibri" w:hAnsi="Calibri"/>
                <w:b w:val="0"/>
                <w:color w:val="000000"/>
                <w:sz w:val="17"/>
              </w:rPr>
              <w:t>Kemampuan mendesain skema data time-series (Bucket, Measurement, Tag, Field), query bahasa Flux, dan merancang dashboard monitoring analitik multi-panel di Grafana</w:t>
            </w:r>
          </w:p>
        </w:tc>
        <w:tc>
          <w:tcPr>
            <w:tcW w:type="dxa" w:w="1629"/>
          </w:tcPr>
          <w:p>
            <w:pPr>
              <w:spacing w:before="40" w:after="40" w:line="252" w:lineRule="auto"/>
              <w:jc w:val="left"/>
            </w:pPr>
            <w:r>
              <w:rPr>
                <w:rFonts w:ascii="Calibri" w:hAnsi="Calibri"/>
                <w:b w:val="0"/>
                <w:color w:val="000000"/>
                <w:sz w:val="17"/>
              </w:rPr>
              <w:t>Kriteria: Efisiensi penyimpanan data deret waktu &amp; keindahan visualisasi Grafana; Teknik: Lembar Kerja Praktikum Time-Series</w:t>
            </w:r>
          </w:p>
        </w:tc>
        <w:tc>
          <w:tcPr>
            <w:tcW w:type="dxa" w:w="1677"/>
          </w:tcPr>
          <w:p>
            <w:pPr>
              <w:spacing w:before="40" w:after="40" w:line="252" w:lineRule="auto"/>
              <w:jc w:val="left"/>
            </w:pPr>
            <w:r>
              <w:rPr>
                <w:rFonts w:ascii="Calibri" w:hAnsi="Calibri"/>
                <w:b w:val="0"/>
                <w:color w:val="000000"/>
                <w:sz w:val="17"/>
              </w:rPr>
              <w:t>Workshop Lab: Integrasi Node-RED -&gt; InfluxDB -&gt; Grafana Monitoring Server di Lab Komputer (PB: 3x50'; PT: 3x60'; BM: 3x60')</w:t>
            </w:r>
          </w:p>
        </w:tc>
        <w:tc>
          <w:tcPr>
            <w:tcW w:type="dxa" w:w="1998"/>
          </w:tcPr>
          <w:p>
            <w:pPr>
              <w:spacing w:before="40" w:after="40" w:line="252" w:lineRule="auto"/>
              <w:jc w:val="left"/>
            </w:pPr>
            <w:r>
              <w:rPr>
                <w:rFonts w:ascii="Calibri" w:hAnsi="Calibri"/>
                <w:b w:val="0"/>
                <w:color w:val="000000"/>
                <w:sz w:val="17"/>
              </w:rPr>
              <w:t>Diskusi optimasi retensi data time-series sensor di forum LMS UNIROW</w:t>
            </w:r>
          </w:p>
        </w:tc>
        <w:tc>
          <w:tcPr>
            <w:tcW w:type="dxa" w:w="3058"/>
          </w:tcPr>
          <w:p>
            <w:pPr>
              <w:spacing w:before="40" w:after="40" w:line="252" w:lineRule="auto"/>
              <w:jc w:val="left"/>
            </w:pPr>
            <w:r>
              <w:rPr>
                <w:rFonts w:ascii="Calibri" w:hAnsi="Calibri"/>
                <w:b w:val="0"/>
                <w:color w:val="000000"/>
                <w:sz w:val="17"/>
              </w:rPr>
              <w:t>Time-Series Database (TSDB), InfluxDB Architecture (Retention Policy, Continuous Queries), Grafana Dashboard Customization (Lea Bab 8, Buyya Bab 7)</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12</w:t>
            </w:r>
          </w:p>
        </w:tc>
        <w:tc>
          <w:tcPr>
            <w:tcW w:type="dxa" w:w="2283"/>
          </w:tcPr>
          <w:p>
            <w:pPr>
              <w:spacing w:before="40" w:after="40" w:line="252" w:lineRule="auto"/>
              <w:jc w:val="left"/>
            </w:pPr>
            <w:r>
              <w:rPr>
                <w:rFonts w:ascii="Calibri" w:hAnsi="Calibri"/>
                <w:b/>
                <w:color w:val="000000"/>
                <w:sz w:val="17"/>
              </w:rPr>
              <w:t>Sub-CPMK 10: Mampu menerapkan keamanan komunikasi IoT (TLS/SSL, autentikasi) dan pembaruan firmware nirkabel OTA [C4, C5]</w:t>
            </w:r>
          </w:p>
        </w:tc>
        <w:tc>
          <w:tcPr>
            <w:tcW w:type="dxa" w:w="1843"/>
          </w:tcPr>
          <w:p>
            <w:pPr>
              <w:spacing w:before="40" w:after="40" w:line="252" w:lineRule="auto"/>
              <w:jc w:val="left"/>
            </w:pPr>
            <w:r>
              <w:rPr>
                <w:rFonts w:ascii="Calibri" w:hAnsi="Calibri"/>
                <w:b w:val="0"/>
                <w:color w:val="000000"/>
                <w:sz w:val="17"/>
              </w:rPr>
              <w:t>Ketepatan implementasi sertifikat CA/SSL pada koneksi MQTT (Port 8883 MQTTS), autentikasi token JWT, fitur Over-The-Air (OTA Web Updater), dan konfigurasi Deep Sleep mode</w:t>
            </w:r>
          </w:p>
        </w:tc>
        <w:tc>
          <w:tcPr>
            <w:tcW w:type="dxa" w:w="1629"/>
          </w:tcPr>
          <w:p>
            <w:pPr>
              <w:spacing w:before="40" w:after="40" w:line="252" w:lineRule="auto"/>
              <w:jc w:val="left"/>
            </w:pPr>
            <w:r>
              <w:rPr>
                <w:rFonts w:ascii="Calibri" w:hAnsi="Calibri"/>
                <w:b w:val="0"/>
                <w:color w:val="000000"/>
                <w:sz w:val="17"/>
              </w:rPr>
              <w:t>Kriteria: Ketahanan keamanan data terhadap serangan man-in-the-middle &amp; keberhasilan update OTA; Teknik: Tugas Keamanan IoT</w:t>
            </w:r>
          </w:p>
        </w:tc>
        <w:tc>
          <w:tcPr>
            <w:tcW w:type="dxa" w:w="1677"/>
          </w:tcPr>
          <w:p>
            <w:pPr>
              <w:spacing w:before="40" w:after="40" w:line="252" w:lineRule="auto"/>
              <w:jc w:val="left"/>
            </w:pPr>
            <w:r>
              <w:rPr>
                <w:rFonts w:ascii="Calibri" w:hAnsi="Calibri"/>
                <w:b w:val="0"/>
                <w:color w:val="000000"/>
                <w:sz w:val="17"/>
              </w:rPr>
              <w:t>Kuliah Diskusi, Praktik Pengamanan Komunikasi Sensor Menggunakan Enkripsi TLS/SSL dan Fitur ArduinoOTA di ESP32 (PB: 3x50'; PT: 3x60'; BM: 3x60')</w:t>
            </w:r>
          </w:p>
        </w:tc>
        <w:tc>
          <w:tcPr>
            <w:tcW w:type="dxa" w:w="1998"/>
          </w:tcPr>
          <w:p>
            <w:pPr>
              <w:spacing w:before="40" w:after="40" w:line="252" w:lineRule="auto"/>
              <w:jc w:val="left"/>
            </w:pPr>
            <w:r>
              <w:rPr>
                <w:rFonts w:ascii="Calibri" w:hAnsi="Calibri"/>
                <w:b w:val="0"/>
                <w:color w:val="000000"/>
                <w:sz w:val="17"/>
              </w:rPr>
              <w:t>Unduh modul keamanan IoT dan checklist kerentanan OWASP IoT Top 10 di LMS UNIROW</w:t>
            </w:r>
          </w:p>
        </w:tc>
        <w:tc>
          <w:tcPr>
            <w:tcW w:type="dxa" w:w="3058"/>
          </w:tcPr>
          <w:p>
            <w:pPr>
              <w:spacing w:before="40" w:after="40" w:line="252" w:lineRule="auto"/>
              <w:jc w:val="left"/>
            </w:pPr>
            <w:r>
              <w:rPr>
                <w:rFonts w:ascii="Calibri" w:hAnsi="Calibri"/>
                <w:b w:val="0"/>
                <w:color w:val="000000"/>
                <w:sz w:val="17"/>
              </w:rPr>
              <w:t>Keamanan IoT: Enkripsi TLS/SSL, X.509 Certificates, Token Authentication, OWASP IoT Top 10, Over-The-Air (OTA) Updates, Power Optimization (Hanes Bab 10, Lea Bab 11)</w:t>
            </w:r>
          </w:p>
        </w:tc>
        <w:tc>
          <w:tcPr>
            <w:tcW w:type="dxa" w:w="1260"/>
          </w:tcPr>
          <w:p>
            <w:pPr>
              <w:spacing w:before="40" w:after="40" w:line="252" w:lineRule="auto"/>
              <w:jc w:val="center"/>
            </w:pPr>
            <w:r>
              <w:rPr>
                <w:rFonts w:ascii="Calibri" w:hAnsi="Calibri"/>
                <w:b/>
                <w:color w:val="000000"/>
                <w:sz w:val="17"/>
              </w:rPr>
              <w:t>4%</w:t>
            </w:r>
          </w:p>
        </w:tc>
      </w:tr>
      <w:tr>
        <w:tc>
          <w:tcPr>
            <w:tcW w:type="dxa" w:w="547"/>
          </w:tcPr>
          <w:p>
            <w:pPr>
              <w:spacing w:before="40" w:after="40" w:line="252" w:lineRule="auto"/>
              <w:jc w:val="center"/>
            </w:pPr>
            <w:r>
              <w:rPr>
                <w:rFonts w:ascii="Calibri" w:hAnsi="Calibri"/>
                <w:b/>
                <w:color w:val="000000"/>
                <w:sz w:val="17"/>
              </w:rPr>
              <w:t>13</w:t>
            </w:r>
          </w:p>
        </w:tc>
        <w:tc>
          <w:tcPr>
            <w:tcW w:type="dxa" w:w="2283"/>
          </w:tcPr>
          <w:p>
            <w:pPr>
              <w:spacing w:before="40" w:after="40" w:line="252" w:lineRule="auto"/>
              <w:jc w:val="left"/>
            </w:pPr>
            <w:r>
              <w:rPr>
                <w:rFonts w:ascii="Calibri" w:hAnsi="Calibri"/>
                <w:b/>
                <w:color w:val="000000"/>
                <w:sz w:val="17"/>
              </w:rPr>
              <w:t>Sub-CPMK 10: Mampu menerapkan konsep Edge Computing dan inferensi TinyML sederhana pada mikrokontroler [C4, C5]</w:t>
            </w:r>
          </w:p>
        </w:tc>
        <w:tc>
          <w:tcPr>
            <w:tcW w:type="dxa" w:w="1843"/>
          </w:tcPr>
          <w:p>
            <w:pPr>
              <w:spacing w:before="40" w:after="40" w:line="252" w:lineRule="auto"/>
              <w:jc w:val="left"/>
            </w:pPr>
            <w:r>
              <w:rPr>
                <w:rFonts w:ascii="Calibri" w:hAnsi="Calibri"/>
                <w:b w:val="0"/>
                <w:color w:val="000000"/>
                <w:sz w:val="17"/>
              </w:rPr>
              <w:t>Pemahaman edge computing vs cloud analytics, kemampuan melatih model klasifikasi sensor sederhana (misal deteksi anomali getaran/suara) dan deploy ke ESP32 via Edge Impulse / TFLite</w:t>
            </w:r>
          </w:p>
        </w:tc>
        <w:tc>
          <w:tcPr>
            <w:tcW w:type="dxa" w:w="1629"/>
          </w:tcPr>
          <w:p>
            <w:pPr>
              <w:spacing w:before="40" w:after="40" w:line="252" w:lineRule="auto"/>
              <w:jc w:val="left"/>
            </w:pPr>
            <w:r>
              <w:rPr>
                <w:rFonts w:ascii="Calibri" w:hAnsi="Calibri"/>
                <w:b w:val="0"/>
                <w:color w:val="000000"/>
                <w:sz w:val="17"/>
              </w:rPr>
              <w:t>Kriteria: Akurasi model klasifikasi pada mikrokontroler berdaya rendah; Teknik: Lembar Kerja TinyML</w:t>
            </w:r>
          </w:p>
        </w:tc>
        <w:tc>
          <w:tcPr>
            <w:tcW w:type="dxa" w:w="1677"/>
          </w:tcPr>
          <w:p>
            <w:pPr>
              <w:spacing w:before="40" w:after="40" w:line="252" w:lineRule="auto"/>
              <w:jc w:val="left"/>
            </w:pPr>
            <w:r>
              <w:rPr>
                <w:rFonts w:ascii="Calibri" w:hAnsi="Calibri"/>
                <w:b w:val="0"/>
                <w:color w:val="000000"/>
                <w:sz w:val="17"/>
              </w:rPr>
              <w:t>Kuliah Mimbar, Demonstrasi Pengambilan Data Sensor, Ekstraksi Fitur, dan Deployment Model Klasifikasi TinyML ke ESP32 (PB: 3x50'; PT: 3x60'; BM: 3x60')</w:t>
            </w:r>
          </w:p>
        </w:tc>
        <w:tc>
          <w:tcPr>
            <w:tcW w:type="dxa" w:w="1998"/>
          </w:tcPr>
          <w:p>
            <w:pPr>
              <w:spacing w:before="40" w:after="40" w:line="252" w:lineRule="auto"/>
              <w:jc w:val="left"/>
            </w:pPr>
            <w:r>
              <w:rPr>
                <w:rFonts w:ascii="Calibri" w:hAnsi="Calibri"/>
                <w:b w:val="0"/>
                <w:color w:val="000000"/>
                <w:sz w:val="17"/>
              </w:rPr>
              <w:t>Eksplorasi platform Edge Impulse dan uji live inference di LMS UNIROW</w:t>
            </w:r>
          </w:p>
        </w:tc>
        <w:tc>
          <w:tcPr>
            <w:tcW w:type="dxa" w:w="3058"/>
          </w:tcPr>
          <w:p>
            <w:pPr>
              <w:spacing w:before="40" w:after="40" w:line="252" w:lineRule="auto"/>
              <w:jc w:val="left"/>
            </w:pPr>
            <w:r>
              <w:rPr>
                <w:rFonts w:ascii="Calibri" w:hAnsi="Calibri"/>
                <w:b w:val="0"/>
                <w:color w:val="000000"/>
                <w:sz w:val="17"/>
              </w:rPr>
              <w:t>Edge Computing, Konsep TinyML, Model Quantization (INT8), TensorFlow Lite for Microcontrollers, Studi Kasus Anomaly Detection pada Sensor (Warden &amp; Situnayake Bab 1-3)</w:t>
            </w:r>
          </w:p>
        </w:tc>
        <w:tc>
          <w:tcPr>
            <w:tcW w:type="dxa" w:w="1260"/>
          </w:tcPr>
          <w:p>
            <w:pPr>
              <w:spacing w:before="40" w:after="40" w:line="252" w:lineRule="auto"/>
              <w:jc w:val="center"/>
            </w:pPr>
            <w:r>
              <w:rPr>
                <w:rFonts w:ascii="Calibri" w:hAnsi="Calibri"/>
                <w:b/>
                <w:color w:val="000000"/>
                <w:sz w:val="17"/>
              </w:rPr>
              <w:t>4%</w:t>
            </w:r>
          </w:p>
        </w:tc>
      </w:tr>
      <w:tr>
        <w:tc>
          <w:tcPr>
            <w:tcW w:type="dxa" w:w="547"/>
          </w:tcPr>
          <w:p>
            <w:pPr>
              <w:spacing w:before="40" w:after="40" w:line="252" w:lineRule="auto"/>
              <w:jc w:val="center"/>
            </w:pPr>
            <w:r>
              <w:rPr>
                <w:rFonts w:ascii="Calibri" w:hAnsi="Calibri"/>
                <w:b/>
                <w:color w:val="000000"/>
                <w:sz w:val="17"/>
              </w:rPr>
              <w:t>14</w:t>
            </w:r>
          </w:p>
        </w:tc>
        <w:tc>
          <w:tcPr>
            <w:tcW w:type="dxa" w:w="2283"/>
          </w:tcPr>
          <w:p>
            <w:pPr>
              <w:spacing w:before="40" w:after="40" w:line="252" w:lineRule="auto"/>
              <w:jc w:val="left"/>
            </w:pPr>
            <w:r>
              <w:rPr>
                <w:rFonts w:ascii="Calibri" w:hAnsi="Calibri"/>
                <w:b/>
                <w:color w:val="000000"/>
                <w:sz w:val="17"/>
              </w:rPr>
              <w:t>Sub-CPMK 11: Mampu merancang dan mengintegrasikan arsitektur purwarupa sistem cerdas IoT (Hardware, Cloud, Dashboard) [C5, C6]</w:t>
            </w:r>
          </w:p>
        </w:tc>
        <w:tc>
          <w:tcPr>
            <w:tcW w:type="dxa" w:w="1843"/>
          </w:tcPr>
          <w:p>
            <w:pPr>
              <w:spacing w:before="40" w:after="40" w:line="252" w:lineRule="auto"/>
              <w:jc w:val="left"/>
            </w:pPr>
            <w:r>
              <w:rPr>
                <w:rFonts w:ascii="Calibri" w:hAnsi="Calibri"/>
                <w:b w:val="0"/>
                <w:color w:val="000000"/>
                <w:sz w:val="17"/>
              </w:rPr>
              <w:t>Kemampuan mengintegrasikan seluruh subsistem (perangkat keras sensor/aktuator, mikrokontroler, konektivitas nirkabel, middleware otomasi, dan cloud dashboard) menjadi satu produk terpadu</w:t>
            </w:r>
          </w:p>
        </w:tc>
        <w:tc>
          <w:tcPr>
            <w:tcW w:type="dxa" w:w="1629"/>
          </w:tcPr>
          <w:p>
            <w:pPr>
              <w:spacing w:before="40" w:after="40" w:line="252" w:lineRule="auto"/>
              <w:jc w:val="left"/>
            </w:pPr>
            <w:r>
              <w:rPr>
                <w:rFonts w:ascii="Calibri" w:hAnsi="Calibri"/>
                <w:b w:val="0"/>
                <w:color w:val="000000"/>
                <w:sz w:val="17"/>
              </w:rPr>
              <w:t>Kriteria: Kematangan integrasi sistem &amp; efisiensi daya purwarupa; Teknik: Asesmen Progres Proyek Capstone Tahap 2</w:t>
            </w:r>
          </w:p>
        </w:tc>
        <w:tc>
          <w:tcPr>
            <w:tcW w:type="dxa" w:w="1677"/>
          </w:tcPr>
          <w:p>
            <w:pPr>
              <w:spacing w:before="40" w:after="40" w:line="252" w:lineRule="auto"/>
              <w:jc w:val="left"/>
            </w:pPr>
            <w:r>
              <w:rPr>
                <w:rFonts w:ascii="Calibri" w:hAnsi="Calibri"/>
                <w:b w:val="0"/>
                <w:color w:val="000000"/>
                <w:sz w:val="17"/>
              </w:rPr>
              <w:t>Project-Based Learning Workshop: Troubleshooting, Perakitan Fisik (Packaging/Enclosure), dan Uji Reliabilitas Purwarupa di Lab (PB: 3x50'; PT: 3x60'; BM: 3x60')</w:t>
            </w:r>
          </w:p>
        </w:tc>
        <w:tc>
          <w:tcPr>
            <w:tcW w:type="dxa" w:w="1998"/>
          </w:tcPr>
          <w:p>
            <w:pPr>
              <w:spacing w:before="40" w:after="40" w:line="252" w:lineRule="auto"/>
              <w:jc w:val="left"/>
            </w:pPr>
            <w:r>
              <w:rPr>
                <w:rFonts w:ascii="Calibri" w:hAnsi="Calibri"/>
                <w:b w:val="0"/>
                <w:color w:val="000000"/>
                <w:sz w:val="17"/>
              </w:rPr>
              <w:t>Upload draf naskah laporan teknis proyek dan skematik sirkuit di LMS UNIROW</w:t>
            </w:r>
          </w:p>
        </w:tc>
        <w:tc>
          <w:tcPr>
            <w:tcW w:type="dxa" w:w="3058"/>
          </w:tcPr>
          <w:p>
            <w:pPr>
              <w:spacing w:before="40" w:after="40" w:line="252" w:lineRule="auto"/>
              <w:jc w:val="left"/>
            </w:pPr>
            <w:r>
              <w:rPr>
                <w:rFonts w:ascii="Calibri" w:hAnsi="Calibri"/>
                <w:b w:val="0"/>
                <w:color w:val="000000"/>
                <w:sz w:val="17"/>
              </w:rPr>
              <w:t>Metodologi Rekayasa Produk IoT, Skematik Sirkuit Elektronika, Packaging &amp; Enclosure 3D Print, Pengujian Reliabilitas Sistem (Lea Bab 12)</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15</w:t>
            </w:r>
          </w:p>
        </w:tc>
        <w:tc>
          <w:tcPr>
            <w:tcW w:type="dxa" w:w="2283"/>
          </w:tcPr>
          <w:p>
            <w:pPr>
              <w:spacing w:before="40" w:after="40" w:line="252" w:lineRule="auto"/>
              <w:jc w:val="left"/>
            </w:pPr>
            <w:r>
              <w:rPr>
                <w:rFonts w:ascii="Calibri" w:hAnsi="Calibri"/>
                <w:b/>
                <w:color w:val="000000"/>
                <w:sz w:val="17"/>
              </w:rPr>
              <w:t>Sub-CPMK 11: Mampu memvalidasi purwarupa IoT di lapangan, mengevaluasi kinerja, dan mempresentasikannya secara profesional [A4, C6]</w:t>
            </w:r>
          </w:p>
        </w:tc>
        <w:tc>
          <w:tcPr>
            <w:tcW w:type="dxa" w:w="1843"/>
          </w:tcPr>
          <w:p>
            <w:pPr>
              <w:spacing w:before="40" w:after="40" w:line="252" w:lineRule="auto"/>
              <w:jc w:val="left"/>
            </w:pPr>
            <w:r>
              <w:rPr>
                <w:rFonts w:ascii="Calibri" w:hAnsi="Calibri"/>
                <w:b w:val="0"/>
                <w:color w:val="000000"/>
                <w:sz w:val="17"/>
              </w:rPr>
              <w:t>Keahlian melakukan uji coba kondisi riil, kalibrasi sensor, pengujian baterai, komunikasi tim yang kompak, demonstrasi produk interaktif, dan respon ilmiah terhadap pertanyaan penguji</w:t>
            </w:r>
          </w:p>
        </w:tc>
        <w:tc>
          <w:tcPr>
            <w:tcW w:type="dxa" w:w="1629"/>
          </w:tcPr>
          <w:p>
            <w:pPr>
              <w:spacing w:before="40" w:after="40" w:line="252" w:lineRule="auto"/>
              <w:jc w:val="left"/>
            </w:pPr>
            <w:r>
              <w:rPr>
                <w:rFonts w:ascii="Calibri" w:hAnsi="Calibri"/>
                <w:b w:val="0"/>
                <w:color w:val="000000"/>
                <w:sz w:val="17"/>
              </w:rPr>
              <w:t>Kriteria: Rubrik Penilaian Presentasi &amp; Unjuk Kerja Alat (Skala 1-5); Teknik: Seminar Pleno Expo IoT Mahasiswa</w:t>
            </w:r>
          </w:p>
        </w:tc>
        <w:tc>
          <w:tcPr>
            <w:tcW w:type="dxa" w:w="1677"/>
          </w:tcPr>
          <w:p>
            <w:pPr>
              <w:spacing w:before="40" w:after="40" w:line="252" w:lineRule="auto"/>
              <w:jc w:val="left"/>
            </w:pPr>
            <w:r>
              <w:rPr>
                <w:rFonts w:ascii="Calibri" w:hAnsi="Calibri"/>
                <w:b w:val="0"/>
                <w:color w:val="000000"/>
                <w:sz w:val="17"/>
              </w:rPr>
              <w:t>Expo Pameran &amp; Sidang Presentasi Proyek IoT, Live Demo Alat Beroperasi Nyata &amp; Sesi Uji Pertanyaan Tim Penguji (PB: 3x50'; PT: 3x60'; BM: 3x60')</w:t>
            </w:r>
          </w:p>
        </w:tc>
        <w:tc>
          <w:tcPr>
            <w:tcW w:type="dxa" w:w="1998"/>
          </w:tcPr>
          <w:p>
            <w:pPr>
              <w:spacing w:before="40" w:after="40" w:line="252" w:lineRule="auto"/>
              <w:jc w:val="left"/>
            </w:pPr>
            <w:r>
              <w:rPr>
                <w:rFonts w:ascii="Calibri" w:hAnsi="Calibri"/>
                <w:b w:val="0"/>
                <w:color w:val="000000"/>
                <w:sz w:val="17"/>
              </w:rPr>
              <w:t>Unggah video demonstrasi alat (YouTube unlisted link) dan peer-review nilai rekan tim di LMS UNIROW</w:t>
            </w:r>
          </w:p>
        </w:tc>
        <w:tc>
          <w:tcPr>
            <w:tcW w:type="dxa" w:w="3058"/>
          </w:tcPr>
          <w:p>
            <w:pPr>
              <w:spacing w:before="40" w:after="40" w:line="252" w:lineRule="auto"/>
              <w:jc w:val="left"/>
            </w:pPr>
            <w:r>
              <w:rPr>
                <w:rFonts w:ascii="Calibri" w:hAnsi="Calibri"/>
                <w:b w:val="0"/>
                <w:color w:val="000000"/>
                <w:sz w:val="17"/>
              </w:rPr>
              <w:t>Komunikasi Profesional Rekayasa IoT, Dokumentasi Teknis Open-Source (GitHub Readme &amp; Wiring Diagram), Diseminasi Produk Teknologi</w:t>
            </w:r>
          </w:p>
        </w:tc>
        <w:tc>
          <w:tcPr>
            <w:tcW w:type="dxa" w:w="1260"/>
          </w:tcPr>
          <w:p>
            <w:pPr>
              <w:spacing w:before="40" w:after="40" w:line="252" w:lineRule="auto"/>
              <w:jc w:val="center"/>
            </w:pPr>
            <w:r>
              <w:rPr>
                <w:rFonts w:ascii="Calibri" w:hAnsi="Calibri"/>
                <w:b/>
                <w:color w:val="000000"/>
                <w:sz w:val="17"/>
              </w:rPr>
              <w:t>7%</w:t>
            </w:r>
          </w:p>
        </w:tc>
      </w:tr>
      <w:tr>
        <w:tc>
          <w:tcPr>
            <w:tcW w:type="dxa" w:w="547"/>
            <w:shd w:fill="FFF2CC"/>
          </w:tcPr>
          <w:p>
            <w:pPr>
              <w:spacing w:before="40" w:after="40" w:line="252" w:lineRule="auto"/>
              <w:jc w:val="center"/>
            </w:pPr>
            <w:r>
              <w:rPr>
                <w:rFonts w:ascii="Calibri" w:hAnsi="Calibri"/>
                <w:b/>
                <w:color w:val="000000"/>
                <w:sz w:val="17"/>
              </w:rPr>
              <w:t>16</w:t>
            </w:r>
          </w:p>
        </w:tc>
        <w:tc>
          <w:tcPr>
            <w:tcW w:type="dxa" w:w="2283"/>
            <w:shd w:fill="FFF2CC"/>
          </w:tcPr>
          <w:p>
            <w:pPr>
              <w:spacing w:before="40" w:after="40" w:line="252" w:lineRule="auto"/>
              <w:jc w:val="left"/>
            </w:pPr>
            <w:r>
              <w:rPr>
                <w:rFonts w:ascii="Calibri" w:hAnsi="Calibri"/>
                <w:b/>
                <w:color w:val="000000"/>
                <w:sz w:val="17"/>
              </w:rPr>
              <w:t>Evaluasi Akhir Semester (UAS): Mengukur ketercapaian CPMK3 dan CPMK4 (Sub-CPMK 8 s.d. 11) berbasis Capstone Project IoT</w:t>
            </w:r>
          </w:p>
        </w:tc>
        <w:tc>
          <w:tcPr>
            <w:tcW w:type="dxa" w:w="1843"/>
            <w:shd w:fill="FFF2CC"/>
          </w:tcPr>
          <w:p>
            <w:pPr>
              <w:spacing w:before="40" w:after="40" w:line="252" w:lineRule="auto"/>
              <w:jc w:val="left"/>
            </w:pPr>
            <w:r>
              <w:rPr>
                <w:rFonts w:ascii="Calibri" w:hAnsi="Calibri"/>
                <w:b w:val="0"/>
                <w:color w:val="000000"/>
                <w:sz w:val="17"/>
              </w:rPr>
              <w:t>Kualitas purwarupa perangkat keras, stabilitas transmisi data telemetri, kematangan dashboard awan, kelengkapan naskah laporan ilmiah, dan kebersihan repositori kode</w:t>
            </w:r>
          </w:p>
        </w:tc>
        <w:tc>
          <w:tcPr>
            <w:tcW w:type="dxa" w:w="1629"/>
            <w:shd w:fill="FFF2CC"/>
          </w:tcPr>
          <w:p>
            <w:pPr>
              <w:spacing w:before="40" w:after="40" w:line="252" w:lineRule="auto"/>
              <w:jc w:val="left"/>
            </w:pPr>
            <w:r>
              <w:rPr>
                <w:rFonts w:ascii="Calibri" w:hAnsi="Calibri"/>
                <w:b w:val="0"/>
                <w:color w:val="000000"/>
                <w:sz w:val="17"/>
              </w:rPr>
              <w:t>Kriteria: Rubrik Holistik Capstone Project IoT &amp; Deliverables (Skala 1-100); Teknik: Penilaian Naskah Final &amp; Portofolio Produk</w:t>
            </w:r>
          </w:p>
        </w:tc>
        <w:tc>
          <w:tcPr>
            <w:tcW w:type="dxa" w:w="1677"/>
            <w:shd w:fill="FFF2CC"/>
          </w:tcPr>
          <w:p>
            <w:pPr>
              <w:spacing w:before="40" w:after="40" w:line="252" w:lineRule="auto"/>
              <w:jc w:val="left"/>
            </w:pPr>
            <w:r>
              <w:rPr>
                <w:rFonts w:ascii="Calibri" w:hAnsi="Calibri"/>
                <w:b w:val="0"/>
                <w:color w:val="000000"/>
                <w:sz w:val="17"/>
              </w:rPr>
              <w:t>Penyerahan Purwarupa Alat Terpadu, Naskah Laporan Akhir Resmi, dan Evaluasi Kelayakan Produk</w:t>
            </w:r>
          </w:p>
        </w:tc>
        <w:tc>
          <w:tcPr>
            <w:tcW w:type="dxa" w:w="1998"/>
            <w:shd w:fill="FFF2CC"/>
          </w:tcPr>
          <w:p>
            <w:pPr>
              <w:spacing w:before="40" w:after="40" w:line="252" w:lineRule="auto"/>
              <w:jc w:val="left"/>
            </w:pPr>
            <w:r>
              <w:rPr>
                <w:rFonts w:ascii="Calibri" w:hAnsi="Calibri"/>
                <w:b w:val="0"/>
                <w:color w:val="000000"/>
                <w:sz w:val="17"/>
              </w:rPr>
              <w:t>Unggah bundle berkas final (Laporan PDF IEEE format, Skematik Fritzing/EasyEDA, Source Code GitHub, Slide Presentasi) di LMS UNIROW</w:t>
            </w:r>
          </w:p>
        </w:tc>
        <w:tc>
          <w:tcPr>
            <w:tcW w:type="dxa" w:w="3058"/>
            <w:shd w:fill="FFF2CC"/>
          </w:tcPr>
          <w:p>
            <w:pPr>
              <w:spacing w:before="40" w:after="40" w:line="252" w:lineRule="auto"/>
              <w:jc w:val="left"/>
            </w:pPr>
            <w:r>
              <w:rPr>
                <w:rFonts w:ascii="Calibri" w:hAnsi="Calibri"/>
                <w:b w:val="0"/>
                <w:color w:val="000000"/>
                <w:sz w:val="17"/>
              </w:rPr>
              <w:t>Seluruh Bahan Kajian Teknologi Internet of Thing (Minggu 1 s.d. Minggu 15)</w:t>
            </w:r>
          </w:p>
        </w:tc>
        <w:tc>
          <w:tcPr>
            <w:tcW w:type="dxa" w:w="1260"/>
            <w:shd w:fill="FFF2CC"/>
          </w:tcPr>
          <w:p>
            <w:pPr>
              <w:spacing w:before="40" w:after="40" w:line="252" w:lineRule="auto"/>
              <w:jc w:val="center"/>
            </w:pPr>
            <w:r>
              <w:rPr>
                <w:rFonts w:ascii="Calibri" w:hAnsi="Calibri"/>
                <w:b/>
                <w:color w:val="000000"/>
                <w:sz w:val="17"/>
              </w:rPr>
              <w:t>15%</w:t>
            </w:r>
          </w:p>
        </w:tc>
      </w:tr>
      <w:tr>
        <w:tc>
          <w:tcPr>
            <w:tcW w:type="dxa" w:w="547"/>
            <w:shd w:fill="D9E1F2"/>
          </w:tcPr>
          <w:p>
            <w:pPr>
              <w:spacing w:before="40" w:after="40" w:line="252" w:lineRule="auto"/>
              <w:jc w:val="right"/>
            </w:pPr>
            <w:r>
              <w:rPr>
                <w:rFonts w:ascii="Calibri" w:hAnsi="Calibri"/>
                <w:b/>
                <w:color w:val="000000"/>
                <w:sz w:val="18"/>
              </w:rPr>
              <w:t>Total Bobot Penilaian</w:t>
            </w:r>
          </w:p>
        </w:tc>
        <w:tc>
          <w:tcPr>
            <w:tcW w:type="dxa" w:w="2283"/>
            <w:shd w:fill="D9E1F2"/>
          </w:tcPr>
          <w:p>
            <w:r/>
          </w:p>
        </w:tc>
        <w:tc>
          <w:tcPr>
            <w:tcW w:type="dxa" w:w="1843"/>
            <w:shd w:fill="D9E1F2"/>
          </w:tcPr>
          <w:p>
            <w:r/>
          </w:p>
        </w:tc>
        <w:tc>
          <w:tcPr>
            <w:tcW w:type="dxa" w:w="1629"/>
            <w:shd w:fill="D9E1F2"/>
          </w:tcPr>
          <w:p>
            <w:r/>
          </w:p>
        </w:tc>
        <w:tc>
          <w:tcPr>
            <w:tcW w:type="dxa" w:w="1677"/>
            <w:shd w:fill="D9E1F2"/>
          </w:tcPr>
          <w:p>
            <w:r/>
          </w:p>
        </w:tc>
        <w:tc>
          <w:tcPr>
            <w:tcW w:type="dxa" w:w="1998"/>
            <w:shd w:fill="D9E1F2"/>
          </w:tcPr>
          <w:p>
            <w:r/>
          </w:p>
        </w:tc>
        <w:tc>
          <w:tcPr>
            <w:tcW w:type="dxa" w:w="3058"/>
            <w:shd w:fill="D9E1F2"/>
          </w:tcPr>
          <w:p>
            <w:r/>
          </w:p>
        </w:tc>
        <w:tc>
          <w:tcPr>
            <w:tcW w:type="dxa" w:w="1260"/>
            <w:shd w:fill="D9E1F2"/>
          </w:tcPr>
          <w:p>
            <w:pPr>
              <w:spacing w:before="40" w:after="40" w:line="252" w:lineRule="auto"/>
              <w:jc w:val="center"/>
            </w:pPr>
            <w:r>
              <w:rPr>
                <w:rFonts w:ascii="Calibri" w:hAnsi="Calibri"/>
                <w:b/>
                <w:color w:val="000000"/>
                <w:sz w:val="18"/>
              </w:rPr>
              <w:t>100%</w:t>
            </w:r>
          </w:p>
        </w:tc>
      </w:tr>
    </w:tbl>
    <w:p>
      <w:pPr>
        <w:sectPr>
          <w:footerReference w:type="even" r:id="rId10"/>
          <w:footerReference w:type="default" r:id="rId11"/>
          <w:footerReference w:type="first" r:id="rId12"/>
          <w:type w:val="nextPage"/>
          <w:pgSz w:orient="landscape" w:w="16838" w:h="11906"/>
          <w:pgMar w:left="1020" w:right="1280" w:gutter="0" w:header="0" w:top="1100" w:footer="0" w:bottom="280"/>
          <w:pgNumType w:fmt="decimal"/>
          <w:formProt w:val="false"/>
          <w:textDirection w:val="lrTb"/>
          <w:docGrid w:type="default" w:linePitch="100" w:charSpace="0"/>
        </w:sectPr>
      </w:pPr>
      <w:r>
        <w:br w:type="page"/>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77" w:after="0"/>
        <w:ind w:hanging="284" w:start="1078" w:end="336"/>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Capaian Pembelajaran Lulusan PRODI (CPL-PRODI)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kemampuan yang dimiliki oleh setiap lulusan PRODI yang merupakan internalisasi dari sikap, penguasaan pengetahuan dan ketrampilan sesuai dengan jenjang prodinya yang diperoleh melalui proses pembelajaran.</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3" w:after="0"/>
        <w:ind w:hanging="284" w:start="1078" w:end="675"/>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CPL yang dibebankan pada mata kuliah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beberapa capaian pembelajaran lulusan program studi (CPL- PRODI) yang digunakan untuk pembentukan/pengembangan sebuah mata kuliah yang terdiri dari aspek sikap, ketrampulan umum, ketrampilan khusus dan pengetahuan.</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2" w:after="0"/>
        <w:ind w:hanging="284" w:start="1078" w:end="372"/>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CP Mata kuliah (CPMK)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kemampuan yang dijabarkan secara spesifik dari CPL yang dibebankan pada mata kuliah, dan bersifat spesifik terhadap bahan kajian atau materi pembelajaran mata kuliah tersebut.</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2" w:after="0"/>
        <w:ind w:hanging="284" w:start="1078" w:end="617"/>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Indikator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kemampuan dalam proses maupun hasil belajar mahasiswa adalah pernyataan spesifik dan terukur yang mengidentifikasi kemampuan atau kinerja hasil belajar mahasiswa yang disertai bukti-bukti.</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 w:after="0"/>
        <w:ind w:hanging="284" w:start="1078" w:end="224"/>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Kriteria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patokan yang digunakan sebagai ukuran atau tolok ukur ketercapaian pembelajaran dalam penilaian berdasarkan indikator-indikator yang telah ditetapkan. Kreteria penilaian merupakan pedoman bagi penilai agar penilaian konsisten dan tidak bias. Kreteria dapat berupa kuantitatif ataupun kualitatif.</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40" w:before="3"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Teknik penilaian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tes dan non-tes.</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0" w:after="0"/>
        <w:ind w:hanging="284" w:start="1078" w:end="577"/>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Bentuk pembelajaran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Kuliah, Responsi, Tutorial, Seminar atau yang setara, Praktikum, Praktik Studio, Praktik Bengkel, Praktik Lapangan, Penelitian, Pengabdian Kepada Masyarakat dan/atau bentuk pembelajaran lain yang setara.</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2" w:after="0"/>
        <w:ind w:hanging="284" w:start="1078" w:end="203"/>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Metode Pembelajaran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Small Group Discussion, Role-Play &amp; Simulation, Discovery Learning, Self-Directed Learning, Cooperative Learning, Collaborative Learning, Contextual Learning, Project Based Learning, dan metode lainnya yang setara.</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3" w:after="0"/>
        <w:ind w:hanging="284" w:start="1078" w:end="169"/>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Materi Pembelajaran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rincian atau uraian dari bahan kajian yang dapat disajikan dalam bentuk beberapa pokok dan sub-pokok bahasan.</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 w:after="0"/>
        <w:ind w:hanging="284" w:start="1078" w:end="59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Bobot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prosentasi penilaian terhadap setiap pencapaian sub-CPMK yang besarnya proposional dengan tingkat kesulitan pencapaian sub-CPMK tsb., dan totalnya 100%.</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40" w:before="2"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PB</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=Proses Belajar,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PT</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=Penugasan Terstruktur,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KM</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=Kegiatan Mandiri.</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0" w:after="0"/>
        <w:ind w:hanging="284" w:start="1078" w:end="59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Bobot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prosentasi penilaian terhadap setiap pencapaian sub-CPMK yang besarnya proposional dengan tingkat kesulitan pencapaian sub-CPMK tsb., dan totalnya 100%.</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40" w:before="2"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PB</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 Kegiatan Belajar Terbimbing,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PT</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=Kegiatan Penugasan Terstuktur,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KM</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=Kegiatan Mandiri.</w:t>
      </w:r>
    </w:p>
    <w:p>
      <w:pPr>
        <w:pStyle w:val="normal1"/>
        <w:jc w:val="both"/>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jc w:val="center"/>
        <w:rPr>
          <w:rFonts w:ascii="Arial" w:hAnsi="Arial" w:eastAsia="Arial" w:cs="Arial"/>
          <w:sz w:val="20"/>
          <w:szCs w:val="20"/>
        </w:rPr>
      </w:pPr>
      <w:r>
        <w:rPr>
          <w:b/>
        </w:rPr>
        <w:t>RPS ini telah divalidasi pada tanggal 25 Agustus 2025</w:t>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t>Ketua Program Studi</w:t>
        <w:tab/>
        <w:tab/>
        <w:tab/>
        <w:tab/>
        <w:tab/>
        <w:tab/>
        <w:tab/>
        <w:t>UJM Program Studi</w:t>
      </w:r>
    </w:p>
    <w:p>
      <w:pPr>
        <w:pStyle w:val="normal1"/>
        <w:rPr>
          <w:rFonts w:ascii="Arial" w:hAnsi="Arial" w:eastAsia="Arial" w:cs="Arial"/>
          <w:sz w:val="20"/>
          <w:szCs w:val="20"/>
        </w:rPr>
      </w:pPr>
      <w:r>
        <w:t>PROGRAM STUDI S1 INFORMATIKA</w:t>
        <w:tab/>
        <w:tab/>
        <w:tab/>
        <w:tab/>
        <w:tab/>
        <w:t>PROGRAM STUDI S1 INFORMATIKA</w:t>
      </w:r>
    </w:p>
    <w:p>
      <w:pPr>
        <w:pStyle w:val="normal1"/>
        <w:rPr>
          <w:rFonts w:ascii="Arial" w:hAnsi="Arial" w:eastAsia="Arial" w:cs="Arial"/>
          <w:sz w:val="20"/>
          <w:szCs w:val="20"/>
        </w:rPr>
      </w:pPr>
      <w:r>
        <w:rPr/>
        <w:drawing>
          <wp:inline distT="0" distB="0" distL="0" distR="0">
            <wp:extent cx="738505" cy="662940"/>
            <wp:effectExtent l="0" t="0" r="0" b="0"/>
            <wp:docPr id="1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a:picLocks noChangeAspect="1" noChangeArrowheads="1"/>
                    </pic:cNvPicPr>
                  </pic:nvPicPr>
                  <pic:blipFill>
                    <a:blip r:embed="rId13"/>
                    <a:stretch>
                      <a:fillRect/>
                    </a:stretch>
                  </pic:blipFill>
                  <pic:spPr bwMode="auto">
                    <a:xfrm>
                      <a:off x="0" y="0"/>
                      <a:ext cx="738505" cy="662940"/>
                    </a:xfrm>
                    <a:prstGeom prst="rect">
                      <a:avLst/>
                    </a:prstGeom>
                    <a:noFill/>
                  </pic:spPr>
                </pic:pic>
              </a:graphicData>
            </a:graphic>
          </wp:inline>
        </w:drawing>
      </w:r>
      <w:r>
        <w:rPr>
          <w:rFonts w:eastAsia="Arial" w:cs="Arial" w:ascii="Arial" w:hAnsi="Arial"/>
          <w:sz w:val="20"/>
          <w:szCs w:val="20"/>
        </w:rPr>
        <w:tab/>
        <w:tab/>
        <w:tab/>
        <w:tab/>
        <w:tab/>
        <w:tab/>
        <w:tab/>
        <w:tab/>
      </w:r>
      <w:r>
        <w:rPr/>
        <w:drawing>
          <wp:inline distT="0" distB="0" distL="0" distR="0">
            <wp:extent cx="738505" cy="662940"/>
            <wp:effectExtent l="0" t="0" r="0" b="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14"/>
                    <a:stretch>
                      <a:fillRect/>
                    </a:stretch>
                  </pic:blipFill>
                  <pic:spPr bwMode="auto">
                    <a:xfrm>
                      <a:off x="0" y="0"/>
                      <a:ext cx="738505" cy="662940"/>
                    </a:xfrm>
                    <a:prstGeom prst="rect">
                      <a:avLst/>
                    </a:prstGeom>
                    <a:noFill/>
                  </pic:spPr>
                </pic:pic>
              </a:graphicData>
            </a:graphic>
          </wp:inline>
        </w:drawing>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b/>
          <w:u w:val="single"/>
        </w:rPr>
        <w:t>AMALUDIN ARIFIA, M.Kom.</w:t>
        <w:tab/>
        <w:tab/>
        <w:tab/>
        <w:tab/>
        <w:tab/>
        <w:t>UJM Program Studi Informatika</w:t>
      </w:r>
    </w:p>
    <w:p>
      <w:pPr>
        <w:pStyle w:val="normal1"/>
        <w:rPr>
          <w:rFonts w:ascii="Arial" w:hAnsi="Arial" w:eastAsia="Arial" w:cs="Arial"/>
          <w:sz w:val="20"/>
          <w:szCs w:val="20"/>
        </w:rPr>
      </w:pPr>
      <w:r>
        <w:t>NIDN: 07xxxxxxxx</w:t>
        <w:tab/>
        <w:tab/>
        <w:tab/>
        <w:tab/>
        <w:tab/>
        <w:t>NIDN: 07xxxxxxxx</w:t>
      </w:r>
    </w:p>
    <w:p>
      <w:pPr>
        <w:pStyle w:val="normal1"/>
        <w:rPr>
          <w:rFonts w:ascii="Arial" w:hAnsi="Arial" w:eastAsia="Arial" w:cs="Arial"/>
          <w:sz w:val="20"/>
          <w:szCs w:val="20"/>
        </w:rPr>
      </w:pPr>
      <w:r>
        <w:rPr>
          <w:rFonts w:eastAsia="Arial" w:cs="Arial" w:ascii="Arial" w:hAnsi="Arial"/>
          <w:sz w:val="20"/>
          <w:szCs w:val="20"/>
        </w:rPr>
      </w:r>
    </w:p>
    <w:p>
      <w:pPr>
        <w:pStyle w:val="normal1"/>
        <w:jc w:val="end"/>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val="false"/>
        <w:pBdr/>
        <w:shd w:val="clear" w:fill="auto"/>
        <w:spacing w:lineRule="auto" w:line="240" w:before="0" w:after="0"/>
        <w:ind w:hanging="0" w:start="0" w:end="0"/>
        <w:jc w:val="start"/>
        <w:rPr>
          <w:rFonts w:ascii="Roboto" w:hAnsi="Roboto" w:eastAsia="Roboto" w:cs="Robot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Roboto" w:cs="Roboto" w:ascii="Roboto" w:hAnsi="Roboto"/>
          <w:b w:val="false"/>
          <w:bCs w:val="false"/>
          <w:i w:val="false"/>
          <w:iCs w:val="false"/>
          <w:caps w:val="false"/>
          <w:smallCaps w:val="false"/>
          <w:strike w:val="false"/>
          <w:dstrike w:val="false"/>
          <w:color w:val="000000"/>
          <w:position w:val="0"/>
          <w:sz w:val="18"/>
          <w:szCs w:val="18"/>
          <w:u w:val="none"/>
          <w:shd w:fill="auto" w:val="clear"/>
          <w:vertAlign w:val="baseline"/>
        </w:rPr>
      </w:r>
    </w:p>
    <w:p>
      <w:r>
        <w:br w:type="page"/>
      </w:r>
    </w:p>
    <w:p>
      <w:pPr>
        <w:pStyle w:val="Heading1"/>
        <w:jc w:val="center"/>
      </w:pPr>
      <w:r>
        <w:t>RANCANGAN TUGAS TERSTRUKTUR MAHASISWA</w:t>
      </w:r>
    </w:p>
    <w:p>
      <w:r>
        <w:rPr>
          <w:b/>
          <w:sz w:val="22"/>
        </w:rPr>
        <w:t xml:space="preserve">TUGAS 1: </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Teknologi Internet of Thing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 1, Sub-CPMK 2, Sub-CPMK 3</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 Waktu: 2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Mahasiswa secara mandiri/berpasangan merancang sirkuit terintegrasi ESP32 dengan minimal dua sensor (1 sensor analog dan 1 sensor bus I2C seperti BME280/MPU6050/OLED). Menuliskan firmware yang melakukan kalibrasi pembacaan sensor dan menampilkan data terformat pada Serial Monitor dan layar OLED.</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Laporan teknis 4-6 halaman format IEEE disertai skematik rangkaian dan cuplikan kode program yang terdokumentasi rapi. (Bobot: %)</w:t>
            </w:r>
          </w:p>
        </w:tc>
      </w:tr>
    </w:tbl>
    <w:p/>
    <w:p>
      <w:r>
        <w:rPr>
          <w:b/>
          <w:sz w:val="22"/>
        </w:rPr>
        <w:t xml:space="preserve">TUGAS 2: </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Teknologi Internet of Thing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 4, Sub-CPMK 6, Sub-CPMK 8</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 Waktu: 2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Mahasiswa menghubungkan ESP32 ke jaringan Wi-Fi, melakukan pengiriman payload telemetri data sensor berformat JSON ke broker MQTT publik/lokal dengan QoS 1, serta membangun flow di Node-RED yang menerima data, memicu alarm (notifikasi Telegram jika suhu melewati batas), dan menampilkannya pada dashboard grafik.</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Berkas ekspor flow Node-RED (.json), source code firmware ESP32, dan video singkat demonstrasi pertukaran data telemetri. (Bobot: %)</w:t>
            </w:r>
          </w:p>
        </w:tc>
      </w:tr>
    </w:tbl>
    <w:p/>
    <w:p>
      <w:r>
        <w:rPr>
          <w:b/>
          <w:sz w:val="22"/>
        </w:rPr>
        <w:t xml:space="preserve">TUGAS 3: </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Teknologi Internet of Thing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 9, Sub-CPMK 10</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 Waktu: 2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Mahasiswa mengonfigurasi perangkat pada platform ThingsBoard Cloud dan database deret waktu InfluxDB. Menyimpan histori data sensor selama minimal 3 hari pengamatan, menerapkan rule engine notifikasi otomatis, dan merancang dashboard analitik multi-panel interaktif di Grafana.</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Laporan analisis performa penyimpanan data time-series, tautan dashboard publik ThingsBoard/Grafana, dan dokumentasi API. (Bobot: %)</w:t>
            </w:r>
          </w:p>
        </w:tc>
      </w:tr>
    </w:tbl>
    <w:p/>
    <w:p>
      <w:r>
        <w:rPr>
          <w:b/>
          <w:sz w:val="22"/>
        </w:rPr>
        <w:t xml:space="preserve">TUGAS 4: </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Teknologi Internet of Thing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 10, Sub-CPMK 11</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 Waktu: 2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Proyek Capstone berkelompok (3-4 mahasiswa) menyelesaikan permasalahan riil (e.g., Smart Agriculture hidroponik/tambak, Smart Building efisiensi energi, Environmental Monitoring kualitas udara/banjir). Merancang purwarupa hardware terlindungi enclosure, komunikasi nirkabel aman berenkripsi TLS/SSL, middleware otomatisasi, cloud dashboard, serta dokumentasi repositori GitHub publik.</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Purwarupa fisik alat IoT berfungsi penuh, Laporan Akhir Proyek format IEEE (15-25 halaman), repositori GitHub lengkap (Readme, wiring diagram Fritzing, BOM biaya komponen), dan video demo produk interaktif. (Bobot: %)</w:t>
            </w:r>
          </w:p>
        </w:tc>
      </w:tr>
    </w:tbl>
    <w:p/>
    <w:p>
      <w:pPr>
        <w:pStyle w:val="Heading2"/>
      </w:pPr>
      <w:r>
        <w:t>RUBRIK PENILAIAN OBE SKALA 1–5 (STANDAR APTIKOM &amp; UNIROW)</w:t>
      </w:r>
    </w:p>
    <w:tbl>
      <w:tblPr>
        <w:tblW w:type="auto" w:w="0"/>
        <w:jc w:val="center"/>
        <w:tblLook w:firstColumn="1" w:firstRow="1" w:lastColumn="0" w:lastRow="0" w:noHBand="0" w:noVBand="1" w:val="04A0"/>
      </w:tblPr>
      <w:tblGrid>
        <w:gridCol w:w="2466"/>
        <w:gridCol w:w="2466"/>
        <w:gridCol w:w="2466"/>
        <w:gridCol w:w="2466"/>
      </w:tblGrid>
      <w:tr>
        <w:tc>
          <w:tcPr>
            <w:tcW w:type="dxa" w:w="2466"/>
            <w:shd w:fill="D9E1F2"/>
          </w:tcPr>
          <w:p>
            <w:pPr>
              <w:spacing w:before="40" w:after="40" w:line="252" w:lineRule="auto"/>
              <w:jc w:val="center"/>
            </w:pPr>
            <w:r>
              <w:rPr>
                <w:rFonts w:ascii="Calibri" w:hAnsi="Calibri"/>
                <w:b/>
                <w:color w:val="000000"/>
                <w:sz w:val="18"/>
              </w:rPr>
              <w:t>Skala</w:t>
            </w:r>
          </w:p>
        </w:tc>
        <w:tc>
          <w:tcPr>
            <w:tcW w:type="dxa" w:w="2466"/>
            <w:shd w:fill="D9E1F2"/>
          </w:tcPr>
          <w:p>
            <w:pPr>
              <w:spacing w:before="40" w:after="40" w:line="252" w:lineRule="auto"/>
              <w:jc w:val="center"/>
            </w:pPr>
            <w:r>
              <w:rPr>
                <w:rFonts w:ascii="Calibri" w:hAnsi="Calibri"/>
                <w:b/>
                <w:color w:val="000000"/>
                <w:sz w:val="18"/>
              </w:rPr>
              <w:t>Kategori Mutu</w:t>
            </w:r>
          </w:p>
        </w:tc>
        <w:tc>
          <w:tcPr>
            <w:tcW w:type="dxa" w:w="2466"/>
            <w:shd w:fill="D9E1F2"/>
          </w:tcPr>
          <w:p>
            <w:pPr>
              <w:spacing w:before="40" w:after="40" w:line="252" w:lineRule="auto"/>
              <w:jc w:val="center"/>
            </w:pPr>
            <w:r>
              <w:rPr>
                <w:rFonts w:ascii="Calibri" w:hAnsi="Calibri"/>
                <w:b/>
                <w:color w:val="000000"/>
                <w:sz w:val="18"/>
              </w:rPr>
              <w:t>Rentang Skor</w:t>
            </w:r>
          </w:p>
        </w:tc>
        <w:tc>
          <w:tcPr>
            <w:tcW w:type="dxa" w:w="2466"/>
            <w:shd w:fill="D9E1F2"/>
          </w:tcPr>
          <w:p>
            <w:pPr>
              <w:spacing w:before="40" w:after="40" w:line="252" w:lineRule="auto"/>
              <w:jc w:val="center"/>
            </w:pPr>
            <w:r>
              <w:rPr>
                <w:rFonts w:ascii="Calibri" w:hAnsi="Calibri"/>
                <w:b/>
                <w:color w:val="000000"/>
                <w:sz w:val="18"/>
              </w:rPr>
              <w:t>Deskripsi Kinerja Ketercapaian</w:t>
            </w:r>
          </w:p>
        </w:tc>
      </w:tr>
      <w:tr>
        <w:tc>
          <w:tcPr>
            <w:tcW w:type="dxa" w:w="2466"/>
          </w:tcPr>
          <w:p>
            <w:pPr>
              <w:spacing w:before="40" w:after="40" w:line="252" w:lineRule="auto"/>
              <w:jc w:val="center"/>
            </w:pPr>
            <w:r>
              <w:rPr>
                <w:rFonts w:ascii="Calibri" w:hAnsi="Calibri"/>
                <w:b/>
                <w:color w:val="000000"/>
                <w:sz w:val="17"/>
              </w:rPr>
              <w:t>5</w:t>
            </w:r>
          </w:p>
        </w:tc>
        <w:tc>
          <w:tcPr>
            <w:tcW w:type="dxa" w:w="2466"/>
          </w:tcPr>
          <w:p>
            <w:pPr>
              <w:spacing w:before="40" w:after="40" w:line="252" w:lineRule="auto"/>
              <w:jc w:val="center"/>
            </w:pPr>
            <w:r>
              <w:rPr>
                <w:rFonts w:ascii="Calibri" w:hAnsi="Calibri"/>
                <w:b/>
                <w:color w:val="000000"/>
                <w:sz w:val="17"/>
              </w:rPr>
              <w:t>Sangat Baik / Sangat Kompeten</w:t>
            </w:r>
          </w:p>
        </w:tc>
        <w:tc>
          <w:tcPr>
            <w:tcW w:type="dxa" w:w="2466"/>
          </w:tcPr>
          <w:p>
            <w:pPr>
              <w:spacing w:before="40" w:after="40" w:line="252" w:lineRule="auto"/>
              <w:jc w:val="center"/>
            </w:pPr>
            <w:r>
              <w:rPr>
                <w:rFonts w:ascii="Calibri" w:hAnsi="Calibri"/>
                <w:b w:val="0"/>
                <w:color w:val="000000"/>
                <w:sz w:val="17"/>
              </w:rPr>
              <w:t>85 - 100</w:t>
            </w:r>
          </w:p>
        </w:tc>
        <w:tc>
          <w:tcPr>
            <w:tcW w:type="dxa" w:w="2466"/>
          </w:tcPr>
          <w:p>
            <w:pPr>
              <w:spacing w:before="40" w:after="40" w:line="252" w:lineRule="auto"/>
              <w:jc w:val="left"/>
            </w:pPr>
            <w:r>
              <w:rPr>
                <w:rFonts w:ascii="Calibri" w:hAnsi="Calibri"/>
                <w:b w:val="0"/>
                <w:color w:val="000000"/>
                <w:sz w:val="17"/>
              </w:rPr>
              <w:t>Menunjukkan keunggulan luar biasa dalam perancangan sirkuit perangkat keras, firmware efisien tanpa blocking delay (menggunakan FreeRTOS/millis), transmisi telemetri MQTT/LoRaWAN sangat andal, integrasi dashboard awan profesional, enkripsi keamanan data teruji, dan purwarupa berfungsi sempurna di lapangan.</w:t>
            </w:r>
          </w:p>
        </w:tc>
      </w:tr>
      <w:tr>
        <w:tc>
          <w:tcPr>
            <w:tcW w:type="dxa" w:w="2466"/>
          </w:tcPr>
          <w:p>
            <w:pPr>
              <w:spacing w:before="40" w:after="40" w:line="252" w:lineRule="auto"/>
              <w:jc w:val="center"/>
            </w:pPr>
            <w:r>
              <w:rPr>
                <w:rFonts w:ascii="Calibri" w:hAnsi="Calibri"/>
                <w:b/>
                <w:color w:val="000000"/>
                <w:sz w:val="17"/>
              </w:rPr>
              <w:t>4</w:t>
            </w:r>
          </w:p>
        </w:tc>
        <w:tc>
          <w:tcPr>
            <w:tcW w:type="dxa" w:w="2466"/>
          </w:tcPr>
          <w:p>
            <w:pPr>
              <w:spacing w:before="40" w:after="40" w:line="252" w:lineRule="auto"/>
              <w:jc w:val="center"/>
            </w:pPr>
            <w:r>
              <w:rPr>
                <w:rFonts w:ascii="Calibri" w:hAnsi="Calibri"/>
                <w:b/>
                <w:color w:val="000000"/>
                <w:sz w:val="17"/>
              </w:rPr>
              <w:t>Baik / Kompeten</w:t>
            </w:r>
          </w:p>
        </w:tc>
        <w:tc>
          <w:tcPr>
            <w:tcW w:type="dxa" w:w="2466"/>
          </w:tcPr>
          <w:p>
            <w:pPr>
              <w:spacing w:before="40" w:after="40" w:line="252" w:lineRule="auto"/>
              <w:jc w:val="center"/>
            </w:pPr>
            <w:r>
              <w:rPr>
                <w:rFonts w:ascii="Calibri" w:hAnsi="Calibri"/>
                <w:b w:val="0"/>
                <w:color w:val="000000"/>
                <w:sz w:val="17"/>
              </w:rPr>
              <w:t>70 - 84</w:t>
            </w:r>
          </w:p>
        </w:tc>
        <w:tc>
          <w:tcPr>
            <w:tcW w:type="dxa" w:w="2466"/>
          </w:tcPr>
          <w:p>
            <w:pPr>
              <w:spacing w:before="40" w:after="40" w:line="252" w:lineRule="auto"/>
              <w:jc w:val="left"/>
            </w:pPr>
            <w:r>
              <w:rPr>
                <w:rFonts w:ascii="Calibri" w:hAnsi="Calibri"/>
                <w:b w:val="0"/>
                <w:color w:val="000000"/>
                <w:sz w:val="17"/>
              </w:rPr>
              <w:t>Rangkaian hardware terpasang benar dan stabil, kode firmware terstruktur baik, protokol komunikasi data sensor berjalan konsisten ke cloud platform, dashboard interaktif berfungsi normal, laporan terdokumentasi lengkap dan rapi.</w:t>
            </w:r>
          </w:p>
        </w:tc>
      </w:tr>
      <w:tr>
        <w:tc>
          <w:tcPr>
            <w:tcW w:type="dxa" w:w="2466"/>
          </w:tcPr>
          <w:p>
            <w:pPr>
              <w:spacing w:before="40" w:after="40" w:line="252" w:lineRule="auto"/>
              <w:jc w:val="center"/>
            </w:pPr>
            <w:r>
              <w:rPr>
                <w:rFonts w:ascii="Calibri" w:hAnsi="Calibri"/>
                <w:b/>
                <w:color w:val="000000"/>
                <w:sz w:val="17"/>
              </w:rPr>
              <w:t>3</w:t>
            </w:r>
          </w:p>
        </w:tc>
        <w:tc>
          <w:tcPr>
            <w:tcW w:type="dxa" w:w="2466"/>
          </w:tcPr>
          <w:p>
            <w:pPr>
              <w:spacing w:before="40" w:after="40" w:line="252" w:lineRule="auto"/>
              <w:jc w:val="center"/>
            </w:pPr>
            <w:r>
              <w:rPr>
                <w:rFonts w:ascii="Calibri" w:hAnsi="Calibri"/>
                <w:b/>
                <w:color w:val="000000"/>
                <w:sz w:val="17"/>
              </w:rPr>
              <w:t>Cukup / Cukup Kompeten</w:t>
            </w:r>
          </w:p>
        </w:tc>
        <w:tc>
          <w:tcPr>
            <w:tcW w:type="dxa" w:w="2466"/>
          </w:tcPr>
          <w:p>
            <w:pPr>
              <w:spacing w:before="40" w:after="40" w:line="252" w:lineRule="auto"/>
              <w:jc w:val="center"/>
            </w:pPr>
            <w:r>
              <w:rPr>
                <w:rFonts w:ascii="Calibri" w:hAnsi="Calibri"/>
                <w:b w:val="0"/>
                <w:color w:val="000000"/>
                <w:sz w:val="17"/>
              </w:rPr>
              <w:t>60 - 69</w:t>
            </w:r>
          </w:p>
        </w:tc>
        <w:tc>
          <w:tcPr>
            <w:tcW w:type="dxa" w:w="2466"/>
          </w:tcPr>
          <w:p>
            <w:pPr>
              <w:spacing w:before="40" w:after="40" w:line="252" w:lineRule="auto"/>
              <w:jc w:val="left"/>
            </w:pPr>
            <w:r>
              <w:rPr>
                <w:rFonts w:ascii="Calibri" w:hAnsi="Calibri"/>
                <w:b w:val="0"/>
                <w:color w:val="000000"/>
                <w:sz w:val="17"/>
              </w:rPr>
              <w:t>Memahami konsep dasar IoT dan interfacing sensor, rangkaian berfungsi namun tata letak kabel berantakan, terjadi beberapa kali packet drop saat transmisi data telemetri, dashboard awan sederhana, dokumentasi standar.</w:t>
            </w:r>
          </w:p>
        </w:tc>
      </w:tr>
      <w:tr>
        <w:tc>
          <w:tcPr>
            <w:tcW w:type="dxa" w:w="2466"/>
          </w:tcPr>
          <w:p>
            <w:pPr>
              <w:spacing w:before="40" w:after="40" w:line="252" w:lineRule="auto"/>
              <w:jc w:val="center"/>
            </w:pPr>
            <w:r>
              <w:rPr>
                <w:rFonts w:ascii="Calibri" w:hAnsi="Calibri"/>
                <w:b/>
                <w:color w:val="000000"/>
                <w:sz w:val="17"/>
              </w:rPr>
              <w:t>2</w:t>
            </w:r>
          </w:p>
        </w:tc>
        <w:tc>
          <w:tcPr>
            <w:tcW w:type="dxa" w:w="2466"/>
          </w:tcPr>
          <w:p>
            <w:pPr>
              <w:spacing w:before="40" w:after="40" w:line="252" w:lineRule="auto"/>
              <w:jc w:val="center"/>
            </w:pPr>
            <w:r>
              <w:rPr>
                <w:rFonts w:ascii="Calibri" w:hAnsi="Calibri"/>
                <w:b/>
                <w:color w:val="000000"/>
                <w:sz w:val="17"/>
              </w:rPr>
              <w:t>Kurang / Kurang Kompeten</w:t>
            </w:r>
          </w:p>
        </w:tc>
        <w:tc>
          <w:tcPr>
            <w:tcW w:type="dxa" w:w="2466"/>
          </w:tcPr>
          <w:p>
            <w:pPr>
              <w:spacing w:before="40" w:after="40" w:line="252" w:lineRule="auto"/>
              <w:jc w:val="center"/>
            </w:pPr>
            <w:r>
              <w:rPr>
                <w:rFonts w:ascii="Calibri" w:hAnsi="Calibri"/>
                <w:b w:val="0"/>
                <w:color w:val="000000"/>
                <w:sz w:val="17"/>
              </w:rPr>
              <w:t>50 - 59</w:t>
            </w:r>
          </w:p>
        </w:tc>
        <w:tc>
          <w:tcPr>
            <w:tcW w:type="dxa" w:w="2466"/>
          </w:tcPr>
          <w:p>
            <w:pPr>
              <w:spacing w:before="40" w:after="40" w:line="252" w:lineRule="auto"/>
              <w:jc w:val="left"/>
            </w:pPr>
            <w:r>
              <w:rPr>
                <w:rFonts w:ascii="Calibri" w:hAnsi="Calibri"/>
                <w:b w:val="0"/>
                <w:color w:val="000000"/>
                <w:sz w:val="17"/>
              </w:rPr>
              <w:t>Rangkaian perangkat keras sering mengalami error/korsleting, kode firmware banyak bug dan delay kaku, transmisi data telemetri tidak stabil, dashboard cloud tidak terintegrasi dengan baik.</w:t>
            </w:r>
          </w:p>
        </w:tc>
      </w:tr>
      <w:tr>
        <w:tc>
          <w:tcPr>
            <w:tcW w:type="dxa" w:w="2466"/>
          </w:tcPr>
          <w:p>
            <w:pPr>
              <w:spacing w:before="40" w:after="40" w:line="252" w:lineRule="auto"/>
              <w:jc w:val="center"/>
            </w:pPr>
            <w:r>
              <w:rPr>
                <w:rFonts w:ascii="Calibri" w:hAnsi="Calibri"/>
                <w:b/>
                <w:color w:val="000000"/>
                <w:sz w:val="17"/>
              </w:rPr>
              <w:t>1</w:t>
            </w:r>
          </w:p>
        </w:tc>
        <w:tc>
          <w:tcPr>
            <w:tcW w:type="dxa" w:w="2466"/>
          </w:tcPr>
          <w:p>
            <w:pPr>
              <w:spacing w:before="40" w:after="40" w:line="252" w:lineRule="auto"/>
              <w:jc w:val="center"/>
            </w:pPr>
            <w:r>
              <w:rPr>
                <w:rFonts w:ascii="Calibri" w:hAnsi="Calibri"/>
                <w:b/>
                <w:color w:val="000000"/>
                <w:sz w:val="17"/>
              </w:rPr>
              <w:t>Sangat Kurang / Tidak Kompeten</w:t>
            </w:r>
          </w:p>
        </w:tc>
        <w:tc>
          <w:tcPr>
            <w:tcW w:type="dxa" w:w="2466"/>
          </w:tcPr>
          <w:p>
            <w:pPr>
              <w:spacing w:before="40" w:after="40" w:line="252" w:lineRule="auto"/>
              <w:jc w:val="center"/>
            </w:pPr>
            <w:r>
              <w:rPr>
                <w:rFonts w:ascii="Calibri" w:hAnsi="Calibri"/>
                <w:b w:val="0"/>
                <w:color w:val="000000"/>
                <w:sz w:val="17"/>
              </w:rPr>
              <w:t>&lt; 50</w:t>
            </w:r>
          </w:p>
        </w:tc>
        <w:tc>
          <w:tcPr>
            <w:tcW w:type="dxa" w:w="2466"/>
          </w:tcPr>
          <w:p>
            <w:pPr>
              <w:spacing w:before="40" w:after="40" w:line="252" w:lineRule="auto"/>
              <w:jc w:val="left"/>
            </w:pPr>
            <w:r>
              <w:rPr>
                <w:rFonts w:ascii="Calibri" w:hAnsi="Calibri"/>
                <w:b w:val="0"/>
                <w:color w:val="000000"/>
                <w:sz w:val="17"/>
              </w:rPr>
              <w:t>Gagal memahami prinsip IoT dan pemrograman mikrokontroler, alat tidak dapat menyala atau membaca sensor, tidak ada transmisi data ke jaringan/cloud, terindikasi plagiarisme proyek.</w:t>
            </w:r>
          </w:p>
        </w:tc>
      </w:tr>
    </w:tbl>
    <w:sectPr>
      <w:footerReference w:type="even" r:id="rId15"/>
      <w:footerReference w:type="default" r:id="rId16"/>
      <w:footerReference w:type="first" r:id="rId17"/>
      <w:type w:val="nextPage"/>
      <w:pgSz w:w="11906" w:h="16838"/>
      <w:pgMar w:left="1020" w:right="1020" w:gutter="0" w:header="0" w:top="1580" w:footer="623" w:bottom="82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nggiakalista@gmail.com" w:date="2024-08-01T12:54:00Z" w:initials="">
    <w:p>
      <w:pPr>
        <w:overflowPunct w:val="false"/>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Masukkan kode CPL yang berkesesuaian dengan MK</w:t>
      </w:r>
    </w:p>
  </w:comment>
  <w:comment w:id="1" w:author="anggiakalista@gmail.com" w:date="2024-08-03T03:48:15Z" w:initials="">
    <w:p>
      <w:pPr>
        <w:overflowPunct w:val="false"/>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Masukkan bentuk pembelajaran apakah luring/daring pada pertemuan ke-n</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Roboto Bk">
    <w:charset w:val="01" w:characterSet="utf-8"/>
    <w:family w:val="roman"/>
    <w:pitch w:val="variable"/>
  </w:font>
  <w:font w:name="Roboto">
    <w:charset w:val="01" w:characterSet="utf-8"/>
    <w:family w:val="roman"/>
    <w:pitch w:val="variable"/>
  </w:font>
  <w:font w:name="Arial">
    <w:charset w:val="01" w:characterSet="utf-8"/>
    <w:family w:val="roman"/>
    <w:pitch w:val="variable"/>
  </w:font>
  <w:font w:name="Arial MT">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characterSet="utf-8"/>
    <w:family w:val="roman"/>
    <w:pitch w:val="variable"/>
  </w:font>
  <w:font w:name="Symbol">
    <w:charset w:val="02"/>
    <w:family w:val="auto"/>
    <w:pitch w:val="default"/>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78" w:hanging="284"/>
      </w:pPr>
      <w:rPr>
        <w:rFonts w:ascii="Arial" w:hAnsi="Arial" w:eastAsia="Arial" w:cs="Arial"/>
        <w:color w:val="231F20"/>
        <w:sz w:val="20"/>
        <w:szCs w:val="20"/>
      </w:rPr>
    </w:lvl>
    <w:lvl w:ilvl="1">
      <w:start w:val="0"/>
      <w:numFmt w:val="bullet"/>
      <w:lvlText w:val=""/>
      <w:lvlJc w:val="start"/>
      <w:pPr>
        <w:tabs>
          <w:tab w:val="num" w:pos="0"/>
        </w:tabs>
        <w:ind w:start="1958" w:hanging="284"/>
      </w:pPr>
      <w:rPr>
        <w:rFonts w:ascii="Symbol" w:hAnsi="Symbol" w:cs="Symbol" w:hint="default"/>
      </w:rPr>
    </w:lvl>
    <w:lvl w:ilvl="2">
      <w:start w:val="0"/>
      <w:numFmt w:val="bullet"/>
      <w:lvlText w:val=""/>
      <w:lvlJc w:val="start"/>
      <w:pPr>
        <w:tabs>
          <w:tab w:val="num" w:pos="0"/>
        </w:tabs>
        <w:ind w:start="2837" w:hanging="284"/>
      </w:pPr>
      <w:rPr>
        <w:rFonts w:ascii="Symbol" w:hAnsi="Symbol" w:cs="Symbol" w:hint="default"/>
      </w:rPr>
    </w:lvl>
    <w:lvl w:ilvl="3">
      <w:start w:val="0"/>
      <w:numFmt w:val="bullet"/>
      <w:lvlText w:val=""/>
      <w:lvlJc w:val="start"/>
      <w:pPr>
        <w:tabs>
          <w:tab w:val="num" w:pos="0"/>
        </w:tabs>
        <w:ind w:start="3715" w:hanging="284"/>
      </w:pPr>
      <w:rPr>
        <w:rFonts w:ascii="Symbol" w:hAnsi="Symbol" w:cs="Symbol" w:hint="default"/>
      </w:rPr>
    </w:lvl>
    <w:lvl w:ilvl="4">
      <w:start w:val="0"/>
      <w:numFmt w:val="bullet"/>
      <w:lvlText w:val=""/>
      <w:lvlJc w:val="start"/>
      <w:pPr>
        <w:tabs>
          <w:tab w:val="num" w:pos="0"/>
        </w:tabs>
        <w:ind w:start="4594" w:hanging="284"/>
      </w:pPr>
      <w:rPr>
        <w:rFonts w:ascii="Symbol" w:hAnsi="Symbol" w:cs="Symbol" w:hint="default"/>
      </w:rPr>
    </w:lvl>
    <w:lvl w:ilvl="5">
      <w:start w:val="0"/>
      <w:numFmt w:val="bullet"/>
      <w:lvlText w:val=""/>
      <w:lvlJc w:val="start"/>
      <w:pPr>
        <w:tabs>
          <w:tab w:val="num" w:pos="0"/>
        </w:tabs>
        <w:ind w:start="5472" w:hanging="284"/>
      </w:pPr>
      <w:rPr>
        <w:rFonts w:ascii="Symbol" w:hAnsi="Symbol" w:cs="Symbol" w:hint="default"/>
      </w:rPr>
    </w:lvl>
    <w:lvl w:ilvl="6">
      <w:start w:val="0"/>
      <w:numFmt w:val="bullet"/>
      <w:lvlText w:val=""/>
      <w:lvlJc w:val="start"/>
      <w:pPr>
        <w:tabs>
          <w:tab w:val="num" w:pos="0"/>
        </w:tabs>
        <w:ind w:start="6351" w:hanging="284"/>
      </w:pPr>
      <w:rPr>
        <w:rFonts w:ascii="Symbol" w:hAnsi="Symbol" w:cs="Symbol" w:hint="default"/>
      </w:rPr>
    </w:lvl>
    <w:lvl w:ilvl="7">
      <w:start w:val="0"/>
      <w:numFmt w:val="bullet"/>
      <w:lvlText w:val=""/>
      <w:lvlJc w:val="start"/>
      <w:pPr>
        <w:tabs>
          <w:tab w:val="num" w:pos="0"/>
        </w:tabs>
        <w:ind w:start="7229" w:hanging="284"/>
      </w:pPr>
      <w:rPr>
        <w:rFonts w:ascii="Symbol" w:hAnsi="Symbol" w:cs="Symbol" w:hint="default"/>
      </w:rPr>
    </w:lvl>
    <w:lvl w:ilvl="8">
      <w:start w:val="0"/>
      <w:numFmt w:val="bullet"/>
      <w:lvlText w:val=""/>
      <w:lvlJc w:val="start"/>
      <w:pPr>
        <w:tabs>
          <w:tab w:val="num" w:pos="0"/>
        </w:tabs>
        <w:ind w:start="8108" w:hanging="284"/>
      </w:pPr>
      <w:rPr>
        <w:rFonts w:ascii="Symbol" w:hAnsi="Symbol" w:cs="Symbol" w:hint="default"/>
      </w:rPr>
    </w:lvl>
  </w:abstractNum>
  <w:abstractNum w:abstractNumId="2">
    <w:lvl w:ilvl="0">
      <w:numFmt w:val="bullet"/>
      <w:lvlText w:val="•"/>
      <w:lvlJc w:val="start"/>
      <w:pPr>
        <w:tabs>
          <w:tab w:val="num" w:pos="0"/>
        </w:tabs>
        <w:ind w:start="192" w:hanging="114"/>
      </w:pPr>
      <w:rPr>
        <w:rFonts w:ascii="Arial" w:hAnsi="Arial" w:cs="Arial" w:hint="default"/>
        <w:color w:val="231F20"/>
        <w:sz w:val="18"/>
        <w:szCs w:val="18"/>
      </w:rPr>
    </w:lvl>
    <w:lvl w:ilvl="1">
      <w:start w:val="1"/>
      <w:numFmt w:val="lowerLetter"/>
      <w:lvlText w:val="%2)."/>
      <w:lvlJc w:val="start"/>
      <w:pPr>
        <w:tabs>
          <w:tab w:val="num" w:pos="0"/>
        </w:tabs>
        <w:ind w:start="390" w:hanging="214"/>
      </w:pPr>
      <w:rPr>
        <w:rFonts w:ascii="Arial" w:hAnsi="Arial" w:eastAsia="Arial" w:cs="Arial"/>
        <w:color w:val="231F20"/>
        <w:sz w:val="18"/>
        <w:szCs w:val="18"/>
      </w:rPr>
    </w:lvl>
    <w:lvl w:ilvl="2">
      <w:start w:val="0"/>
      <w:numFmt w:val="bullet"/>
      <w:lvlText w:val=""/>
      <w:lvlJc w:val="start"/>
      <w:pPr>
        <w:tabs>
          <w:tab w:val="num" w:pos="0"/>
        </w:tabs>
        <w:ind w:start="762" w:hanging="214"/>
      </w:pPr>
      <w:rPr>
        <w:rFonts w:ascii="Symbol" w:hAnsi="Symbol" w:cs="Symbol" w:hint="default"/>
      </w:rPr>
    </w:lvl>
    <w:lvl w:ilvl="3">
      <w:start w:val="0"/>
      <w:numFmt w:val="bullet"/>
      <w:lvlText w:val=""/>
      <w:lvlJc w:val="start"/>
      <w:pPr>
        <w:tabs>
          <w:tab w:val="num" w:pos="0"/>
        </w:tabs>
        <w:ind w:start="1125" w:hanging="214"/>
      </w:pPr>
      <w:rPr>
        <w:rFonts w:ascii="Symbol" w:hAnsi="Symbol" w:cs="Symbol" w:hint="default"/>
      </w:rPr>
    </w:lvl>
    <w:lvl w:ilvl="4">
      <w:start w:val="0"/>
      <w:numFmt w:val="bullet"/>
      <w:lvlText w:val=""/>
      <w:lvlJc w:val="start"/>
      <w:pPr>
        <w:tabs>
          <w:tab w:val="num" w:pos="0"/>
        </w:tabs>
        <w:ind w:start="1488" w:hanging="214"/>
      </w:pPr>
      <w:rPr>
        <w:rFonts w:ascii="Symbol" w:hAnsi="Symbol" w:cs="Symbol" w:hint="default"/>
      </w:rPr>
    </w:lvl>
    <w:lvl w:ilvl="5">
      <w:start w:val="0"/>
      <w:numFmt w:val="bullet"/>
      <w:lvlText w:val=""/>
      <w:lvlJc w:val="start"/>
      <w:pPr>
        <w:tabs>
          <w:tab w:val="num" w:pos="0"/>
        </w:tabs>
        <w:ind w:start="1851" w:hanging="214"/>
      </w:pPr>
      <w:rPr>
        <w:rFonts w:ascii="Symbol" w:hAnsi="Symbol" w:cs="Symbol" w:hint="default"/>
      </w:rPr>
    </w:lvl>
    <w:lvl w:ilvl="6">
      <w:start w:val="0"/>
      <w:numFmt w:val="bullet"/>
      <w:lvlText w:val=""/>
      <w:lvlJc w:val="start"/>
      <w:pPr>
        <w:tabs>
          <w:tab w:val="num" w:pos="0"/>
        </w:tabs>
        <w:ind w:start="2213" w:hanging="214"/>
      </w:pPr>
      <w:rPr>
        <w:rFonts w:ascii="Symbol" w:hAnsi="Symbol" w:cs="Symbol" w:hint="default"/>
      </w:rPr>
    </w:lvl>
    <w:lvl w:ilvl="7">
      <w:start w:val="0"/>
      <w:numFmt w:val="bullet"/>
      <w:lvlText w:val=""/>
      <w:lvlJc w:val="start"/>
      <w:pPr>
        <w:tabs>
          <w:tab w:val="num" w:pos="0"/>
        </w:tabs>
        <w:ind w:start="2576" w:hanging="214"/>
      </w:pPr>
      <w:rPr>
        <w:rFonts w:ascii="Symbol" w:hAnsi="Symbol" w:cs="Symbol" w:hint="default"/>
      </w:rPr>
    </w:lvl>
    <w:lvl w:ilvl="8">
      <w:start w:val="0"/>
      <w:numFmt w:val="bullet"/>
      <w:lvlText w:val=""/>
      <w:lvlJc w:val="start"/>
      <w:pPr>
        <w:tabs>
          <w:tab w:val="num" w:pos="0"/>
        </w:tabs>
        <w:ind w:start="2939" w:hanging="214"/>
      </w:pPr>
      <w:rPr>
        <w:rFonts w:ascii="Symbol" w:hAnsi="Symbol" w:cs="Symbol" w:hint="default"/>
      </w:rPr>
    </w:lvl>
  </w:abstractNum>
  <w:abstractNum w:abstractNumId="3">
    <w:lvl w:ilvl="0">
      <w:numFmt w:val="bullet"/>
      <w:lvlText w:val="•"/>
      <w:lvlJc w:val="start"/>
      <w:pPr>
        <w:tabs>
          <w:tab w:val="num" w:pos="0"/>
        </w:tabs>
        <w:ind w:start="192" w:hanging="93"/>
      </w:pPr>
      <w:rPr>
        <w:rFonts w:ascii="Arial" w:hAnsi="Arial" w:cs="Arial" w:hint="default"/>
        <w:color w:val="231F20"/>
        <w:sz w:val="18"/>
        <w:szCs w:val="18"/>
      </w:rPr>
    </w:lvl>
    <w:lvl w:ilvl="1">
      <w:start w:val="0"/>
      <w:numFmt w:val="bullet"/>
      <w:lvlText w:val=""/>
      <w:lvlJc w:val="start"/>
      <w:pPr>
        <w:tabs>
          <w:tab w:val="num" w:pos="0"/>
        </w:tabs>
        <w:ind w:start="346" w:hanging="93"/>
      </w:pPr>
      <w:rPr>
        <w:rFonts w:ascii="Symbol" w:hAnsi="Symbol" w:cs="Symbol" w:hint="default"/>
      </w:rPr>
    </w:lvl>
    <w:lvl w:ilvl="2">
      <w:start w:val="0"/>
      <w:numFmt w:val="bullet"/>
      <w:lvlText w:val=""/>
      <w:lvlJc w:val="start"/>
      <w:pPr>
        <w:tabs>
          <w:tab w:val="num" w:pos="0"/>
        </w:tabs>
        <w:ind w:start="493" w:hanging="93"/>
      </w:pPr>
      <w:rPr>
        <w:rFonts w:ascii="Symbol" w:hAnsi="Symbol" w:cs="Symbol" w:hint="default"/>
      </w:rPr>
    </w:lvl>
    <w:lvl w:ilvl="3">
      <w:start w:val="0"/>
      <w:numFmt w:val="bullet"/>
      <w:lvlText w:val=""/>
      <w:lvlJc w:val="start"/>
      <w:pPr>
        <w:tabs>
          <w:tab w:val="num" w:pos="0"/>
        </w:tabs>
        <w:ind w:start="640" w:hanging="93"/>
      </w:pPr>
      <w:rPr>
        <w:rFonts w:ascii="Symbol" w:hAnsi="Symbol" w:cs="Symbol" w:hint="default"/>
      </w:rPr>
    </w:lvl>
    <w:lvl w:ilvl="4">
      <w:start w:val="0"/>
      <w:numFmt w:val="bullet"/>
      <w:lvlText w:val=""/>
      <w:lvlJc w:val="start"/>
      <w:pPr>
        <w:tabs>
          <w:tab w:val="num" w:pos="0"/>
        </w:tabs>
        <w:ind w:start="786" w:hanging="93"/>
      </w:pPr>
      <w:rPr>
        <w:rFonts w:ascii="Symbol" w:hAnsi="Symbol" w:cs="Symbol" w:hint="default"/>
      </w:rPr>
    </w:lvl>
    <w:lvl w:ilvl="5">
      <w:start w:val="0"/>
      <w:numFmt w:val="bullet"/>
      <w:lvlText w:val=""/>
      <w:lvlJc w:val="start"/>
      <w:pPr>
        <w:tabs>
          <w:tab w:val="num" w:pos="0"/>
        </w:tabs>
        <w:ind w:start="933" w:hanging="93"/>
      </w:pPr>
      <w:rPr>
        <w:rFonts w:ascii="Symbol" w:hAnsi="Symbol" w:cs="Symbol" w:hint="default"/>
      </w:rPr>
    </w:lvl>
    <w:lvl w:ilvl="6">
      <w:start w:val="0"/>
      <w:numFmt w:val="bullet"/>
      <w:lvlText w:val=""/>
      <w:lvlJc w:val="start"/>
      <w:pPr>
        <w:tabs>
          <w:tab w:val="num" w:pos="0"/>
        </w:tabs>
        <w:ind w:start="1080" w:hanging="93"/>
      </w:pPr>
      <w:rPr>
        <w:rFonts w:ascii="Symbol" w:hAnsi="Symbol" w:cs="Symbol" w:hint="default"/>
      </w:rPr>
    </w:lvl>
    <w:lvl w:ilvl="7">
      <w:start w:val="0"/>
      <w:numFmt w:val="bullet"/>
      <w:lvlText w:val=""/>
      <w:lvlJc w:val="start"/>
      <w:pPr>
        <w:tabs>
          <w:tab w:val="num" w:pos="0"/>
        </w:tabs>
        <w:ind w:start="1226" w:hanging="93"/>
      </w:pPr>
      <w:rPr>
        <w:rFonts w:ascii="Symbol" w:hAnsi="Symbol" w:cs="Symbol" w:hint="default"/>
      </w:rPr>
    </w:lvl>
    <w:lvl w:ilvl="8">
      <w:start w:val="0"/>
      <w:numFmt w:val="bullet"/>
      <w:lvlText w:val=""/>
      <w:lvlJc w:val="start"/>
      <w:pPr>
        <w:tabs>
          <w:tab w:val="num" w:pos="0"/>
        </w:tabs>
        <w:ind w:start="1373" w:hanging="93"/>
      </w:pPr>
      <w:rPr>
        <w:rFonts w:ascii="Symbol" w:hAnsi="Symbol" w:cs="Symbol" w:hint="default"/>
      </w:rPr>
    </w:lvl>
  </w:abstractNum>
  <w:abstractNum w:abstractNumId="4">
    <w:lvl w:ilvl="0">
      <w:numFmt w:val="bullet"/>
      <w:lvlText w:val="•"/>
      <w:lvlJc w:val="start"/>
      <w:pPr>
        <w:tabs>
          <w:tab w:val="num" w:pos="0"/>
        </w:tabs>
        <w:ind w:start="192" w:hanging="93"/>
      </w:pPr>
      <w:rPr>
        <w:rFonts w:ascii="Arial" w:hAnsi="Arial" w:cs="Arial" w:hint="default"/>
        <w:color w:val="231F20"/>
        <w:sz w:val="18"/>
        <w:szCs w:val="18"/>
      </w:rPr>
    </w:lvl>
    <w:lvl w:ilvl="1">
      <w:start w:val="0"/>
      <w:numFmt w:val="bullet"/>
      <w:lvlText w:val=""/>
      <w:lvlJc w:val="start"/>
      <w:pPr>
        <w:tabs>
          <w:tab w:val="num" w:pos="0"/>
        </w:tabs>
        <w:ind w:start="342" w:hanging="93"/>
      </w:pPr>
      <w:rPr>
        <w:rFonts w:ascii="Symbol" w:hAnsi="Symbol" w:cs="Symbol" w:hint="default"/>
      </w:rPr>
    </w:lvl>
    <w:lvl w:ilvl="2">
      <w:start w:val="0"/>
      <w:numFmt w:val="bullet"/>
      <w:lvlText w:val=""/>
      <w:lvlJc w:val="start"/>
      <w:pPr>
        <w:tabs>
          <w:tab w:val="num" w:pos="0"/>
        </w:tabs>
        <w:ind w:start="484" w:hanging="93"/>
      </w:pPr>
      <w:rPr>
        <w:rFonts w:ascii="Symbol" w:hAnsi="Symbol" w:cs="Symbol" w:hint="default"/>
      </w:rPr>
    </w:lvl>
    <w:lvl w:ilvl="3">
      <w:start w:val="0"/>
      <w:numFmt w:val="bullet"/>
      <w:lvlText w:val=""/>
      <w:lvlJc w:val="start"/>
      <w:pPr>
        <w:tabs>
          <w:tab w:val="num" w:pos="0"/>
        </w:tabs>
        <w:ind w:start="626" w:hanging="93"/>
      </w:pPr>
      <w:rPr>
        <w:rFonts w:ascii="Symbol" w:hAnsi="Symbol" w:cs="Symbol" w:hint="default"/>
      </w:rPr>
    </w:lvl>
    <w:lvl w:ilvl="4">
      <w:start w:val="0"/>
      <w:numFmt w:val="bullet"/>
      <w:lvlText w:val=""/>
      <w:lvlJc w:val="start"/>
      <w:pPr>
        <w:tabs>
          <w:tab w:val="num" w:pos="0"/>
        </w:tabs>
        <w:ind w:start="768" w:hanging="93"/>
      </w:pPr>
      <w:rPr>
        <w:rFonts w:ascii="Symbol" w:hAnsi="Symbol" w:cs="Symbol" w:hint="default"/>
      </w:rPr>
    </w:lvl>
    <w:lvl w:ilvl="5">
      <w:start w:val="0"/>
      <w:numFmt w:val="bullet"/>
      <w:lvlText w:val=""/>
      <w:lvlJc w:val="start"/>
      <w:pPr>
        <w:tabs>
          <w:tab w:val="num" w:pos="0"/>
        </w:tabs>
        <w:ind w:start="910" w:hanging="93"/>
      </w:pPr>
      <w:rPr>
        <w:rFonts w:ascii="Symbol" w:hAnsi="Symbol" w:cs="Symbol" w:hint="default"/>
      </w:rPr>
    </w:lvl>
    <w:lvl w:ilvl="6">
      <w:start w:val="0"/>
      <w:numFmt w:val="bullet"/>
      <w:lvlText w:val=""/>
      <w:lvlJc w:val="start"/>
      <w:pPr>
        <w:tabs>
          <w:tab w:val="num" w:pos="0"/>
        </w:tabs>
        <w:ind w:start="1052" w:hanging="93"/>
      </w:pPr>
      <w:rPr>
        <w:rFonts w:ascii="Symbol" w:hAnsi="Symbol" w:cs="Symbol" w:hint="default"/>
      </w:rPr>
    </w:lvl>
    <w:lvl w:ilvl="7">
      <w:start w:val="0"/>
      <w:numFmt w:val="bullet"/>
      <w:lvlText w:val=""/>
      <w:lvlJc w:val="start"/>
      <w:pPr>
        <w:tabs>
          <w:tab w:val="num" w:pos="0"/>
        </w:tabs>
        <w:ind w:start="1194" w:hanging="93"/>
      </w:pPr>
      <w:rPr>
        <w:rFonts w:ascii="Symbol" w:hAnsi="Symbol" w:cs="Symbol" w:hint="default"/>
      </w:rPr>
    </w:lvl>
    <w:lvl w:ilvl="8">
      <w:start w:val="0"/>
      <w:numFmt w:val="bullet"/>
      <w:lvlText w:val=""/>
      <w:lvlJc w:val="start"/>
      <w:pPr>
        <w:tabs>
          <w:tab w:val="num" w:pos="0"/>
        </w:tabs>
        <w:ind w:start="1336" w:hanging="93"/>
      </w:pPr>
      <w:rPr>
        <w:rFonts w:ascii="Symbol" w:hAnsi="Symbol" w:cs="Symbol" w:hint="default"/>
      </w:rPr>
    </w:lvl>
  </w:abstractNum>
  <w:abstractNum w:abstractNumId="5">
    <w:lvl w:ilvl="0">
      <w:start w:val="1"/>
      <w:numFmt w:val="decimal"/>
      <w:lvlText w:val="%1."/>
      <w:lvlJc w:val="start"/>
      <w:pPr>
        <w:tabs>
          <w:tab w:val="num" w:pos="0"/>
        </w:tabs>
        <w:ind w:start="244" w:hanging="165"/>
      </w:pPr>
      <w:rPr>
        <w:rFonts w:ascii="Arial" w:hAnsi="Arial" w:eastAsia="Arial" w:cs="Arial"/>
        <w:color w:val="231F20"/>
        <w:sz w:val="18"/>
        <w:szCs w:val="18"/>
      </w:rPr>
    </w:lvl>
    <w:lvl w:ilvl="1">
      <w:start w:val="0"/>
      <w:numFmt w:val="bullet"/>
      <w:lvlText w:val=""/>
      <w:lvlJc w:val="start"/>
      <w:pPr>
        <w:tabs>
          <w:tab w:val="num" w:pos="0"/>
        </w:tabs>
        <w:ind w:start="1464" w:hanging="165"/>
      </w:pPr>
      <w:rPr>
        <w:rFonts w:ascii="Symbol" w:hAnsi="Symbol" w:cs="Symbol" w:hint="default"/>
      </w:rPr>
    </w:lvl>
    <w:lvl w:ilvl="2">
      <w:start w:val="0"/>
      <w:numFmt w:val="bullet"/>
      <w:lvlText w:val=""/>
      <w:lvlJc w:val="start"/>
      <w:pPr>
        <w:tabs>
          <w:tab w:val="num" w:pos="0"/>
        </w:tabs>
        <w:ind w:start="2689" w:hanging="165"/>
      </w:pPr>
      <w:rPr>
        <w:rFonts w:ascii="Symbol" w:hAnsi="Symbol" w:cs="Symbol" w:hint="default"/>
      </w:rPr>
    </w:lvl>
    <w:lvl w:ilvl="3">
      <w:start w:val="0"/>
      <w:numFmt w:val="bullet"/>
      <w:lvlText w:val=""/>
      <w:lvlJc w:val="start"/>
      <w:pPr>
        <w:tabs>
          <w:tab w:val="num" w:pos="0"/>
        </w:tabs>
        <w:ind w:start="3913" w:hanging="165"/>
      </w:pPr>
      <w:rPr>
        <w:rFonts w:ascii="Symbol" w:hAnsi="Symbol" w:cs="Symbol" w:hint="default"/>
      </w:rPr>
    </w:lvl>
    <w:lvl w:ilvl="4">
      <w:start w:val="0"/>
      <w:numFmt w:val="bullet"/>
      <w:lvlText w:val=""/>
      <w:lvlJc w:val="start"/>
      <w:pPr>
        <w:tabs>
          <w:tab w:val="num" w:pos="0"/>
        </w:tabs>
        <w:ind w:start="5138" w:hanging="165"/>
      </w:pPr>
      <w:rPr>
        <w:rFonts w:ascii="Symbol" w:hAnsi="Symbol" w:cs="Symbol" w:hint="default"/>
      </w:rPr>
    </w:lvl>
    <w:lvl w:ilvl="5">
      <w:start w:val="0"/>
      <w:numFmt w:val="bullet"/>
      <w:lvlText w:val=""/>
      <w:lvlJc w:val="start"/>
      <w:pPr>
        <w:tabs>
          <w:tab w:val="num" w:pos="0"/>
        </w:tabs>
        <w:ind w:start="6363" w:hanging="165"/>
      </w:pPr>
      <w:rPr>
        <w:rFonts w:ascii="Symbol" w:hAnsi="Symbol" w:cs="Symbol" w:hint="default"/>
      </w:rPr>
    </w:lvl>
    <w:lvl w:ilvl="6">
      <w:start w:val="0"/>
      <w:numFmt w:val="bullet"/>
      <w:lvlText w:val=""/>
      <w:lvlJc w:val="start"/>
      <w:pPr>
        <w:tabs>
          <w:tab w:val="num" w:pos="0"/>
        </w:tabs>
        <w:ind w:start="7587" w:hanging="165"/>
      </w:pPr>
      <w:rPr>
        <w:rFonts w:ascii="Symbol" w:hAnsi="Symbol" w:cs="Symbol" w:hint="default"/>
      </w:rPr>
    </w:lvl>
    <w:lvl w:ilvl="7">
      <w:start w:val="0"/>
      <w:numFmt w:val="bullet"/>
      <w:lvlText w:val=""/>
      <w:lvlJc w:val="start"/>
      <w:pPr>
        <w:tabs>
          <w:tab w:val="num" w:pos="0"/>
        </w:tabs>
        <w:ind w:start="8812" w:hanging="165"/>
      </w:pPr>
      <w:rPr>
        <w:rFonts w:ascii="Symbol" w:hAnsi="Symbol" w:cs="Symbol" w:hint="default"/>
      </w:rPr>
    </w:lvl>
    <w:lvl w:ilvl="8">
      <w:start w:val="0"/>
      <w:numFmt w:val="bullet"/>
      <w:lvlText w:val=""/>
      <w:lvlJc w:val="start"/>
      <w:pPr>
        <w:tabs>
          <w:tab w:val="num" w:pos="0"/>
        </w:tabs>
        <w:ind w:start="10036" w:hanging="165"/>
      </w:pPr>
      <w:rPr>
        <w:rFonts w:ascii="Symbol" w:hAnsi="Symbol" w:cs="Symbol" w:hint="default"/>
      </w:rPr>
    </w:lvl>
  </w:abstractNum>
  <w:abstractNum w:abstractNumId="6">
    <w:lvl w:ilvl="0">
      <w:start w:val="1"/>
      <w:numFmt w:val="decimal"/>
      <w:lvlText w:val="%1."/>
      <w:lvlJc w:val="start"/>
      <w:pPr>
        <w:tabs>
          <w:tab w:val="num" w:pos="0"/>
        </w:tabs>
        <w:ind w:start="250" w:hanging="171"/>
      </w:pPr>
      <w:rPr>
        <w:rFonts w:ascii="Arial" w:hAnsi="Arial" w:eastAsia="Arial" w:cs="Arial"/>
        <w:color w:val="231F20"/>
        <w:sz w:val="18"/>
        <w:szCs w:val="18"/>
      </w:rPr>
    </w:lvl>
    <w:lvl w:ilvl="1">
      <w:start w:val="0"/>
      <w:numFmt w:val="bullet"/>
      <w:lvlText w:val=""/>
      <w:lvlJc w:val="start"/>
      <w:pPr>
        <w:tabs>
          <w:tab w:val="num" w:pos="0"/>
        </w:tabs>
        <w:ind w:start="1482" w:hanging="171"/>
      </w:pPr>
      <w:rPr>
        <w:rFonts w:ascii="Symbol" w:hAnsi="Symbol" w:cs="Symbol" w:hint="default"/>
      </w:rPr>
    </w:lvl>
    <w:lvl w:ilvl="2">
      <w:start w:val="0"/>
      <w:numFmt w:val="bullet"/>
      <w:lvlText w:val=""/>
      <w:lvlJc w:val="start"/>
      <w:pPr>
        <w:tabs>
          <w:tab w:val="num" w:pos="0"/>
        </w:tabs>
        <w:ind w:start="2705" w:hanging="171"/>
      </w:pPr>
      <w:rPr>
        <w:rFonts w:ascii="Symbol" w:hAnsi="Symbol" w:cs="Symbol" w:hint="default"/>
      </w:rPr>
    </w:lvl>
    <w:lvl w:ilvl="3">
      <w:start w:val="0"/>
      <w:numFmt w:val="bullet"/>
      <w:lvlText w:val=""/>
      <w:lvlJc w:val="start"/>
      <w:pPr>
        <w:tabs>
          <w:tab w:val="num" w:pos="0"/>
        </w:tabs>
        <w:ind w:start="3927" w:hanging="171"/>
      </w:pPr>
      <w:rPr>
        <w:rFonts w:ascii="Symbol" w:hAnsi="Symbol" w:cs="Symbol" w:hint="default"/>
      </w:rPr>
    </w:lvl>
    <w:lvl w:ilvl="4">
      <w:start w:val="0"/>
      <w:numFmt w:val="bullet"/>
      <w:lvlText w:val=""/>
      <w:lvlJc w:val="start"/>
      <w:pPr>
        <w:tabs>
          <w:tab w:val="num" w:pos="0"/>
        </w:tabs>
        <w:ind w:start="5150" w:hanging="171"/>
      </w:pPr>
      <w:rPr>
        <w:rFonts w:ascii="Symbol" w:hAnsi="Symbol" w:cs="Symbol" w:hint="default"/>
      </w:rPr>
    </w:lvl>
    <w:lvl w:ilvl="5">
      <w:start w:val="0"/>
      <w:numFmt w:val="bullet"/>
      <w:lvlText w:val=""/>
      <w:lvlJc w:val="start"/>
      <w:pPr>
        <w:tabs>
          <w:tab w:val="num" w:pos="0"/>
        </w:tabs>
        <w:ind w:start="6373" w:hanging="171"/>
      </w:pPr>
      <w:rPr>
        <w:rFonts w:ascii="Symbol" w:hAnsi="Symbol" w:cs="Symbol" w:hint="default"/>
      </w:rPr>
    </w:lvl>
    <w:lvl w:ilvl="6">
      <w:start w:val="0"/>
      <w:numFmt w:val="bullet"/>
      <w:lvlText w:val=""/>
      <w:lvlJc w:val="start"/>
      <w:pPr>
        <w:tabs>
          <w:tab w:val="num" w:pos="0"/>
        </w:tabs>
        <w:ind w:start="7595" w:hanging="171"/>
      </w:pPr>
      <w:rPr>
        <w:rFonts w:ascii="Symbol" w:hAnsi="Symbol" w:cs="Symbol" w:hint="default"/>
      </w:rPr>
    </w:lvl>
    <w:lvl w:ilvl="7">
      <w:start w:val="0"/>
      <w:numFmt w:val="bullet"/>
      <w:lvlText w:val=""/>
      <w:lvlJc w:val="start"/>
      <w:pPr>
        <w:tabs>
          <w:tab w:val="num" w:pos="0"/>
        </w:tabs>
        <w:ind w:start="8818" w:hanging="171"/>
      </w:pPr>
      <w:rPr>
        <w:rFonts w:ascii="Symbol" w:hAnsi="Symbol" w:cs="Symbol" w:hint="default"/>
      </w:rPr>
    </w:lvl>
    <w:lvl w:ilvl="8">
      <w:start w:val="0"/>
      <w:numFmt w:val="bullet"/>
      <w:lvlText w:val=""/>
      <w:lvlJc w:val="start"/>
      <w:pPr>
        <w:tabs>
          <w:tab w:val="num" w:pos="0"/>
        </w:tabs>
        <w:ind w:start="10040" w:hanging="171"/>
      </w:pPr>
      <w:rPr>
        <w:rFonts w:ascii="Symbol" w:hAnsi="Symbol" w:cs="Symbol" w:hint="default"/>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embedTrueTypeFonts/>
  <w:defaultTabStop w:val="720"/>
  <w:autoHyphenation w:val="true"/>
  <w:hyphenationZone w:val="0"/>
  <w:evenAndOddHeaders/>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id-ID" w:eastAsia="zh-CN" w:bidi="hi-IN"/>
      </w:rPr>
    </w:rPrDefault>
    <w:pPrDefault>
      <w:pPr>
        <w:suppressAutoHyphens w:val="true"/>
      </w:pPr>
    </w:pPrDefault>
  </w:docDefaults>
  <w:style w:type="paragraph" w:styleId="Normal" w:default="1">
    <w:name w:val="Normal"/>
    <w:qFormat/>
    <w:pPr>
      <w:widowControl w:val="false"/>
      <w:bidi w:val="0"/>
      <w:spacing w:before="0" w:after="0"/>
      <w:jc w:val="start"/>
    </w:pPr>
    <w:rPr>
      <w:rFonts w:ascii="Cambria" w:hAnsi="Cambria" w:eastAsia="Cambria" w:cs="Cambria"/>
      <w:color w:val="auto"/>
      <w:kern w:val="0"/>
      <w:sz w:val="22"/>
      <w:szCs w:val="22"/>
      <w:lang w:val="id-ID" w:eastAsia="zh-CN" w:bidi="hi-IN"/>
    </w:rPr>
  </w:style>
  <w:style w:type="paragraph" w:styleId="Heading1">
    <w:name w:val="heading 1"/>
    <w:basedOn w:val="normal1"/>
    <w:next w:val="normal1"/>
    <w:uiPriority w:val="9"/>
    <w:qFormat/>
    <w:pPr>
      <w:spacing w:before="81" w:after="0"/>
      <w:jc w:val="end"/>
      <w:outlineLvl w:val="0"/>
    </w:pPr>
    <w:rPr>
      <w:b/>
      <w:bCs/>
      <w:sz w:val="72"/>
      <w:szCs w:val="72"/>
    </w:rPr>
  </w:style>
  <w:style w:type="paragraph" w:styleId="Heading2">
    <w:name w:val="heading 2"/>
    <w:basedOn w:val="normal1"/>
    <w:next w:val="normal1"/>
    <w:uiPriority w:val="9"/>
    <w:unhideWhenUsed/>
    <w:qFormat/>
    <w:pPr>
      <w:spacing w:before="89" w:after="0"/>
      <w:ind w:start="305" w:end="62"/>
      <w:jc w:val="center"/>
      <w:outlineLvl w:val="1"/>
    </w:pPr>
    <w:rPr>
      <w:rFonts w:ascii="Roboto Bk" w:hAnsi="Roboto Bk" w:eastAsia="Roboto Bk" w:cs="Roboto Bk"/>
      <w:b/>
      <w:bCs/>
      <w:sz w:val="50"/>
      <w:szCs w:val="50"/>
    </w:rPr>
  </w:style>
  <w:style w:type="paragraph" w:styleId="Heading3">
    <w:name w:val="heading 3"/>
    <w:basedOn w:val="normal1"/>
    <w:next w:val="normal1"/>
    <w:uiPriority w:val="9"/>
    <w:unhideWhenUsed/>
    <w:qFormat/>
    <w:pPr>
      <w:spacing w:before="76" w:after="0"/>
      <w:outlineLvl w:val="2"/>
    </w:pPr>
    <w:rPr>
      <w:b/>
      <w:bCs/>
      <w:sz w:val="46"/>
      <w:szCs w:val="46"/>
    </w:rPr>
  </w:style>
  <w:style w:type="paragraph" w:styleId="Heading4">
    <w:name w:val="heading 4"/>
    <w:basedOn w:val="normal1"/>
    <w:next w:val="normal1"/>
    <w:uiPriority w:val="9"/>
    <w:unhideWhenUsed/>
    <w:qFormat/>
    <w:pPr>
      <w:spacing w:before="91" w:after="0"/>
      <w:ind w:hanging="2299" w:start="982" w:end="720"/>
      <w:outlineLvl w:val="3"/>
    </w:pPr>
    <w:rPr>
      <w:rFonts w:ascii="Roboto" w:hAnsi="Roboto" w:eastAsia="Roboto" w:cs="Roboto"/>
      <w:b/>
      <w:bCs/>
      <w:sz w:val="40"/>
      <w:szCs w:val="40"/>
    </w:rPr>
  </w:style>
  <w:style w:type="paragraph" w:styleId="Heading5">
    <w:name w:val="heading 5"/>
    <w:basedOn w:val="normal1"/>
    <w:next w:val="normal1"/>
    <w:uiPriority w:val="9"/>
    <w:unhideWhenUsed/>
    <w:qFormat/>
    <w:pPr>
      <w:ind w:start="305"/>
      <w:jc w:val="center"/>
      <w:outlineLvl w:val="4"/>
    </w:pPr>
    <w:rPr>
      <w:rFonts w:ascii="Roboto Bk" w:hAnsi="Roboto Bk" w:eastAsia="Roboto Bk" w:cs="Roboto Bk"/>
      <w:b/>
      <w:bCs/>
      <w:sz w:val="36"/>
      <w:szCs w:val="36"/>
    </w:rPr>
  </w:style>
  <w:style w:type="paragraph" w:styleId="Heading6">
    <w:name w:val="heading 6"/>
    <w:basedOn w:val="normal1"/>
    <w:next w:val="normal1"/>
    <w:uiPriority w:val="9"/>
    <w:unhideWhenUsed/>
    <w:qFormat/>
    <w:pPr>
      <w:ind w:start="305" w:end="63"/>
      <w:jc w:val="center"/>
      <w:outlineLvl w:val="5"/>
    </w:pPr>
    <w:rPr>
      <w:rFonts w:ascii="Roboto" w:hAnsi="Roboto" w:eastAsia="Roboto" w:cs="Roboto"/>
      <w:b/>
      <w:bCs/>
      <w:sz w:val="34"/>
      <w:szCs w:val="34"/>
    </w:rPr>
  </w:style>
  <w:style w:type="paragraph" w:styleId="Heading7">
    <w:name w:val="heading 7"/>
    <w:basedOn w:val="normal1"/>
    <w:uiPriority w:val="1"/>
    <w:qFormat/>
    <w:pPr>
      <w:ind w:start="477"/>
      <w:outlineLvl w:val="6"/>
    </w:pPr>
    <w:rPr>
      <w:rFonts w:ascii="Arial" w:hAnsi="Arial" w:eastAsia="Arial" w:cs="Arial"/>
      <w:b/>
      <w:bCs/>
      <w:sz w:val="32"/>
      <w:szCs w:val="32"/>
    </w:rPr>
  </w:style>
  <w:style w:type="paragraph" w:styleId="Heading8">
    <w:name w:val="heading 8"/>
    <w:basedOn w:val="normal1"/>
    <w:uiPriority w:val="1"/>
    <w:qFormat/>
    <w:pPr>
      <w:spacing w:before="19" w:after="0"/>
      <w:ind w:start="20"/>
      <w:outlineLvl w:val="7"/>
    </w:pPr>
    <w:rPr>
      <w:rFonts w:ascii="Arial MT" w:hAnsi="Arial MT" w:eastAsia="Arial MT" w:cs="Arial MT"/>
      <w:sz w:val="28"/>
      <w:szCs w:val="28"/>
    </w:rPr>
  </w:style>
  <w:style w:type="paragraph" w:styleId="Heading9">
    <w:name w:val="heading 9"/>
    <w:basedOn w:val="normal1"/>
    <w:uiPriority w:val="1"/>
    <w:qFormat/>
    <w:pPr>
      <w:ind w:hanging="568" w:start="1214"/>
      <w:outlineLvl w:val="8"/>
    </w:pPr>
    <w:rPr>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b2a2f"/>
    <w:rPr>
      <w:rFonts w:ascii="Cambria" w:hAnsi="Cambria" w:eastAsia="Cambria" w:cs="Cambria"/>
      <w:lang w:val="id-ID"/>
    </w:rPr>
  </w:style>
  <w:style w:type="character" w:styleId="FooterChar" w:customStyle="1">
    <w:name w:val="Footer Char"/>
    <w:basedOn w:val="DefaultParagraphFont"/>
    <w:link w:val="Footer"/>
    <w:uiPriority w:val="99"/>
    <w:qFormat/>
    <w:rsid w:val="00eb2a2f"/>
    <w:rPr>
      <w:rFonts w:ascii="Cambria" w:hAnsi="Cambria" w:eastAsia="Cambria" w:cs="Cambria"/>
      <w:lang w:val="id-ID"/>
    </w:rPr>
  </w:style>
  <w:style w:type="character" w:styleId="CommentReference">
    <w:name w:val="annotation reference"/>
    <w:basedOn w:val="DefaultParagraphFont"/>
    <w:uiPriority w:val="99"/>
    <w:semiHidden/>
    <w:unhideWhenUsed/>
    <w:qFormat/>
    <w:rsid w:val="00a744f2"/>
    <w:rPr>
      <w:sz w:val="16"/>
      <w:szCs w:val="16"/>
    </w:rPr>
  </w:style>
  <w:style w:type="character" w:styleId="CommentTextChar" w:customStyle="1">
    <w:name w:val="Comment Text Char"/>
    <w:basedOn w:val="DefaultParagraphFont"/>
    <w:link w:val="CommentText"/>
    <w:uiPriority w:val="99"/>
    <w:semiHidden/>
    <w:qFormat/>
    <w:rsid w:val="00a744f2"/>
    <w:rPr>
      <w:rFonts w:ascii="Cambria" w:hAnsi="Cambria" w:eastAsia="Cambria" w:cs="Cambria"/>
      <w:sz w:val="20"/>
      <w:szCs w:val="20"/>
      <w:lang w:val="id-ID"/>
    </w:rPr>
  </w:style>
  <w:style w:type="character" w:styleId="CommentSubjectChar" w:customStyle="1">
    <w:name w:val="Comment Subject Char"/>
    <w:basedOn w:val="CommentTextChar"/>
    <w:link w:val="annotationsubject"/>
    <w:uiPriority w:val="99"/>
    <w:semiHidden/>
    <w:qFormat/>
    <w:rsid w:val="00a744f2"/>
    <w:rPr>
      <w:rFonts w:ascii="Cambria" w:hAnsi="Cambria" w:eastAsia="Cambria" w:cs="Cambria"/>
      <w:b/>
      <w:bCs/>
      <w:sz w:val="20"/>
      <w:szCs w:val="20"/>
      <w:lang w:val="id-I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val="false"/>
      <w:bidi w:val="0"/>
      <w:spacing w:before="0" w:after="0"/>
      <w:jc w:val="start"/>
    </w:pPr>
    <w:rPr>
      <w:rFonts w:ascii="Cambria" w:hAnsi="Cambria" w:eastAsia="Cambria" w:cs="Cambria"/>
      <w:color w:val="auto"/>
      <w:kern w:val="0"/>
      <w:sz w:val="22"/>
      <w:szCs w:val="22"/>
      <w:lang w:val="id-ID"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TOC1">
    <w:name w:val="toc 1"/>
    <w:basedOn w:val="normal1"/>
    <w:uiPriority w:val="1"/>
    <w:qFormat/>
    <w:pPr>
      <w:spacing w:before="295" w:after="0"/>
      <w:ind w:start="193"/>
    </w:pPr>
    <w:rPr>
      <w:b/>
      <w:bCs/>
      <w:sz w:val="24"/>
      <w:szCs w:val="24"/>
    </w:rPr>
  </w:style>
  <w:style w:type="paragraph" w:styleId="TOC2">
    <w:name w:val="toc 2"/>
    <w:basedOn w:val="normal1"/>
    <w:uiPriority w:val="1"/>
    <w:qFormat/>
    <w:pPr>
      <w:spacing w:before="7" w:after="0"/>
      <w:ind w:start="193"/>
    </w:pPr>
    <w:rPr>
      <w:sz w:val="24"/>
      <w:szCs w:val="24"/>
    </w:rPr>
  </w:style>
  <w:style w:type="paragraph" w:styleId="TOC3">
    <w:name w:val="toc 3"/>
    <w:basedOn w:val="normal1"/>
    <w:uiPriority w:val="1"/>
    <w:qFormat/>
    <w:pPr>
      <w:spacing w:before="6" w:after="0"/>
      <w:ind w:start="930"/>
    </w:pPr>
    <w:rPr>
      <w:sz w:val="24"/>
      <w:szCs w:val="24"/>
    </w:rPr>
  </w:style>
  <w:style w:type="paragraph" w:styleId="ListParagraph">
    <w:name w:val="List Paragraph"/>
    <w:basedOn w:val="normal1"/>
    <w:uiPriority w:val="1"/>
    <w:qFormat/>
    <w:pPr>
      <w:ind w:hanging="567" w:start="1214"/>
      <w:jc w:val="both"/>
    </w:pPr>
    <w:rPr/>
  </w:style>
  <w:style w:type="paragraph" w:styleId="TableParagraph" w:customStyle="1">
    <w:name w:val="Table Paragraph"/>
    <w:basedOn w:val="normal1"/>
    <w:uiPriority w:val="1"/>
    <w:qFormat/>
    <w:pPr/>
    <w:rPr>
      <w:rFonts w:ascii="Arial MT" w:hAnsi="Arial MT" w:eastAsia="Arial MT" w:cs="Arial MT"/>
    </w:rPr>
  </w:style>
  <w:style w:type="paragraph" w:styleId="HeaderandFooter">
    <w:name w:val="Header and Footer"/>
    <w:basedOn w:val="Normal"/>
    <w:qFormat/>
    <w:pPr/>
    <w:rPr/>
  </w:style>
  <w:style w:type="paragraph" w:styleId="Header">
    <w:name w:val="header"/>
    <w:basedOn w:val="normal1"/>
    <w:link w:val="HeaderChar"/>
    <w:uiPriority w:val="99"/>
    <w:unhideWhenUsed/>
    <w:rsid w:val="00eb2a2f"/>
    <w:pPr>
      <w:tabs>
        <w:tab w:val="clear" w:pos="720"/>
        <w:tab w:val="center" w:pos="4513" w:leader="none"/>
        <w:tab w:val="right" w:pos="9026" w:leader="none"/>
      </w:tabs>
    </w:pPr>
    <w:rPr/>
  </w:style>
  <w:style w:type="paragraph" w:styleId="Footer">
    <w:name w:val="footer"/>
    <w:basedOn w:val="normal1"/>
    <w:link w:val="FooterChar"/>
    <w:uiPriority w:val="99"/>
    <w:unhideWhenUsed/>
    <w:rsid w:val="00eb2a2f"/>
    <w:pPr>
      <w:tabs>
        <w:tab w:val="clear" w:pos="720"/>
        <w:tab w:val="center" w:pos="4513" w:leader="none"/>
        <w:tab w:val="right" w:pos="9026" w:leader="none"/>
      </w:tabs>
    </w:pPr>
    <w:rPr/>
  </w:style>
  <w:style w:type="paragraph" w:styleId="CommentText">
    <w:name w:val="annotation text"/>
    <w:basedOn w:val="normal1"/>
    <w:link w:val="CommentTextChar"/>
    <w:uiPriority w:val="99"/>
    <w:semiHidden/>
    <w:unhideWhenUsed/>
    <w:rsid w:val="00a744f2"/>
    <w:pPr/>
    <w:rPr>
      <w:sz w:val="20"/>
      <w:szCs w:val="20"/>
    </w:rPr>
  </w:style>
  <w:style w:type="paragraph" w:styleId="annotationsubject">
    <w:name w:val="annotation subject"/>
    <w:basedOn w:val="CommentText"/>
    <w:next w:val="CommentText"/>
    <w:link w:val="CommentSubjectChar"/>
    <w:uiPriority w:val="99"/>
    <w:semiHidden/>
    <w:unhideWhenUsed/>
    <w:qFormat/>
    <w:rsid w:val="00a744f2"/>
    <w:pPr/>
    <w:rPr>
      <w:b/>
      <w:bCs/>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image" Target="media/image3.png"/><Relationship Id="rId14" Type="http://schemas.openxmlformats.org/officeDocument/2006/relationships/image" Target="media/image3.png"/><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comments" Target="comment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Nqf7As26l18xulSe3rQvigq2omw==">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LibreOffice_project/6d2b0d33fb0f5da53a12f98bed3e9973e56ff1f0</Application>
  <AppVersion>15.0000</AppVersion>
  <Pages>4</Pages>
  <Words>629</Words>
  <Characters>4044</Characters>
  <CharactersWithSpaces>4557</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2024-08-01T05:36:00Z</dcterms:created>
  <dc:creator>AFIRMASI-0197</dc:creator>
  <dc:description/>
  <dc:language>en-US</dc:language>
  <cp:lastModifiedBy/>
  <dcterms:modified xsi:type="dcterms:W3CDTF">2026-09-24T22:04:19Z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2024-07-20T00:00:00Z</vt:lpwstr>
  </property>
  <property fmtid="{D5CDD505-2E9C-101B-9397-08002B2CF9AE}" pid="3" name="Creator">
    <vt:lpwstr>Acrobat Pro DC 22.2.20191</vt:lpwstr>
  </property>
  <property fmtid="{D5CDD505-2E9C-101B-9397-08002B2CF9AE}" pid="4" name="LastSaved">
    <vt:lpwstr>2024-07-28T00:00:00Z</vt:lpwstr>
  </property>
</Properties>
</file>