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D8A2" w14:textId="77777777" w:rsidR="005A1278" w:rsidRDefault="00000000">
      <w:pPr>
        <w:spacing w:before="1200"/>
        <w:jc w:val="center"/>
      </w:pPr>
      <w:r>
        <w:rPr>
          <w:b/>
          <w:bCs/>
          <w:color w:val="5D7A00"/>
          <w:spacing w:val="60"/>
        </w:rPr>
        <w:t>TURNPAGE DIGITAL MARKETS</w:t>
      </w:r>
    </w:p>
    <w:p w14:paraId="4A3BA355" w14:textId="77777777" w:rsidR="005A1278" w:rsidRDefault="00000000">
      <w:pPr>
        <w:spacing w:before="120" w:after="120"/>
        <w:jc w:val="center"/>
      </w:pPr>
      <w:r>
        <w:rPr>
          <w:color w:val="0A0A0A"/>
        </w:rPr>
        <w:t>Litigation Committee Memorandum</w:t>
      </w:r>
    </w:p>
    <w:p w14:paraId="6CF5BDAE" w14:textId="77777777" w:rsidR="005A1278" w:rsidRDefault="00000000">
      <w:pPr>
        <w:spacing w:before="800" w:after="60"/>
        <w:jc w:val="center"/>
      </w:pPr>
      <w:r>
        <w:rPr>
          <w:b/>
          <w:bCs/>
          <w:sz w:val="48"/>
          <w:szCs w:val="48"/>
        </w:rPr>
        <w:t>The LLM Copyright Docket</w:t>
      </w:r>
    </w:p>
    <w:p w14:paraId="2A7AB931" w14:textId="77777777" w:rsidR="005A1278" w:rsidRDefault="00000000">
      <w:pPr>
        <w:spacing w:after="60"/>
        <w:jc w:val="center"/>
      </w:pPr>
      <w:r>
        <w:rPr>
          <w:i/>
          <w:iCs/>
          <w:sz w:val="30"/>
          <w:szCs w:val="30"/>
        </w:rPr>
        <w:t>Legal Arguments, Adversarial Briefs, and a Probability-Weighted Forecast</w:t>
      </w:r>
    </w:p>
    <w:p w14:paraId="411F65BE" w14:textId="77777777" w:rsidR="005A1278" w:rsidRDefault="00000000">
      <w:pPr>
        <w:spacing w:before="1200"/>
        <w:jc w:val="center"/>
      </w:pPr>
      <w:r>
        <w:rPr>
          <w:color w:val="545454"/>
        </w:rPr>
        <w:t>Bartz v. Anthropic   ·   Kadrey v. Meta   ·   In re OpenAI MDL   ·   Thomson Reuters v. ROSS</w:t>
      </w:r>
    </w:p>
    <w:p w14:paraId="6C8EF4CD" w14:textId="77777777" w:rsidR="005A1278" w:rsidRDefault="00000000">
      <w:pPr>
        <w:spacing w:before="1600"/>
        <w:jc w:val="center"/>
      </w:pPr>
      <w:r>
        <w:rPr>
          <w:b/>
          <w:bCs/>
          <w:sz w:val="24"/>
          <w:szCs w:val="24"/>
        </w:rPr>
        <w:t>Andrew Glantz, Founder</w:t>
      </w:r>
    </w:p>
    <w:p w14:paraId="435240F4" w14:textId="77777777" w:rsidR="005A1278" w:rsidRDefault="00000000">
      <w:pPr>
        <w:spacing w:before="120" w:after="120"/>
        <w:jc w:val="center"/>
      </w:pPr>
      <w:r>
        <w:rPr>
          <w:color w:val="0A0A0A"/>
        </w:rPr>
        <w:t>Turnpage Digital Markets LLC</w:t>
      </w:r>
    </w:p>
    <w:p w14:paraId="45929A72" w14:textId="77777777" w:rsidR="005A1278" w:rsidRDefault="00000000">
      <w:pPr>
        <w:spacing w:before="120" w:after="120"/>
        <w:jc w:val="center"/>
      </w:pPr>
      <w:r>
        <w:rPr>
          <w:color w:val="545454"/>
        </w:rPr>
        <w:t>May 25, 2026</w:t>
      </w:r>
    </w:p>
    <w:p w14:paraId="243BDE08" w14:textId="77777777" w:rsidR="005A1278" w:rsidRDefault="00000000">
      <w:pPr>
        <w:spacing w:before="1600"/>
        <w:jc w:val="center"/>
      </w:pPr>
      <w:r>
        <w:rPr>
          <w:b/>
          <w:bCs/>
          <w:color w:val="545454"/>
          <w:spacing w:val="60"/>
          <w:sz w:val="18"/>
          <w:szCs w:val="18"/>
        </w:rPr>
        <w:t>CONFIDENTIAL — INTERNAL</w:t>
      </w:r>
    </w:p>
    <w:p w14:paraId="27C1B1D9" w14:textId="77777777" w:rsidR="005A1278" w:rsidRDefault="00000000">
      <w:pPr>
        <w:pStyle w:val="Heading1"/>
        <w:pageBreakBefore/>
      </w:pPr>
      <w:r>
        <w:lastRenderedPageBreak/>
        <w:t>I. Executive Summary</w:t>
      </w:r>
    </w:p>
    <w:p w14:paraId="4CD09C9C" w14:textId="77777777" w:rsidR="005A1278" w:rsidRDefault="00000000">
      <w:pPr>
        <w:spacing w:before="80" w:after="80" w:line="320" w:lineRule="auto"/>
      </w:pPr>
      <w:r>
        <w:t>This memorandum synthesizes the legal arguments advanced in the four most consequential matters in the U.S. large language model copyright docket — Bartz v. Anthropic PBC, 3:24-cv-05417 (N.D. Cal.); Kadrey v. Meta Platforms, Inc., 3:23-cv-03417 (N.D. Cal.); In re OpenAI Copyright Litigation, MDL No. 3143 (S.D.N.Y.); and Thomson Reuters Enterprise Centre GmbH v. ROSS Intelligence Inc., 1:20-cv-00613 (D. Del.), on appeal as No. 25-2153 (3d Cir.) — and provides a probability-weighted forecast for how each cross-cutting doctrinal question will resolve through the end of 2028. The analysis is grounded in the underlying pleadings, summary-judgment orders, and appellate briefs rather than secondary summaries; verbatim quotations are pulled from Judge Alsup's June 23, 2025 partial summary judgment order in Bartz, Judge Chhabria's June 25, 2025 order in Kadrey, Judge Stein's April 4, 2025 omnibus motion-to-dismiss opinion and subsequent October 2025 order in the OpenAI MDL, and Judge Bibas's February 11, 2025 reversal-on-reconsideration in Thomson Reuters.</w:t>
      </w:r>
    </w:p>
    <w:p w14:paraId="7A14F126" w14:textId="77777777" w:rsidR="005A1278" w:rsidRDefault="00000000">
      <w:pPr>
        <w:spacing w:before="80" w:after="80" w:line="320" w:lineRule="auto"/>
      </w:pPr>
      <w:r>
        <w:t>The headline finding is that the docket has produced a genuine doctrinal split at the district-court level within a single federal district — the Northern District of California — between Alsup's framing in Bartz (training is "spectacularly transformative" and the AI-training licensing market is not a harm copyright protects) and Chhabria's framing in Kadrey (training is transformative on the record presented, but "in the typical case … market dilution will often cause plaintiffs to decisively win the fourth factor"). That intra-district divergence will be resolved at the Ninth Circuit, with the Third Circuit producing the first appellate-level guidance through its review of Thomson Reuters v. ROSS. The output-infringement and DMCA Section 1202 theories advance principally through the OpenAI MDL, where Judge Stein has preserved direct, contributory, and Section 1202(b)(1) counts through MTD and is operating against a discovery record built around 20 million produced ChatGPT conversation logs.</w:t>
      </w:r>
    </w:p>
    <w:p w14:paraId="10742EE7" w14:textId="77777777" w:rsidR="005A1278" w:rsidRDefault="00000000">
      <w:pPr>
        <w:spacing w:before="80" w:after="80" w:line="320" w:lineRule="auto"/>
      </w:pPr>
      <w:r>
        <w:t xml:space="preserve">Read across the cases, the doctrinal terrain favors a hybrid outcome: </w:t>
      </w:r>
      <w:r w:rsidRPr="00C36DCF">
        <w:rPr>
          <w:highlight w:val="yellow"/>
        </w:rPr>
        <w:t>training on lawfully acquired works is more likely than not held fair use in a majority of circuits by end of 2028</w:t>
      </w:r>
      <w:r>
        <w:t xml:space="preserve"> (range 55–72%), but the safety of that holding depends on the record evidence on market dilution. </w:t>
      </w:r>
      <w:r w:rsidRPr="00C36DCF">
        <w:rPr>
          <w:highlight w:val="yellow"/>
        </w:rPr>
        <w:t>Shadow-library acquisition is more likely than not held categorically NOT fair use (range 70–85%), making Alsup's Bartz acquisition rule the workhorse plaintiff theory</w:t>
      </w:r>
      <w:r>
        <w:t xml:space="preserve">. The BitTorrent seeding count against Meta is the most underappreciated single-defendant exposure in the docket (range 55–72% probability of material liability or removal settlement). Output-regurgitation theories survive in the book-author MDL and may produce material liability (range 50–68%); DMCA Section 1202 lives as nuisance liability but does not produce industry-scale damages (range 25–42%). </w:t>
      </w:r>
      <w:r w:rsidRPr="00C36DCF">
        <w:rPr>
          <w:highlight w:val="yellow"/>
        </w:rPr>
        <w:t>Aggregate industry exposure through end of 2028, including settlements, licenses, and contested verdicts, is forecast at $</w:t>
      </w:r>
      <w:commentRangeStart w:id="0"/>
      <w:r w:rsidRPr="00C36DCF">
        <w:rPr>
          <w:highlight w:val="yellow"/>
        </w:rPr>
        <w:t>25–45 billion.</w:t>
      </w:r>
      <w:commentRangeEnd w:id="0"/>
      <w:r w:rsidR="00C36DCF">
        <w:rPr>
          <w:rStyle w:val="CommentReference"/>
          <w:sz w:val="22"/>
          <w:szCs w:val="22"/>
        </w:rPr>
        <w:commentReference w:id="0"/>
      </w:r>
    </w:p>
    <w:p w14:paraId="5437FD34" w14:textId="77777777" w:rsidR="005A1278" w:rsidRDefault="00000000">
      <w:pPr>
        <w:spacing w:before="80" w:after="80" w:line="320" w:lineRule="auto"/>
      </w:pPr>
      <w:r>
        <w:t xml:space="preserve">The memorandum is structured as follows. Part II provides a procedural and substantive overview of each of the four cases. Parts III and IV present the strongest adversarial brief for </w:t>
      </w:r>
      <w:r>
        <w:lastRenderedPageBreak/>
        <w:t>each side on the cross-cutting legal questions — plaintiffs' theory in Part III, defendants' theory in Part IV — designed to be read against each other. Part V provides the probability-weighted forecast on fourteen discrete forecast questions, with conservative ranges and explicit reasoning. Part VI presents the aggregate exposure model. Part VII assembles the source list. Verbatim quotations from court orders are flagged in italics and traced to docket entries where the underlying PDFs are available.</w:t>
      </w:r>
    </w:p>
    <w:p w14:paraId="02F990F5" w14:textId="77777777" w:rsidR="005A1278" w:rsidRDefault="00000000">
      <w:pPr>
        <w:pStyle w:val="Heading1"/>
        <w:pageBreakBefore/>
      </w:pPr>
      <w:r>
        <w:lastRenderedPageBreak/>
        <w:t>II. Case-by-Case Overview</w:t>
      </w:r>
    </w:p>
    <w:p w14:paraId="3B3AAB0C" w14:textId="77777777" w:rsidR="005A1278" w:rsidRDefault="00000000">
      <w:pPr>
        <w:pStyle w:val="Heading2"/>
      </w:pPr>
      <w:r>
        <w:t>A. Bartz v. Anthropic PBC — N.D. Cal. (Alsup, J.; now Martínez-Olguín, J.)</w:t>
      </w:r>
    </w:p>
    <w:p w14:paraId="54C0ACFF" w14:textId="77777777" w:rsidR="005A1278" w:rsidRDefault="00000000">
      <w:pPr>
        <w:spacing w:before="200" w:after="120"/>
      </w:pPr>
      <w:r>
        <w:rPr>
          <w:b/>
          <w:bCs/>
          <w:color w:val="5D7A00"/>
          <w:spacing w:val="44"/>
          <w:sz w:val="18"/>
          <w:szCs w:val="18"/>
        </w:rPr>
        <w:t>PROCEDURAL POSTURE</w:t>
      </w:r>
    </w:p>
    <w:p w14:paraId="7EB9A7F9" w14:textId="77777777" w:rsidR="005A1278" w:rsidRDefault="00000000">
      <w:pPr>
        <w:spacing w:before="80" w:after="80" w:line="320" w:lineRule="auto"/>
      </w:pPr>
      <w:r>
        <w:t>Filed August 19, 2024 in the Northern District of California by authors Andrea Bartz, Charles Graeber, and Kirk Wallace Johnson (represented by Susman Godfrey LLP and Lieff Cabraser Heimann &amp; Bernstein LLP). The complaint targets Anthropic's mass acquisition of pirated books from the Library Genesis (LibGen, June 2021) and Pirate Library Mirror (PiLiMi, July 2022) shadow libraries, and the use of those books — together with destructively scanned hard-copy purchases — to train the Claude family of large language models. Operative pleadings: complaint (Dkt. 1); class certification order (Dkt., July 17, 2025); partial summary judgment order on fair use (Dkt. 231, June 23, 2025); proposed settlement (filed Sept. 5, 2025); preliminary approval (Sept. 25, 2025); fairness hearing May 14, 2026; final-approval order pending. Judge Alsup retired at the end of 2025; the matter is now before Judge Araceli Martínez-Olguín.</w:t>
      </w:r>
    </w:p>
    <w:p w14:paraId="336DE688" w14:textId="77777777" w:rsidR="005A1278" w:rsidRDefault="00000000">
      <w:pPr>
        <w:spacing w:before="200" w:after="120"/>
      </w:pPr>
      <w:r>
        <w:rPr>
          <w:b/>
          <w:bCs/>
          <w:color w:val="5D7A00"/>
          <w:spacing w:val="44"/>
          <w:sz w:val="18"/>
          <w:szCs w:val="18"/>
        </w:rPr>
        <w:t>PLAINTIFFS' THEORY</w:t>
      </w:r>
    </w:p>
    <w:p w14:paraId="1A31B89D" w14:textId="77777777" w:rsidR="005A1278" w:rsidRDefault="00000000">
      <w:pPr>
        <w:spacing w:before="80" w:after="80" w:line="320" w:lineRule="auto"/>
      </w:pPr>
      <w:r>
        <w:t xml:space="preserve">Plaintiffs pleaded two distinct prongs: (i) a "central library" claim treating </w:t>
      </w:r>
      <w:r w:rsidRPr="00C36DCF">
        <w:rPr>
          <w:highlight w:val="yellow"/>
        </w:rPr>
        <w:t>Anthropic's downloading, retention, and use of more than seven million pirated books as a § 106(1) reproduction independently actionable regardless of whether those books were ever used to train a mode</w:t>
      </w:r>
      <w:r>
        <w:t xml:space="preserve">l; and (ii) a </w:t>
      </w:r>
      <w:r w:rsidRPr="00C36DCF">
        <w:rPr>
          <w:highlight w:val="yellow"/>
        </w:rPr>
        <w:t>separate training claim alleging that the act of ingesting copyrighted works to train Claude was itself a § 106(1) violation and not fair use</w:t>
      </w:r>
      <w:r>
        <w:t>. The complaint relied on Andy Warhol Foundation for the Visual Arts, Inc. v. Goldsmith, 598 U.S. 508 (2023), for the proposition that fair use must be evaluated against each "particular" use, and on American Geophysical Union v. Texaco Inc., 60 F.3d 913 (2d Cir. 1994), for the licensing-market displacement theory. No DMCA Section 1202 count was pleaded.</w:t>
      </w:r>
    </w:p>
    <w:p w14:paraId="00842446" w14:textId="77777777" w:rsidR="005A1278" w:rsidRDefault="00000000">
      <w:pPr>
        <w:spacing w:before="200" w:after="120"/>
      </w:pPr>
      <w:r>
        <w:rPr>
          <w:b/>
          <w:bCs/>
          <w:color w:val="5D7A00"/>
          <w:spacing w:val="44"/>
          <w:sz w:val="18"/>
          <w:szCs w:val="18"/>
        </w:rPr>
        <w:t>ANTHROPIC'S DEFENSE</w:t>
      </w:r>
    </w:p>
    <w:p w14:paraId="68703E9C" w14:textId="77777777" w:rsidR="005A1278" w:rsidRDefault="00000000">
      <w:pPr>
        <w:spacing w:before="80" w:after="80" w:line="320" w:lineRule="auto"/>
      </w:pPr>
      <w:r>
        <w:t xml:space="preserve">Anthropic's four-pronged fair-use defense argued: (1) </w:t>
      </w:r>
      <w:r w:rsidRPr="00C36DCF">
        <w:rPr>
          <w:highlight w:val="yellow"/>
        </w:rPr>
        <w:t>training is transformative</w:t>
      </w:r>
      <w:r>
        <w:t xml:space="preserve"> under Factor 1 </w:t>
      </w:r>
      <w:r w:rsidRPr="00C36DCF">
        <w:rPr>
          <w:highlight w:val="yellow"/>
        </w:rPr>
        <w:t>because the model extracts statistical relationships, not expressive content</w:t>
      </w:r>
      <w:r>
        <w:t xml:space="preserve">, invoking Sega Enterprises Ltd. v. Accolade, Inc., 977 F.2d 1510 (9th Cir. 1992), and Sony Computer Entertainment, Inc. v. Connectix Corp., 203 F.3d 596 (9th Cir. 2000); (2) </w:t>
      </w:r>
      <w:r w:rsidRPr="00C36DCF">
        <w:rPr>
          <w:highlight w:val="yellow"/>
        </w:rPr>
        <w:t>destructive-scanning of legitimately purchased physical books is format-shifting</w:t>
      </w:r>
      <w:r>
        <w:t xml:space="preserve"> under Sony Corp. of America v. Universal City Studios, Inc., 464 U.S. 417 (1984), and Authors Guild v. Google, Inc., 804 F.3d 202 (2d Cir. 2015); (3) </w:t>
      </w:r>
      <w:r w:rsidRPr="00C36DCF">
        <w:rPr>
          <w:highlight w:val="yellow"/>
        </w:rPr>
        <w:t>no cognizable Factor 4 market harm</w:t>
      </w:r>
      <w:r>
        <w:t xml:space="preserve">; and (4) </w:t>
      </w:r>
      <w:r w:rsidRPr="00C36DCF">
        <w:rPr>
          <w:highlight w:val="yellow"/>
        </w:rPr>
        <w:t>the shadow-library acquisition was reasonably necessary to the transformative use</w:t>
      </w:r>
      <w:r>
        <w:t xml:space="preserve">. </w:t>
      </w:r>
      <w:r w:rsidRPr="00C36DCF">
        <w:rPr>
          <w:highlight w:val="green"/>
        </w:rPr>
        <w:t>The fourth prong was rejected outright.</w:t>
      </w:r>
    </w:p>
    <w:p w14:paraId="351ED4D2" w14:textId="77777777" w:rsidR="005A1278" w:rsidRDefault="00000000">
      <w:pPr>
        <w:spacing w:before="200" w:after="120"/>
      </w:pPr>
      <w:r>
        <w:rPr>
          <w:b/>
          <w:bCs/>
          <w:color w:val="5D7A00"/>
          <w:spacing w:val="44"/>
          <w:sz w:val="18"/>
          <w:szCs w:val="18"/>
        </w:rPr>
        <w:t>ALSUP'S SUMMARY JUDGMENT REASONING (VERBATIM)</w:t>
      </w:r>
    </w:p>
    <w:p w14:paraId="7AD73BAD" w14:textId="77777777" w:rsidR="005A1278" w:rsidRDefault="00000000">
      <w:pPr>
        <w:spacing w:before="80" w:after="80" w:line="320" w:lineRule="auto"/>
      </w:pPr>
      <w:r>
        <w:lastRenderedPageBreak/>
        <w:t>Judge Alsup's June 23, 2025 order (Dkt. 231) bifurcated Anthropic's conduct and applied § 107 separately to three uses — training on lawfully acquired books, destructive-scan format-shifting, and the LibGen/PiLiMi "central library" piracy. Alsup characterized training as among the most transformative uses he had ever seen, writing:</w:t>
      </w:r>
    </w:p>
    <w:p w14:paraId="2E194F50" w14:textId="77777777" w:rsidR="005A1278" w:rsidRDefault="00000000">
      <w:pPr>
        <w:spacing w:before="120" w:after="120" w:line="320" w:lineRule="auto"/>
        <w:ind w:left="720" w:right="720"/>
      </w:pPr>
      <w:r w:rsidRPr="00C36DCF">
        <w:rPr>
          <w:i/>
          <w:iCs/>
          <w:highlight w:val="green"/>
        </w:rPr>
        <w:t>"The technology at issue was among the most transformative many of us will see in our lifetimes."</w:t>
      </w:r>
    </w:p>
    <w:p w14:paraId="1C048675" w14:textId="77777777" w:rsidR="005A1278" w:rsidRDefault="00000000">
      <w:pPr>
        <w:spacing w:before="120" w:after="120" w:line="320" w:lineRule="auto"/>
        <w:ind w:left="720" w:right="720"/>
      </w:pPr>
      <w:r>
        <w:rPr>
          <w:i/>
          <w:iCs/>
        </w:rPr>
        <w:t>"Like any reader aspiring to be a writer</w:t>
      </w:r>
      <w:r w:rsidRPr="00C36DCF">
        <w:rPr>
          <w:i/>
          <w:iCs/>
          <w:highlight w:val="green"/>
        </w:rPr>
        <w:t>, Anthropic's LLMs trained upon works not to race ahead and replicate or supplant them — but to turn a hard corner and create something different."</w:t>
      </w:r>
    </w:p>
    <w:p w14:paraId="74A6FA89" w14:textId="77777777" w:rsidR="005A1278" w:rsidRDefault="00000000">
      <w:pPr>
        <w:spacing w:before="80" w:after="80" w:line="320" w:lineRule="auto"/>
      </w:pPr>
      <w:r>
        <w:t xml:space="preserve">On Factor 4, Alsup expressly rejected the plaintiffs' AI-training-licensing-market theory, </w:t>
      </w:r>
      <w:r w:rsidRPr="00C36DCF">
        <w:rPr>
          <w:highlight w:val="green"/>
        </w:rPr>
        <w:t>characterizing author concerns about Claude-generated competing works as analogous to "training schoolchildren to write well"</w:t>
      </w:r>
      <w:r>
        <w:t xml:space="preserve"> — </w:t>
      </w:r>
      <w:r w:rsidRPr="00C36DCF">
        <w:rPr>
          <w:highlight w:val="green"/>
        </w:rPr>
        <w:t>not a harm the Copyright Act recognizes</w:t>
      </w:r>
      <w:r>
        <w:t>. He concluded that "the market for that use is not one the Copyright Act entitles Authors to exploit." That sentence is the doctrinal high-water mark for the defense bar.</w:t>
      </w:r>
    </w:p>
    <w:p w14:paraId="44E65746" w14:textId="77777777" w:rsidR="005A1278" w:rsidRDefault="00000000">
      <w:pPr>
        <w:spacing w:before="80" w:after="80" w:line="320" w:lineRule="auto"/>
      </w:pPr>
      <w:r>
        <w:t>The pirated-acquisition holding ran the opposite direction. Alsup found:</w:t>
      </w:r>
    </w:p>
    <w:p w14:paraId="53AEFBDC" w14:textId="77777777" w:rsidR="005A1278" w:rsidRDefault="00000000">
      <w:pPr>
        <w:spacing w:before="120" w:after="120" w:line="320" w:lineRule="auto"/>
        <w:ind w:left="720" w:right="720"/>
      </w:pPr>
      <w:r>
        <w:rPr>
          <w:i/>
          <w:iCs/>
        </w:rPr>
        <w:t>"</w:t>
      </w:r>
      <w:r w:rsidRPr="00C36DCF">
        <w:rPr>
          <w:i/>
          <w:iCs/>
          <w:highlight w:val="green"/>
        </w:rPr>
        <w:t>Anthropic had no entitlement to use pirated copies for its central library. Creating a permanent, general-purpose library was not itself a fair use excusing Anthropic's piracy."</w:t>
      </w:r>
    </w:p>
    <w:p w14:paraId="7B01022E" w14:textId="77777777" w:rsidR="005A1278" w:rsidRDefault="00000000">
      <w:pPr>
        <w:spacing w:before="120" w:after="120" w:line="320" w:lineRule="auto"/>
        <w:ind w:left="720" w:right="720"/>
      </w:pPr>
      <w:r>
        <w:rPr>
          <w:i/>
          <w:iCs/>
        </w:rPr>
        <w:t xml:space="preserve">"This order doubts that any accused infringer could ever meet its burden of explaining why downloading source copies from pirate sites that it could have purchased or otherwise accessed lawfully was itself reasonably necessary to any subsequent fair use. </w:t>
      </w:r>
      <w:r w:rsidRPr="00603E92">
        <w:rPr>
          <w:i/>
          <w:iCs/>
          <w:highlight w:val="green"/>
        </w:rPr>
        <w:t>There is no decision holding or requiring that pirating a book that could have been bought at a bookstore was reasonably necessary to writing a book review, conducting research on facts in the book, or creating an LLM. Such piracy of otherwise available copies is inherently, irredeemably infringing even if the pirated copies are immediately used for the transformative use and immediately discarded."</w:t>
      </w:r>
    </w:p>
    <w:p w14:paraId="70BDA80D" w14:textId="77777777" w:rsidR="005A1278" w:rsidRDefault="00000000">
      <w:pPr>
        <w:spacing w:before="80" w:after="80" w:line="320" w:lineRule="auto"/>
      </w:pPr>
      <w:r>
        <w:t xml:space="preserve">Alsup distinguished Sega and Connectix on the ground that those cases presupposed lawful acquisition of the source material, and distinguished Authors Guild v. Google on the ground that Google Books used library-acquired copies for a verifiable search-and-snippet purpose. The pirated-acquisition count was held NOT fair use as a matter of law, teeing up the December 2025 trial on willfulness and statutory damages. </w:t>
      </w:r>
      <w:r w:rsidRPr="00603E92">
        <w:rPr>
          <w:highlight w:val="yellow"/>
        </w:rPr>
        <w:t>With approximately seven million pirated books at up to $150,000 per work for willful infringement under § 504(c)(2), Anthropic's theoretical exposure was hundreds of billions of dollars.</w:t>
      </w:r>
    </w:p>
    <w:p w14:paraId="36E4F8FA" w14:textId="77777777" w:rsidR="005A1278" w:rsidRDefault="00000000">
      <w:pPr>
        <w:spacing w:before="200" w:after="120"/>
      </w:pPr>
      <w:r>
        <w:rPr>
          <w:b/>
          <w:bCs/>
          <w:color w:val="5D7A00"/>
          <w:spacing w:val="44"/>
          <w:sz w:val="18"/>
          <w:szCs w:val="18"/>
        </w:rPr>
        <w:t>SETTLEMENT AND OPEN ISSUES</w:t>
      </w:r>
    </w:p>
    <w:p w14:paraId="09306B36" w14:textId="77777777" w:rsidR="005A1278" w:rsidRDefault="00000000">
      <w:pPr>
        <w:spacing w:before="80" w:after="80" w:line="320" w:lineRule="auto"/>
      </w:pPr>
      <w:r>
        <w:lastRenderedPageBreak/>
        <w:t>Anthropic settled the acquisition count for a floor of $1.5 billion (approximately $3,000 per qualifying work), the largest copyright settlement in U.S. history. Class definition: beneficial or legal owners of the reproduction right in any book Anthropic downloaded from LibGen in June 2021 or PiLiMi in July 2022. Claims rate at the May 14, 2026 fairness hearing: 92.77 percent. Funding: $450 million by September 25, 2027; balance on milestones. Destruction obligation: Anthropic must destroy the pirated libraries and all derivative copies within 30 days of final judgment. Class counsel reduced the fee petition from 25% ($375 million) to 12.5% ($187.5 million) after judicial pressure under Rule 23(h).</w:t>
      </w:r>
    </w:p>
    <w:p w14:paraId="218DA8AC" w14:textId="77777777" w:rsidR="005A1278" w:rsidRDefault="00000000">
      <w:pPr>
        <w:spacing w:before="80" w:after="80" w:line="320" w:lineRule="auto"/>
      </w:pPr>
      <w:r w:rsidRPr="00DC22AA">
        <w:rPr>
          <w:highlight w:val="yellow"/>
        </w:rPr>
        <w:t xml:space="preserve">The release is narrow. It does NOT cover: (i) Claude output infringement claims; (ii) future training on the released works; (iii) DMCA § 1202 claims (not pleaded; alive in Concord/UMG); (iv) claims by rightsholders of works outside the LibGen-June-2021 / PiLiMi-July-2022 ingestion windows. </w:t>
      </w:r>
      <w:r w:rsidRPr="00DC22AA">
        <w:rPr>
          <w:highlight w:val="green"/>
        </w:rPr>
        <w:t>Material objections at the fairness hearing: the Pinder objection on group-registration undercounting (a single registration covering 40+ novels is treated as one "claimable Work")</w:t>
      </w:r>
      <w:r>
        <w:t xml:space="preserve"> </w:t>
      </w:r>
      <w:r w:rsidRPr="00DC22AA">
        <w:rPr>
          <w:highlight w:val="green"/>
        </w:rPr>
        <w:t>and the Esquivel objection on co-owner consent for late opt-outs and on the absence of Spanish-language notice (Judge Martínez-Olguín ordered supplemental briefing by May 21).</w:t>
      </w:r>
    </w:p>
    <w:p w14:paraId="528C8ED9" w14:textId="77777777" w:rsidR="005A1278" w:rsidRDefault="00000000">
      <w:pPr>
        <w:pStyle w:val="Heading2"/>
      </w:pPr>
      <w:r>
        <w:t>B. Kadrey v. Meta Platforms, Inc. — N.D. Cal. (Chhabria, J.)</w:t>
      </w:r>
    </w:p>
    <w:p w14:paraId="7550F5CB" w14:textId="77777777" w:rsidR="005A1278" w:rsidRDefault="00000000">
      <w:pPr>
        <w:spacing w:before="200" w:after="120"/>
      </w:pPr>
      <w:r>
        <w:rPr>
          <w:b/>
          <w:bCs/>
          <w:color w:val="5D7A00"/>
          <w:spacing w:val="44"/>
          <w:sz w:val="18"/>
          <w:szCs w:val="18"/>
        </w:rPr>
        <w:t>PROCEDURAL POSTURE</w:t>
      </w:r>
    </w:p>
    <w:p w14:paraId="3DF25A37" w14:textId="77777777" w:rsidR="005A1278" w:rsidRDefault="00000000">
      <w:pPr>
        <w:spacing w:before="80" w:after="80" w:line="320" w:lineRule="auto"/>
      </w:pPr>
      <w:r>
        <w:t xml:space="preserve">Filed July 7, 2023 by Richard Kadrey, Sarah Silverman, and Christopher Golden, with the consolidated Chabon companion action adding Michael Chabon, David Henry Hwang, Matthew Klam, Rachel Louise Snyder, and Ayelet Waldman. Thirteen named plaintiffs after the December 11, 2023 amended consolidated complaint added Ta-Nehisi Coates, Junot Díaz, Andrew Sean Greer, Laura Lippman, Jacqueline Woodson, and others. Critical orders: Nov. 20, 2023 motion-to-dismiss ruling (dismissing vicarious, DMCA § 1202(b), UCL, negligence, and unjust-enrichment counts); March 7, 2025 ruling reviving the § 1202(b)(1) claim on the basis of new evidentiary support; June 25, 2025 partial summary judgment order (Dkt. 598) granting Meta partial summary judgment on training fair use as to the 13 named plaintiffs, denying plaintiffs' cross-motion; June 27, 2025 short order resolving the § 1202(b)(1) claim for Meta because the underlying conduct was found fair use. The case is not closed: the BitTorrent seeding count (§ 106(3) distribution) is live and unadjudicated; plaintiffs' proposed contributory-infringement amendment is under briefing; </w:t>
      </w:r>
      <w:r w:rsidRPr="00DC22AA">
        <w:rPr>
          <w:highlight w:val="green"/>
        </w:rPr>
        <w:t>class certification has not been resolved.</w:t>
      </w:r>
    </w:p>
    <w:p w14:paraId="157BD85C" w14:textId="77777777" w:rsidR="005A1278" w:rsidRDefault="00000000">
      <w:pPr>
        <w:spacing w:before="200" w:after="120"/>
      </w:pPr>
      <w:r>
        <w:rPr>
          <w:b/>
          <w:bCs/>
          <w:color w:val="5D7A00"/>
          <w:spacing w:val="44"/>
          <w:sz w:val="18"/>
          <w:szCs w:val="18"/>
        </w:rPr>
        <w:t>PLAINTIFFS' THEORY</w:t>
      </w:r>
    </w:p>
    <w:p w14:paraId="4B27F5DF" w14:textId="77777777" w:rsidR="005A1278" w:rsidRDefault="00000000">
      <w:pPr>
        <w:spacing w:before="80" w:after="80" w:line="320" w:lineRule="auto"/>
      </w:pPr>
      <w:r>
        <w:t xml:space="preserve">Five live legal theories: (1) </w:t>
      </w:r>
      <w:r w:rsidRPr="00DC22AA">
        <w:rPr>
          <w:highlight w:val="yellow"/>
        </w:rPr>
        <w:t>direct infringement of the reproduction right (§ 106(1)) through Meta's downloading and copying of LibGen, Z-Library, PiLiMi, and Anna's Archive corpora</w:t>
      </w:r>
      <w:r>
        <w:t xml:space="preserve">; (2) </w:t>
      </w:r>
      <w:r w:rsidRPr="00DC22AA">
        <w:rPr>
          <w:highlight w:val="yellow"/>
        </w:rPr>
        <w:t>direct infringement of the distribution right (§ 106(3)) — the seeding theory — alleging that Meta's BitTorrent clients re-uploaded pieces of the archives to other peers in the swarm during download</w:t>
      </w:r>
      <w:r>
        <w:t xml:space="preserve">, </w:t>
      </w:r>
      <w:r w:rsidRPr="00DC22AA">
        <w:rPr>
          <w:highlight w:val="yellow"/>
        </w:rPr>
        <w:t>each upload being an independent distribution to the public</w:t>
      </w:r>
      <w:r>
        <w:t xml:space="preserve">; (3) vicarious </w:t>
      </w:r>
      <w:r>
        <w:lastRenderedPageBreak/>
        <w:t xml:space="preserve">infringement on the LLaMA-output-as-derivative-work theory (dismissed November 2023); (4) DMCA § 1202(b)(1) for systematic CMI removal (titles, author names, ISBNs, copyright notices) during pre-processing; and (5) a proposed contributory-infringement count grounded in MGM Studios, Inc. v. Grokster, Ltd., 545 U.S. 913 (2005), inducement liability. </w:t>
      </w:r>
      <w:r w:rsidRPr="00DC22AA">
        <w:rPr>
          <w:highlight w:val="yellow"/>
        </w:rPr>
        <w:t>Internal Meta discovery produced the now-famous email chain reflecting that the LibGen acquisition was "escalated to MZ" before Mark Zuckerberg approved its use for Llama 3 "with a number of agreed upon mitigations."</w:t>
      </w:r>
    </w:p>
    <w:p w14:paraId="57104B8B" w14:textId="77777777" w:rsidR="005A1278" w:rsidRDefault="00000000">
      <w:pPr>
        <w:spacing w:before="200" w:after="120"/>
      </w:pPr>
      <w:r>
        <w:rPr>
          <w:b/>
          <w:bCs/>
          <w:color w:val="5D7A00"/>
          <w:spacing w:val="44"/>
          <w:sz w:val="18"/>
          <w:szCs w:val="18"/>
        </w:rPr>
        <w:t>META'S DEFENSE</w:t>
      </w:r>
    </w:p>
    <w:p w14:paraId="272F040A" w14:textId="77777777" w:rsidR="005A1278" w:rsidRDefault="00000000">
      <w:pPr>
        <w:spacing w:before="80" w:after="80" w:line="320" w:lineRule="auto"/>
      </w:pPr>
      <w:r w:rsidRPr="00DC22AA">
        <w:rPr>
          <w:highlight w:val="yellow"/>
        </w:rPr>
        <w:t>Fair use as a complete defense</w:t>
      </w:r>
      <w:r>
        <w:t xml:space="preserve"> to training counts (transformative purpose, statistical-modeling extraction, no market harm); no distribution under § 106(3) because BitTorrent seeding is technical packet exchange, not making-available to identifiable recipients; the seeding is incidentally part of a transformative training pipeline; DMCA defenses on Article III standing and the double-scienter requirement; affirmative defenses of implied license, copyright misuse, and de minimis use.</w:t>
      </w:r>
    </w:p>
    <w:p w14:paraId="51BAC6BA" w14:textId="77777777" w:rsidR="005A1278" w:rsidRDefault="00000000">
      <w:pPr>
        <w:spacing w:before="200" w:after="120"/>
      </w:pPr>
      <w:r>
        <w:rPr>
          <w:b/>
          <w:bCs/>
          <w:color w:val="5D7A00"/>
          <w:spacing w:val="44"/>
          <w:sz w:val="18"/>
          <w:szCs w:val="18"/>
        </w:rPr>
        <w:t>CHHABRIA'S SUMMARY JUDGMENT REASONING (VERBATIM)</w:t>
      </w:r>
    </w:p>
    <w:p w14:paraId="0566B846" w14:textId="77777777" w:rsidR="005A1278" w:rsidRDefault="00000000">
      <w:pPr>
        <w:spacing w:before="80" w:after="80" w:line="320" w:lineRule="auto"/>
      </w:pPr>
      <w:r>
        <w:t xml:space="preserve">Judge </w:t>
      </w:r>
      <w:r w:rsidRPr="00DC22AA">
        <w:rPr>
          <w:highlight w:val="green"/>
        </w:rPr>
        <w:t>Chhabria's</w:t>
      </w:r>
      <w:r>
        <w:t xml:space="preserve"> June 25, 2025 order (Dkt. 598) is the most doctrinally consequential opinion in the docket because it </w:t>
      </w:r>
      <w:r w:rsidRPr="00DC22AA">
        <w:rPr>
          <w:highlight w:val="green"/>
        </w:rPr>
        <w:t>grants Meta the bottom-line training fair-use defense</w:t>
      </w:r>
      <w:r>
        <w:t xml:space="preserve"> but </w:t>
      </w:r>
      <w:r w:rsidRPr="00DC22AA">
        <w:rPr>
          <w:highlight w:val="green"/>
        </w:rPr>
        <w:t>articulates a contrary Factor 4 framework that future plaintiffs are designed to exploit</w:t>
      </w:r>
      <w:r>
        <w:t>. The headline disclaimer:</w:t>
      </w:r>
    </w:p>
    <w:p w14:paraId="50B7FBB8" w14:textId="77777777" w:rsidR="005A1278" w:rsidRDefault="00000000">
      <w:pPr>
        <w:spacing w:before="120" w:after="120" w:line="320" w:lineRule="auto"/>
        <w:ind w:left="720" w:right="720"/>
      </w:pPr>
      <w:r w:rsidRPr="00DC22AA">
        <w:rPr>
          <w:i/>
          <w:iCs/>
          <w:highlight w:val="yellow"/>
        </w:rPr>
        <w:t>"This ruling does not stand for the proposition that Meta's use of copyrighted materials to train its language models is lawful. It stands only for the proposition that these plaintiffs made the wrong arguments and failed to develop a record in support of the right one."</w:t>
      </w:r>
    </w:p>
    <w:p w14:paraId="3D4094B7" w14:textId="77777777" w:rsidR="005A1278" w:rsidRDefault="00000000">
      <w:pPr>
        <w:spacing w:before="80" w:after="80" w:line="320" w:lineRule="auto"/>
      </w:pPr>
      <w:r>
        <w:t>On Factor 1:</w:t>
      </w:r>
    </w:p>
    <w:p w14:paraId="71960645" w14:textId="77777777" w:rsidR="005A1278" w:rsidRDefault="00000000">
      <w:pPr>
        <w:spacing w:before="120" w:after="120" w:line="320" w:lineRule="auto"/>
        <w:ind w:left="720" w:right="720"/>
      </w:pPr>
      <w:r>
        <w:rPr>
          <w:i/>
          <w:iCs/>
        </w:rPr>
        <w:t>"There is no serious question that Meta's use of the plaintiffs' books had a 'further purpose' and 'different character' than the books — that it was highly transformative."</w:t>
      </w:r>
    </w:p>
    <w:p w14:paraId="237B8472" w14:textId="77777777" w:rsidR="005A1278" w:rsidRDefault="00000000">
      <w:pPr>
        <w:spacing w:before="120" w:after="120" w:line="320" w:lineRule="auto"/>
        <w:ind w:left="720" w:right="720"/>
      </w:pPr>
      <w:r w:rsidRPr="00DC22AA">
        <w:rPr>
          <w:i/>
          <w:iCs/>
          <w:highlight w:val="green"/>
        </w:rPr>
        <w:t>"There is certainly no rule that when your use of a protected work is 'transformative,' this automatically inoculates you from a claim of copyright infringement."</w:t>
      </w:r>
    </w:p>
    <w:p w14:paraId="5494DB29" w14:textId="77777777" w:rsidR="005A1278" w:rsidRDefault="00000000">
      <w:pPr>
        <w:spacing w:before="80" w:after="80" w:line="320" w:lineRule="auto"/>
      </w:pPr>
      <w:r>
        <w:t xml:space="preserve">On Factor 4 — the heart of the divergence from Alsup — </w:t>
      </w:r>
      <w:r w:rsidRPr="00DC22AA">
        <w:rPr>
          <w:highlight w:val="green"/>
        </w:rPr>
        <w:t>Chhabria identified two distinct cognizable harm modalities</w:t>
      </w:r>
      <w:r w:rsidRPr="00DC22AA">
        <w:t>: d</w:t>
      </w:r>
      <w:r w:rsidRPr="00DC22AA">
        <w:rPr>
          <w:highlight w:val="green"/>
        </w:rPr>
        <w:t>irect substitution (the model can reproduce the works)</w:t>
      </w:r>
      <w:r>
        <w:t xml:space="preserve"> and </w:t>
      </w:r>
      <w:r w:rsidRPr="00DC22AA">
        <w:rPr>
          <w:highlight w:val="green"/>
        </w:rPr>
        <w:t>indirect substitution / market dilution (the model enables third parties to flood the market with LLM-generated competing works)</w:t>
      </w:r>
      <w:r>
        <w:t>. On indirect substitution:</w:t>
      </w:r>
    </w:p>
    <w:p w14:paraId="6DA89440" w14:textId="77777777" w:rsidR="005A1278" w:rsidRDefault="00000000">
      <w:pPr>
        <w:spacing w:before="120" w:after="120" w:line="320" w:lineRule="auto"/>
        <w:ind w:left="720" w:right="720"/>
      </w:pPr>
      <w:r>
        <w:rPr>
          <w:i/>
          <w:iCs/>
        </w:rPr>
        <w:t>"Indirect substitution is still substitution."</w:t>
      </w:r>
    </w:p>
    <w:p w14:paraId="774C4BB7" w14:textId="77777777" w:rsidR="005A1278" w:rsidRDefault="00000000">
      <w:pPr>
        <w:spacing w:before="80" w:after="80" w:line="320" w:lineRule="auto"/>
      </w:pPr>
      <w:r>
        <w:lastRenderedPageBreak/>
        <w:t>Chhabria endorsed market dilution as a matter of law, explaining the harm by hypothetical:</w:t>
      </w:r>
    </w:p>
    <w:p w14:paraId="45019E0C" w14:textId="77777777" w:rsidR="005A1278" w:rsidRDefault="00000000">
      <w:pPr>
        <w:spacing w:before="120" w:after="120" w:line="320" w:lineRule="auto"/>
        <w:ind w:left="720" w:right="720"/>
      </w:pPr>
      <w:r>
        <w:rPr>
          <w:i/>
          <w:iCs/>
        </w:rPr>
        <w:t>"If someone bought a romance novel written by [a large language model] instead of a romance novel written by a human author, the LLM-generated novel is substituting for the human-written one."</w:t>
      </w:r>
    </w:p>
    <w:p w14:paraId="6A1901DB" w14:textId="77777777" w:rsidR="005A1278" w:rsidRDefault="00000000">
      <w:pPr>
        <w:spacing w:before="80" w:after="80" w:line="320" w:lineRule="auto"/>
      </w:pPr>
      <w:r>
        <w:t>Chhabria's most-cited dictum, the explicit doctrinal counterpoint to Alsup's Bartz framework:</w:t>
      </w:r>
    </w:p>
    <w:p w14:paraId="5C69240B" w14:textId="77777777" w:rsidR="005A1278" w:rsidRDefault="00000000">
      <w:pPr>
        <w:spacing w:before="120" w:after="120" w:line="320" w:lineRule="auto"/>
        <w:ind w:left="720" w:right="720"/>
      </w:pPr>
      <w:r w:rsidRPr="00DC22AA">
        <w:rPr>
          <w:i/>
          <w:iCs/>
          <w:highlight w:val="green"/>
        </w:rPr>
        <w:t>"In the typical case … it seems likely that market dilution will often cause plaintiffs to decisively win the fourth factor — and thus win the fair use question overall — in cases like this."</w:t>
      </w:r>
    </w:p>
    <w:p w14:paraId="4898B301" w14:textId="77777777" w:rsidR="005A1278" w:rsidRDefault="00000000">
      <w:pPr>
        <w:spacing w:before="80" w:after="80" w:line="320" w:lineRule="auto"/>
      </w:pPr>
      <w:r>
        <w:t>And the explicit rejection of Alsup's schoolchildren analogy as "inapt": using books to teach children to write is "not remotely like using books to create a product that a single individual could employ to generate countless competing works with a miniscule fraction of the time and creativity it would otherwise take</w:t>
      </w:r>
      <w:r w:rsidRPr="00DC22AA">
        <w:rPr>
          <w:highlight w:val="yellow"/>
        </w:rPr>
        <w:t>." Why the 13 named plaintiffs nevertheless lost: they produced no expert testimony, empirical study, or damages model on indirect substitution.</w:t>
      </w:r>
      <w:r>
        <w:t xml:space="preserve"> Chhabria treated </w:t>
      </w:r>
      <w:r w:rsidRPr="00DC22AA">
        <w:rPr>
          <w:highlight w:val="green"/>
        </w:rPr>
        <w:t>"speculation" as insufficient to defeat summary judgment,</w:t>
      </w:r>
      <w:r>
        <w:t xml:space="preserve"> and Meta produced affirmative evidence that LLaMA training had no measurable effect on book sales.</w:t>
      </w:r>
    </w:p>
    <w:p w14:paraId="2518149E" w14:textId="77777777" w:rsidR="005A1278" w:rsidRDefault="00000000">
      <w:pPr>
        <w:spacing w:before="200" w:after="120"/>
      </w:pPr>
      <w:r>
        <w:rPr>
          <w:b/>
          <w:bCs/>
          <w:color w:val="5D7A00"/>
          <w:spacing w:val="44"/>
          <w:sz w:val="18"/>
          <w:szCs w:val="18"/>
        </w:rPr>
        <w:t>THE SEEDING THEORY AND WHAT'S LEFT</w:t>
      </w:r>
    </w:p>
    <w:p w14:paraId="27DBB06A" w14:textId="77777777" w:rsidR="005A1278" w:rsidRDefault="00000000">
      <w:pPr>
        <w:spacing w:before="80" w:after="80" w:line="320" w:lineRule="auto"/>
      </w:pPr>
      <w:r>
        <w:t xml:space="preserve">Neither side moved for summary judgment on § 106(3) distribution, so the seeding count survived June 25 untouched. Chhabria has signaled willingness for supplemental briefing on the upload question; in a March 2026 filing, Meta argued BitTorrent seeding is itself fair use because it is technically incidental to the download. Plaintiffs counter (a) that recipients of seeded data are not training models — they are pirates obtaining infringing copies — and (b) that Ninth Circuit law in A&amp;M Records, Inc. v. Napster, Inc., 239 F.3d 1004 (9th Cir. 2001), forecloses the proposition that peer-to-peer sharing of copyrighted files is fair use. Plaintiffs also seek to add a contributory-infringement count under Grokster. The seeding theory is the cleanest plaintiff exposure surviving the June 25 order because it separates from the transformative-training question entirely. </w:t>
      </w:r>
      <w:r w:rsidRPr="00DC22AA">
        <w:rPr>
          <w:highlight w:val="yellow"/>
        </w:rPr>
        <w:t>Five major publishers separately sued Meta in early 2026 with a built-out market-dilution record designed to test Chhabria's "in the typical case" dictum.</w:t>
      </w:r>
    </w:p>
    <w:p w14:paraId="320BA322" w14:textId="77777777" w:rsidR="005A1278" w:rsidRDefault="00000000">
      <w:pPr>
        <w:pStyle w:val="Heading2"/>
      </w:pPr>
      <w:r>
        <w:t>C. In re OpenAI Copyright Litigation — MDL 3143 (S.D.N.Y., Stein, J.)</w:t>
      </w:r>
    </w:p>
    <w:p w14:paraId="037E13EA" w14:textId="77777777" w:rsidR="005A1278" w:rsidRDefault="00000000">
      <w:pPr>
        <w:spacing w:before="200" w:after="120"/>
      </w:pPr>
      <w:r>
        <w:rPr>
          <w:b/>
          <w:bCs/>
          <w:color w:val="5D7A00"/>
          <w:spacing w:val="44"/>
          <w:sz w:val="18"/>
          <w:szCs w:val="18"/>
        </w:rPr>
        <w:t>PROCEDURAL POSTURE</w:t>
      </w:r>
    </w:p>
    <w:p w14:paraId="16CEB334" w14:textId="77777777" w:rsidR="005A1278" w:rsidRDefault="00000000">
      <w:pPr>
        <w:spacing w:before="80" w:after="80" w:line="320" w:lineRule="auto"/>
      </w:pPr>
      <w:r>
        <w:t xml:space="preserve">On April 3, 2025, the Judicial Panel on Multidistrict Litigation centralized </w:t>
      </w:r>
      <w:r w:rsidRPr="00DC22AA">
        <w:rPr>
          <w:highlight w:val="yellow"/>
        </w:rPr>
        <w:t>twelve copyright actions against OpenAI and Microsoft into</w:t>
      </w:r>
      <w:r>
        <w:t xml:space="preserve"> MDL No. 3143 before Judge Sidney H. Stein, with Magistrate Judge Ona T. Wang handling discovery. The MDL now consolidates approximately sixteen actions across three plaintiff buckets: (1) news publishers (NYT v. Microsoft &amp; OpenAI; Daily News, L.P. and 16 Alden affiliates; Center for Investigative Reporting; The Intercept </w:t>
      </w:r>
      <w:r>
        <w:lastRenderedPageBreak/>
        <w:t>Media; Ziff Davis (Mashable, Lifehacker, CNET, ZDNET, PCMag, IGN); U.S. News &amp; World Report); (2) book authors (Authors Guild v. OpenAI, with George R.R. Martin, John Grisham, Jodi Picoult, David Baldacci, and Jonathan Franzen; Alter v. OpenAI; Tremblay v. OpenAI; Silverman v. OpenAI); and (3) the parallel Concord Music Group, ABKCO Music, and UMG Publishing actions against Anthropic, technically outside MDL 3143 but on the same doctrinal track.</w:t>
      </w:r>
    </w:p>
    <w:p w14:paraId="12BD9867" w14:textId="77777777" w:rsidR="005A1278" w:rsidRDefault="00000000">
      <w:pPr>
        <w:spacing w:before="200" w:after="120"/>
      </w:pPr>
      <w:r>
        <w:rPr>
          <w:b/>
          <w:bCs/>
          <w:color w:val="5D7A00"/>
          <w:spacing w:val="44"/>
          <w:sz w:val="18"/>
          <w:szCs w:val="18"/>
        </w:rPr>
        <w:t>THE NYT V. OPENAI OUTPUT-FOCUSED THEORY</w:t>
      </w:r>
    </w:p>
    <w:p w14:paraId="0E8C57FA" w14:textId="77777777" w:rsidR="005A1278" w:rsidRDefault="00000000">
      <w:pPr>
        <w:spacing w:before="80" w:after="80" w:line="320" w:lineRule="auto"/>
      </w:pPr>
      <w:r>
        <w:t xml:space="preserve">The December 27, 2023 NYT complaint pleaded seven counts: </w:t>
      </w:r>
      <w:r w:rsidRPr="00DC22AA">
        <w:rPr>
          <w:highlight w:val="yellow"/>
        </w:rPr>
        <w:t>direct copyright infringement</w:t>
      </w:r>
      <w:r>
        <w:t xml:space="preserve">; </w:t>
      </w:r>
      <w:r w:rsidRPr="00DC22AA">
        <w:rPr>
          <w:highlight w:val="yellow"/>
        </w:rPr>
        <w:t>vicarious infringement</w:t>
      </w:r>
      <w:r>
        <w:t xml:space="preserve"> (against Microsoft); </w:t>
      </w:r>
      <w:r w:rsidRPr="00DC22AA">
        <w:rPr>
          <w:highlight w:val="yellow"/>
        </w:rPr>
        <w:t>contributory infringement</w:t>
      </w:r>
      <w:r>
        <w:t xml:space="preserve">; DMCA § 1202(b) </w:t>
      </w:r>
      <w:r w:rsidRPr="00DC22AA">
        <w:rPr>
          <w:highlight w:val="yellow"/>
        </w:rPr>
        <w:t>removal of CMI</w:t>
      </w:r>
      <w:r>
        <w:t xml:space="preserve">; </w:t>
      </w:r>
      <w:r w:rsidRPr="00DC22AA">
        <w:rPr>
          <w:highlight w:val="yellow"/>
        </w:rPr>
        <w:t>common-law unfair competition by misappropriation</w:t>
      </w:r>
      <w:r>
        <w:t xml:space="preserve"> (the "hot-news" count, with International News Service v. Associated Press, 248 U.S. 215 (1918), and NBA v. Motorola, 105 F.3d 841 (2d Cir. 1997) lineage); </w:t>
      </w:r>
      <w:r w:rsidRPr="00DC22AA">
        <w:rPr>
          <w:highlight w:val="yellow"/>
        </w:rPr>
        <w:t>federal trademark dilution</w:t>
      </w:r>
      <w:r>
        <w:t xml:space="preserve"> under 15 U.S.C. § 1125(c); and N.Y. Gen. Bus. Law § 360-l. The complaint is unique among AI-training pleadings for its output focus: "Exhibit J," a 127-page exhibit titled "One Hundred Examples of GPT-4 Memorizing Content from The New York Times," provides side-by-side comparisons of NYT article prefixes prompted into GPT-4 and the model's near-verbatim continuations. Exhibits also include Bing Chat / Microsoft Copilot reproducing Wirecutter product reviews with affiliate links stripped, and outputs falsely attributing fabricated content to the Times for trademark-dilution-by-tarnishment purposes. Substantial-similarity doctrine traces to Salinger v. Random House, Inc., 811 F.2d 90 (2d Cir. 1987), and Castle Rock Entertainment, Inc. v. Carol Publishing Group, 150 F.3d 132 (2d Cir. 1998).</w:t>
      </w:r>
    </w:p>
    <w:p w14:paraId="3917B9E8" w14:textId="77777777" w:rsidR="005A1278" w:rsidRDefault="00000000">
      <w:pPr>
        <w:spacing w:before="200" w:after="120"/>
      </w:pPr>
      <w:r>
        <w:rPr>
          <w:b/>
          <w:bCs/>
          <w:color w:val="5D7A00"/>
          <w:spacing w:val="44"/>
          <w:sz w:val="18"/>
          <w:szCs w:val="18"/>
        </w:rPr>
        <w:t>OPENAI AND MICROSOFT DEFENSES</w:t>
      </w:r>
    </w:p>
    <w:p w14:paraId="5E43D9F0" w14:textId="77777777" w:rsidR="005A1278" w:rsidRDefault="00000000">
      <w:pPr>
        <w:spacing w:before="80" w:after="80" w:line="320" w:lineRule="auto"/>
      </w:pPr>
      <w:r>
        <w:t>OpenAI's defenses: (1) fair use under § 107 (deferred to summary judgment); (2) the "hired-gun hacker" / abnormal-prompts defense to regurgitation — OpenAI publicly accused the Times of paying someone to spend tens of thousands of attempts exploiting a memorization bug using "deceptive prompts that blatantly violate OpenAI's terms of use"; (3) statute of limitations under § 507(b); (4) Sony / substantial-noninfringing-use safe harbor on contributory liability; (5) DMCA § 1202(b) defenses on identicality (Frost-Tsuji and Stevens v. Corelogic line) and double-scienter; (6) hot-news preemption under § 301; (7) trademark dilution requires actual or likely tarnishment, not hallucinated attribution. Microsoft filed its own MTD foregrounding the Sony Betamax / substantial-noninfringing-use defense as the distributor of Copilot.</w:t>
      </w:r>
    </w:p>
    <w:p w14:paraId="6C0CB22A" w14:textId="77777777" w:rsidR="005A1278" w:rsidRDefault="00000000">
      <w:pPr>
        <w:spacing w:before="200" w:after="120"/>
      </w:pPr>
      <w:r>
        <w:rPr>
          <w:b/>
          <w:bCs/>
          <w:color w:val="5D7A00"/>
          <w:spacing w:val="44"/>
          <w:sz w:val="18"/>
          <w:szCs w:val="18"/>
        </w:rPr>
        <w:t>STEIN'S APRIL 4, 2025 OMNIBUS MTD ORDER</w:t>
      </w:r>
    </w:p>
    <w:p w14:paraId="3E1BD744" w14:textId="77777777" w:rsidR="005A1278" w:rsidRDefault="00000000">
      <w:pPr>
        <w:spacing w:before="80" w:after="80" w:line="320" w:lineRule="auto"/>
      </w:pPr>
      <w:r>
        <w:t xml:space="preserve">The single most influential ruling in the MDL so far. SURVIVED MTD: direct infringement (all three news cases); pre-2020 / pre-limitations direct infringement under the discovery rule (statute-of-limitations defense rejected on the holding that there is no "general duty to police the internet"); contributory infringement against OpenAI and Microsoft (all three news cases); DMCA </w:t>
      </w:r>
      <w:r>
        <w:lastRenderedPageBreak/>
        <w:t>§ 1202(b)(1) against OpenAI in Daily News and CIR; federal and state trademark dilution in Daily News. DISMISSED: § 1202(b)(1) against OpenAI in NYT (because the Exhibit J outputs themselves contained title/attribution context, defeating intentional-removal inference); § 1202(b)(1) against Microsoft in all three actions; § 1202(b)(3) against all defendants in all three actions (Stein: outputs are "excerpts," not "copies of the works"); the hot-news common-law misappropriation count (§ 301 preemption); CIR's abridgment count (with prejudice).</w:t>
      </w:r>
    </w:p>
    <w:p w14:paraId="4D1E15A8" w14:textId="77777777" w:rsidR="005A1278" w:rsidRDefault="00000000">
      <w:pPr>
        <w:spacing w:before="200" w:after="120"/>
      </w:pPr>
      <w:r>
        <w:rPr>
          <w:b/>
          <w:bCs/>
          <w:color w:val="5D7A00"/>
          <w:spacing w:val="44"/>
          <w:sz w:val="18"/>
          <w:szCs w:val="18"/>
        </w:rPr>
        <w:t>SUBSEQUENT ORDERS</w:t>
      </w:r>
    </w:p>
    <w:p w14:paraId="1631B297" w14:textId="77777777" w:rsidR="005A1278" w:rsidRDefault="00000000">
      <w:pPr>
        <w:spacing w:before="80" w:after="80" w:line="320" w:lineRule="auto"/>
      </w:pPr>
      <w:r>
        <w:t>October 27, 2025 — Stein denied OpenAI's further MTD addressed to output-side claims in the consolidated book-author actions:</w:t>
      </w:r>
    </w:p>
    <w:p w14:paraId="0B9CF532" w14:textId="77777777" w:rsidR="005A1278" w:rsidRDefault="00000000">
      <w:pPr>
        <w:spacing w:before="120" w:after="120" w:line="320" w:lineRule="auto"/>
        <w:ind w:left="720" w:right="720"/>
      </w:pPr>
      <w:r>
        <w:rPr>
          <w:i/>
          <w:iCs/>
        </w:rPr>
        <w:t>"A more discerning observer could reasonably conclude that the allegedly infringing outputs are substantially similar to plaintiffs' copyrighted works."</w:t>
      </w:r>
    </w:p>
    <w:p w14:paraId="1F772455" w14:textId="77777777" w:rsidR="005A1278" w:rsidRDefault="00000000">
      <w:pPr>
        <w:spacing w:before="80" w:after="80" w:line="320" w:lineRule="auto"/>
      </w:pPr>
      <w:r>
        <w:t>Stein personally replicated ChatGPT summaries of George R.R. Martin's novels, finding they "parrot[] the plot, characters, and themes of the original." He expressly distinguished the news cases — there, the outputs "merely summarized non-copyrightable elements" and "differed in style, tone, length, and sentence structure." That distinction explains why book-author outputs survive on a different doctrinal theory than news-summary outputs.</w:t>
      </w:r>
    </w:p>
    <w:p w14:paraId="38B987F4" w14:textId="77777777" w:rsidR="005A1278" w:rsidRDefault="00000000">
      <w:pPr>
        <w:spacing w:before="80" w:after="80" w:line="320" w:lineRule="auto"/>
      </w:pPr>
      <w:r>
        <w:t>January 2026 — Stein affirmed Magistrate Judge Wang's order compelling OpenAI to produce 20 million de-identified ChatGPT conversation logs, rejecting OpenAI's user-privacy objection. Three safeguards adequately addressed privacy: reduction from tens of billions of logs to 20 million; OpenAI's de-identification; and the protective order. Users "voluntarily submitted" the communications.</w:t>
      </w:r>
    </w:p>
    <w:p w14:paraId="40A16286" w14:textId="77777777" w:rsidR="005A1278" w:rsidRDefault="00000000">
      <w:pPr>
        <w:spacing w:before="80" w:after="80" w:line="320" w:lineRule="auto"/>
      </w:pPr>
      <w:r>
        <w:t>May 13, 2025 — Magistrate Judge Wang's preservation order required OpenAI to "preserve and segregate all output log data that would otherwise be deleted on a going forward basis," including user-deleted chats, "temporary chat" sessions, and API output for customers without zero-data-retention agreements. The order generated public privacy backlash; Sam Altman called for an "AI privilege." The indefinite-retention obligation ended September 26, 2025.</w:t>
      </w:r>
    </w:p>
    <w:p w14:paraId="0A4D8214" w14:textId="77777777" w:rsidR="005A1278" w:rsidRDefault="00000000">
      <w:pPr>
        <w:spacing w:before="80" w:after="80" w:line="320" w:lineRule="auto"/>
      </w:pPr>
      <w:r>
        <w:t>Ziff Davis (December 2025) — Stein dismissed unjust enrichment (preempted), a DMCA § 1201 anti-circumvention claim premised on robots.txt circumvention (holding robots.txt is not a "technological measure" under § 1201), and trademark dilution as to six of seven Ziff Davis publications (only Mashable held "famous"); denied with respect to direct infringement and § 1202(b).</w:t>
      </w:r>
    </w:p>
    <w:p w14:paraId="5A83F31C" w14:textId="77777777" w:rsidR="005A1278" w:rsidRDefault="00000000">
      <w:pPr>
        <w:spacing w:before="200" w:after="120"/>
      </w:pPr>
      <w:r>
        <w:rPr>
          <w:b/>
          <w:bCs/>
          <w:color w:val="5D7A00"/>
          <w:spacing w:val="44"/>
          <w:sz w:val="18"/>
          <w:szCs w:val="18"/>
        </w:rPr>
        <w:t>CONCORD/UMG V. ANTHROPIC</w:t>
      </w:r>
    </w:p>
    <w:p w14:paraId="13125BB5" w14:textId="77777777" w:rsidR="005A1278" w:rsidRDefault="00000000">
      <w:pPr>
        <w:spacing w:before="80" w:after="80" w:line="320" w:lineRule="auto"/>
      </w:pPr>
      <w:r>
        <w:t>Eight music publishers including Concord, UMG Publishing Group, and ABKCO Music allege infringement of 499 musical compositions used to train Claude. The novel theory: Anthropic chose the open-source "Newspaper" content-extractor library specifically because it strips more CMI from scraped web pages than alternative extractors, satisfying the § 1202(b) double-</w:t>
      </w:r>
      <w:r>
        <w:lastRenderedPageBreak/>
        <w:t>scienter standard. A second Concord case filed January 2026 in N.D. Cal. alleges Anthropic mass-torrented over 20,000 songs through LibGen and PiLiMi — paralleling the input-piracy theory that drove the Bartz settlement. Judge Eumi K. Lee denied Anthropic's second motion to dismiss in October 2025, sustaining the § 1202(b) and infringement counts. UMG/Concord filed partial summary judgment on the original 499 works March 23, 2026.</w:t>
      </w:r>
    </w:p>
    <w:p w14:paraId="4254DCC3" w14:textId="77777777" w:rsidR="005A1278" w:rsidRDefault="00000000">
      <w:pPr>
        <w:pStyle w:val="Heading2"/>
      </w:pPr>
      <w:r>
        <w:t>D. Thomson Reuters Enterprise Centre GmbH v. ROSS Intelligence Inc. — D. Del.; appeal pending in 3d Cir.</w:t>
      </w:r>
    </w:p>
    <w:p w14:paraId="4CA5EC8C" w14:textId="77777777" w:rsidR="005A1278" w:rsidRDefault="00000000">
      <w:pPr>
        <w:spacing w:before="200" w:after="120"/>
      </w:pPr>
      <w:r>
        <w:rPr>
          <w:b/>
          <w:bCs/>
          <w:color w:val="5D7A00"/>
          <w:spacing w:val="44"/>
          <w:sz w:val="18"/>
          <w:szCs w:val="18"/>
        </w:rPr>
        <w:t>PROCEDURAL POSTURE</w:t>
      </w:r>
    </w:p>
    <w:p w14:paraId="14708A2F" w14:textId="77777777" w:rsidR="005A1278" w:rsidRDefault="00000000">
      <w:pPr>
        <w:spacing w:before="80" w:after="80" w:line="320" w:lineRule="auto"/>
      </w:pPr>
      <w:r>
        <w:t>Filed May 6, 2020 in the District of Delaware. Judge Stephanos Bibas (Third Circuit, sitting by designation) initially issued a September 25, 2023 summary judgment opinion ("Bibas I," Dkt. 547) denying most of both parties' cross-motions and sending originality of headnotes, infringement, and the four fair-use factors to a jury. On February 11, 2025 — on the eve of trial — Bibas sua sponte revisited Bibas I, reversed himself, and granted partial summary judgment to Thomson Reuters on direct infringement as to 2,243 headnotes and rejected ROSS's fair-use defense as a matter of law ("Bibas II," Dkt. 770; 2025 WL 458520). Bibas opened the order memorably:</w:t>
      </w:r>
    </w:p>
    <w:p w14:paraId="3C71DFF3" w14:textId="77777777" w:rsidR="005A1278" w:rsidRDefault="00000000">
      <w:pPr>
        <w:spacing w:before="120" w:after="120" w:line="320" w:lineRule="auto"/>
        <w:ind w:left="720" w:right="720"/>
      </w:pPr>
      <w:r>
        <w:rPr>
          <w:i/>
          <w:iCs/>
        </w:rPr>
        <w:t>"A smart man knows when he is right; a wise man knows when he is wrong. Wisdom does not always find me, so I try to embrace it when it does — even if it comes late, as it did here."</w:t>
      </w:r>
    </w:p>
    <w:p w14:paraId="77A953ED" w14:textId="77777777" w:rsidR="005A1278" w:rsidRDefault="00000000">
      <w:pPr>
        <w:spacing w:before="80" w:after="80" w:line="320" w:lineRule="auto"/>
      </w:pPr>
      <w:r>
        <w:t>Bibas certified the ruling for interlocutory appeal under 28 U.S.C. § 1292(b), noting "the questions here are hard." The Third Circuit granted permission June 24, 2025; docketed as No. 25-2153. ROSS filed its opening brief September 22, 2025 (Kirkland &amp; Ellis for Thomson Reuters; ten amicus briefs for ROSS including EFF, Authors Alliance, copyright/economics scholars, the Disruptive Competition Project, and library associations). Thomson Reuters filed an 85-page response brief November 19, 2025. Amicus briefs from the Association of American Publishers and the News/Media Alliance supported Thomson Reuters. The Third Circuit decided American Society for Testing &amp; Materials v. UpCodes, Inc. on April 7, 2026; the panel ordered supplemental briefing on UpCodes; both parties filed supplemental briefs on May 11, 2026. Oral argument is calendared for June 11, 2026.</w:t>
      </w:r>
    </w:p>
    <w:p w14:paraId="3605A575" w14:textId="77777777" w:rsidR="005A1278" w:rsidRDefault="00000000">
      <w:pPr>
        <w:spacing w:before="200" w:after="120"/>
      </w:pPr>
      <w:r>
        <w:rPr>
          <w:b/>
          <w:bCs/>
          <w:color w:val="5D7A00"/>
          <w:spacing w:val="44"/>
          <w:sz w:val="18"/>
          <w:szCs w:val="18"/>
        </w:rPr>
        <w:t>BIBAS II REASONING (VERBATIM)</w:t>
      </w:r>
    </w:p>
    <w:p w14:paraId="11A944CF" w14:textId="77777777" w:rsidR="005A1278" w:rsidRDefault="00000000">
      <w:pPr>
        <w:spacing w:before="80" w:after="80" w:line="320" w:lineRule="auto"/>
      </w:pPr>
      <w:r>
        <w:t>Factor 1 — Purpose and Character. Bibas held ROSS's use was commercial and not transformative. The Warhol objective-purpose analysis controls; where the secondary use has "substantially the same purpose" as the original, transformativeness fails. ROSS's purpose and Westlaw's purpose are the same: a legal-research tool that "identif[ies] the important parts of a large body of law." Bibas's most-quoted lines:</w:t>
      </w:r>
    </w:p>
    <w:p w14:paraId="25C181BB" w14:textId="77777777" w:rsidR="005A1278" w:rsidRDefault="00000000">
      <w:pPr>
        <w:spacing w:before="120" w:after="120" w:line="320" w:lineRule="auto"/>
        <w:ind w:left="720" w:right="720"/>
      </w:pPr>
      <w:r>
        <w:rPr>
          <w:i/>
          <w:iCs/>
        </w:rPr>
        <w:lastRenderedPageBreak/>
        <w:t>"ROSS took the headnotes to make it easier to develop a competing legal research tool."</w:t>
      </w:r>
    </w:p>
    <w:p w14:paraId="0B9AB62F" w14:textId="77777777" w:rsidR="005A1278" w:rsidRDefault="00000000">
      <w:pPr>
        <w:spacing w:before="120" w:after="120" w:line="320" w:lineRule="auto"/>
        <w:ind w:left="720" w:right="720"/>
      </w:pPr>
      <w:r>
        <w:rPr>
          <w:i/>
          <w:iCs/>
        </w:rPr>
        <w:t>"ROSS's use is not transformative because ROSS intended to compete with Westlaw by developing a market substitute."</w:t>
      </w:r>
    </w:p>
    <w:p w14:paraId="494BD4FB" w14:textId="77777777" w:rsidR="005A1278" w:rsidRDefault="00000000">
      <w:pPr>
        <w:spacing w:before="80" w:after="80" w:line="320" w:lineRule="auto"/>
      </w:pPr>
      <w:r>
        <w:t>On the Sega/Connectix intermediate-copying defense, Bibas held those cases are confined to "computer-programming copying cases that depend in part on the need to copy to reach the underlying ideas. Neither was true in the Ross case." Headnotes are expressive works containing no unprotected "underlying ideas" requiring copying to reach. "If Ross was after unprotected facts about cases, it could have easily found and copied those elsewhere."</w:t>
      </w:r>
    </w:p>
    <w:p w14:paraId="7D368BF4" w14:textId="77777777" w:rsidR="005A1278" w:rsidRDefault="00000000">
      <w:pPr>
        <w:spacing w:before="80" w:after="80" w:line="320" w:lineRule="auto"/>
      </w:pPr>
      <w:r>
        <w:t>Factor 4 — Market Effect. Two markets identified: (1) the original market for legal-research platforms — "ROSS meant to compete with Westlaw by developing a market substitute"; and (2) "a potential derivative market" for "data to train legal AIs." The pivotal Factor 4 sentence, which is the doctrinal heart of the appeal:</w:t>
      </w:r>
    </w:p>
    <w:p w14:paraId="30A409A0" w14:textId="77777777" w:rsidR="005A1278" w:rsidRDefault="00000000">
      <w:pPr>
        <w:spacing w:before="120" w:after="120" w:line="320" w:lineRule="auto"/>
        <w:ind w:left="720" w:right="720"/>
      </w:pPr>
      <w:r>
        <w:rPr>
          <w:i/>
          <w:iCs/>
        </w:rPr>
        <w:t>"And it does not matter whether Thomson Reuters has used the data to train its own legal search tools; the effect on a potential market for AI training data is enough."</w:t>
      </w:r>
    </w:p>
    <w:p w14:paraId="20120DE0" w14:textId="77777777" w:rsidR="005A1278" w:rsidRDefault="00000000">
      <w:pPr>
        <w:spacing w:before="200" w:after="120"/>
      </w:pPr>
      <w:r>
        <w:rPr>
          <w:b/>
          <w:bCs/>
          <w:color w:val="5D7A00"/>
          <w:spacing w:val="44"/>
          <w:sz w:val="18"/>
          <w:szCs w:val="18"/>
        </w:rPr>
        <w:t>THIRD CIRCUIT BRIEFING AND UPCODES</w:t>
      </w:r>
    </w:p>
    <w:p w14:paraId="6FAB208A" w14:textId="77777777" w:rsidR="005A1278" w:rsidRDefault="00000000">
      <w:pPr>
        <w:spacing w:before="80" w:after="80" w:line="320" w:lineRule="auto"/>
      </w:pPr>
      <w:r>
        <w:t>ROSS's appellate position: post-Warhol, the objective purpose of training a model on relationships among legal words differs from Westlaw's purpose of publishing editorial summaries to end-users; Authors Guild v. Google remains good law on search-tool transformativeness; Sega and Connectix should not be limited to functional code; the "potential derivative market" theory under Factor 4 collapses into circularity if a hypothetical, undeveloped licensing market is cognizable harm. Thomson Reuters's position reduces to a slogan from the response brief: "Copying protectable expression to create a competing substitute isn't innovation: it's theft."</w:t>
      </w:r>
    </w:p>
    <w:p w14:paraId="130C49FE" w14:textId="77777777" w:rsidR="005A1278" w:rsidRDefault="00000000">
      <w:pPr>
        <w:spacing w:before="80" w:after="80" w:line="320" w:lineRule="auto"/>
      </w:pPr>
      <w:r>
        <w:t>American Society for Testing &amp; Materials v. UpCodes, Inc., No. 24-2965 (3d Cir. Apr. 7, 2026), held three of four fair-use factors favored UpCodes and the fourth was "equivocal" in a verbatim-copying-of-incorporated-standards case. UpCodes embraced broad transformativeness analysis and ruled that where a use is transformative, the rightsholder bears the burden of showing actual market harm. ROSS's UpCodes supplemental brief argues UpCodes vindicates its Factor 1 and Factor 4 positions; Thomson Reuters's brief argues UpCodes is narrowly confined to standards-incorporated-into-law cases and does not displace Bibas's reasoning. The Third Circuit's resolution will be the first U.S. appellate-level fair-use ruling involving AI training data.</w:t>
      </w:r>
    </w:p>
    <w:p w14:paraId="597F527D" w14:textId="77777777" w:rsidR="005A1278" w:rsidRDefault="00000000">
      <w:pPr>
        <w:pStyle w:val="Heading1"/>
        <w:pageBreakBefore/>
      </w:pPr>
      <w:r>
        <w:lastRenderedPageBreak/>
        <w:t>III. Plaintiffs' Cross-Cutting Brief</w:t>
      </w:r>
    </w:p>
    <w:p w14:paraId="048C6E9D" w14:textId="77777777" w:rsidR="005A1278" w:rsidRDefault="00000000">
      <w:pPr>
        <w:spacing w:before="80" w:after="80" w:line="320" w:lineRule="auto"/>
      </w:pPr>
      <w:r>
        <w:t>Part III takes the strongest plaintiff-side / rightsholder position on the cross-cutting legal questions. This is an adversarial brief; the defense reply is in Part IV. The theory of the case is that large language models are commercial products built on a comprehensive, expressive-content input layer that is itself the very thing the model is designed to displace in the marketplace. Every step of the process — acquisition, ingestion, training, deployment, and output — touches the bundle of exclusive rights in § 106.</w:t>
      </w:r>
    </w:p>
    <w:p w14:paraId="1A7C316A" w14:textId="77777777" w:rsidR="005A1278" w:rsidRDefault="00000000">
      <w:pPr>
        <w:pStyle w:val="Heading2"/>
      </w:pPr>
      <w:r>
        <w:t>A. The Factor 1 Case: AI Training Is Not Transformative Post-Warhol</w:t>
      </w:r>
    </w:p>
    <w:p w14:paraId="298061B6" w14:textId="77777777" w:rsidR="005A1278" w:rsidRDefault="00000000">
      <w:pPr>
        <w:spacing w:before="80" w:after="80" w:line="320" w:lineRule="auto"/>
      </w:pPr>
      <w:r>
        <w:t>The first fair-use factor asks whether the secondary use has a further purpose or different character from the original, or whether it merely supersedes the objects of the original creation. Post-Warhol, the analysis is objective and turns on whether the secondary use shares "substantially the same purpose" as the original and is "of a commercial nature." 598 U.S. at 532–33. Where the secondary use competes with the original in the same downstream marketplace, the use is not transformative as a matter of law — irrespective of how technologically novel the secondary user's process is.</w:t>
      </w:r>
    </w:p>
    <w:p w14:paraId="3D31516B" w14:textId="77777777" w:rsidR="005A1278" w:rsidRDefault="00000000">
      <w:pPr>
        <w:spacing w:before="80" w:after="80" w:line="320" w:lineRule="auto"/>
      </w:pPr>
      <w:r>
        <w:t>That formulation is dispositive against the AI-training defense. The objective purpose of a large language model is to generate expressive textual output. The objective purpose of a copyrighted book, article, or headnote is to provide expressive textual content for human consumption. These are not different purposes. They are the same purpose, accomplished by different means. As Judge Bibas held in Thomson Reuters: "Both Thomson Reuters and ROSS use the headnotes as AI data to create a legal research tool."</w:t>
      </w:r>
    </w:p>
    <w:p w14:paraId="280D4898" w14:textId="77777777" w:rsidR="005A1278" w:rsidRDefault="00000000">
      <w:pPr>
        <w:spacing w:before="80" w:after="80" w:line="320" w:lineRule="auto"/>
      </w:pPr>
      <w:r>
        <w:t>The Sega/Connectix intermediate-copying defense fails for two reasons. First, both cases involved copying of functional code — software interfaces — for the limited purpose of achieving interoperability, where the alternative was monopolization of an entire hardware platform. The Ninth Circuit grounded its reasoning on the functional, non-expressive character of the copied code: "where disassembly is the only way to gain access to the ideas and functional elements embodied in a copyrighted computer program and where there is a legitimate reason for seeking such access, disassembly is a fair use." Sega, 977 F.2d at 1527–28. Books, journalism, song lyrics, headnotes, and the protected expression in news articles are not functional code. They are pure expression — the very core of what copyright protects. Second, Sega and Connectix were decided long before Warhol recalibrated the Factor 1 inquiry around objective purpose and commercial substitution.</w:t>
      </w:r>
    </w:p>
    <w:p w14:paraId="20A6B714" w14:textId="77777777" w:rsidR="005A1278" w:rsidRDefault="00000000">
      <w:pPr>
        <w:spacing w:before="80" w:after="80" w:line="320" w:lineRule="auto"/>
      </w:pPr>
      <w:r>
        <w:t xml:space="preserve">Judge Alsup's contrary reasoning in Bartz characterized training as "spectacularly transformative" and analogized the model's "learning" to a human reader who acquires "ideas" from books. That analogy collapses on contact with Warhol. The relevant question is not </w:t>
      </w:r>
      <w:r>
        <w:lastRenderedPageBreak/>
        <w:t>whether the model "learns" in some metaphorical sense; the relevant question is whether the output of the system competes with the output of the original work in the same marketplace. It does. The Bartz Factor 1 holding is district-court reasoning that has never been tested on appeal, and it should not be.</w:t>
      </w:r>
    </w:p>
    <w:p w14:paraId="36CA3529" w14:textId="77777777" w:rsidR="005A1278" w:rsidRDefault="00000000">
      <w:pPr>
        <w:pStyle w:val="Heading2"/>
      </w:pPr>
      <w:r>
        <w:t>B. The Factor 4 Case: Market Dilution and Licensing Markets</w:t>
      </w:r>
    </w:p>
    <w:p w14:paraId="066636E5" w14:textId="77777777" w:rsidR="005A1278" w:rsidRDefault="00000000">
      <w:pPr>
        <w:spacing w:before="80" w:after="80" w:line="320" w:lineRule="auto"/>
      </w:pPr>
      <w:r>
        <w:t>Factor 4 is "undoubtedly the single most important element of fair use." Harper &amp; Row Publishers, Inc. v. Nation Enterprises, 471 U.S. 539, 566 (1985). The plaintiffs' Factor 4 case has three independent prongs.</w:t>
      </w:r>
    </w:p>
    <w:p w14:paraId="1A54B03B" w14:textId="77777777" w:rsidR="005A1278" w:rsidRDefault="00000000">
      <w:pPr>
        <w:spacing w:before="80" w:after="80" w:line="320" w:lineRule="auto"/>
      </w:pPr>
      <w:r>
        <w:t>First, direct substitution. AI systems generate textual outputs that compete with books, articles, and headnotes. A reader who can ask an LLM to generate a chapter-length summary, paraphrase, or stylistic imitation of a copyrighted novel obtains a partial substitute and reduces the marginal demand for the original. Harper &amp; Row squarely rejects the perfect-substitute requirement: Factor 4 asks whether unrestricted and widespread conduct of the sort engaged in by the defendant would result in a "substantially adverse impact on the potential market." 471 U.S. at 568.</w:t>
      </w:r>
    </w:p>
    <w:p w14:paraId="3DF99463" w14:textId="77777777" w:rsidR="005A1278" w:rsidRDefault="00000000">
      <w:pPr>
        <w:spacing w:before="80" w:after="80" w:line="320" w:lineRule="auto"/>
      </w:pPr>
      <w:r>
        <w:t>Second, indirect substitution / market dilution. This is the doctrinal weapon Judge Chhabria forged in Kadrey. Even where outputs are not verbatim reproductions, the proliferation of LLM-generated content that occupies the same shelf space as the original — competing for reader attention, search rankings, retail recommendations, and licensing dollars — dilutes the market for the original. The defense reads Kadrey as a Meta win on the narrow evidentiary point that the named plaintiffs had not adduced market-dilution evidence. The proper reading is the opposite: Chhabria articulated and endorsed the doctrinal framework. Any future plaintiff who comes forward with the dilution evidence — declining advances, declining backlist royalties, rising AI-generated competition in the same retail channels — wins under that framework.</w:t>
      </w:r>
    </w:p>
    <w:p w14:paraId="2ABE6259" w14:textId="77777777" w:rsidR="005A1278" w:rsidRDefault="00000000">
      <w:pPr>
        <w:spacing w:before="80" w:after="80" w:line="320" w:lineRule="auto"/>
      </w:pPr>
      <w:r>
        <w:t>Third, the foreclosure of the AI-training-data licensing market under American Geophysical Union v. Texaco Inc., 60 F.3d 913 (2d Cir. 1994). Texaco held that where a "traditional, reasonable, or likely to be developed" licensing market exists, unauthorized copying that bypasses that market causes cognizable Factor 4 harm. The AI-training-data licensing market not only exists — it is the most rapidly emerging licensing market in the modern history of copyright. OpenAI has signed deals with the Financial Times, Axel Springer, News Corp, Condé Nast, the Associated Press, Vox Media, Time, The Atlantic, and Dotdash Meredith. Anthropic has its own slate of publisher partnerships. Reddit, Shutterstock, and Stack Overflow have monetized content for AI training. Anthropic's $1.5 billion Bartz settlement is itself market-defining evidence.</w:t>
      </w:r>
    </w:p>
    <w:p w14:paraId="64CFB5A4" w14:textId="77777777" w:rsidR="005A1278" w:rsidRDefault="00000000">
      <w:pPr>
        <w:pStyle w:val="Heading2"/>
      </w:pPr>
      <w:r>
        <w:t>C. Pirated Source Data: Acquisition Is Independently Actionable</w:t>
      </w:r>
    </w:p>
    <w:p w14:paraId="0F782F18" w14:textId="77777777" w:rsidR="005A1278" w:rsidRDefault="00000000">
      <w:pPr>
        <w:spacing w:before="80" w:after="80" w:line="320" w:lineRule="auto"/>
      </w:pPr>
      <w:r>
        <w:lastRenderedPageBreak/>
        <w:t>Judge Alsup's holding in Bartz that Anthropic's downloading and storage of LibGen and PiLiMi shadow-library content cannot be fair use as a matter of law is the most important pro-plaintiff ruling in the docket. The $1.5 billion settlement reflects the strength of that holding. The doctrinal proposition is simple and longstanding: there is no authority for the proposition that downstream transformative use cures upstream piracy. The fair-use defense applies to a use of a work; it does not apply to the act of acquiring a work, when that act is itself an unauthorized reproduction under § 106(1). Sega and Connectix presupposed that the defendants had lawfully acquired the source copies they then disassembled.</w:t>
      </w:r>
    </w:p>
    <w:p w14:paraId="10B36F62" w14:textId="77777777" w:rsidR="005A1278" w:rsidRDefault="00000000">
      <w:pPr>
        <w:spacing w:before="80" w:after="80" w:line="320" w:lineRule="auto"/>
      </w:pPr>
      <w:r>
        <w:t>Texaco is again instructive. The Second Circuit treated each photocopy of a journal article as an independent Factor 4 event. The court did not roll the upstream copying into the downstream "research use" and ask whether the integrated process was fair. It analyzed the reproduction as a discrete act of infringement. The same analytic must apply here. The acquisition of pirated content from LibGen and PiLiMi is a § 106(1) reproduction. It is unlicensed. It is commercial. There is no claim of transformation at the acquisition step, because no transformation has occurred — the file on the defendant's server is bit-for-bit identical to the file on the pirate library's server.</w:t>
      </w:r>
    </w:p>
    <w:p w14:paraId="4EC4B6E7" w14:textId="77777777" w:rsidR="005A1278" w:rsidRDefault="00000000">
      <w:pPr>
        <w:spacing w:before="80" w:after="80" w:line="320" w:lineRule="auto"/>
      </w:pPr>
      <w:r>
        <w:t>Judge Chhabria's "integrated process" framing in Kadrey — that acquisition and training should be analyzed together as one fair-use question — is wrong and should be rejected on appeal. It collapses two independent acts of infringement into one analytic, allowing the downstream "transformation" to launder the upstream piracy. That collapse has no support in Texaco, no support in Google Books or HathiTrust, and no support in any other circuit. The Ninth Circuit will follow Alsup, not Chhabria.</w:t>
      </w:r>
    </w:p>
    <w:p w14:paraId="6BA98D83" w14:textId="77777777" w:rsidR="005A1278" w:rsidRDefault="00000000">
      <w:pPr>
        <w:pStyle w:val="Heading2"/>
      </w:pPr>
      <w:r>
        <w:t>D. The Seeding Theory: BitTorrent Distribution as Standalone § 106(3) Liability</w:t>
      </w:r>
    </w:p>
    <w:p w14:paraId="62A6D35F" w14:textId="77777777" w:rsidR="005A1278" w:rsidRDefault="00000000">
      <w:pPr>
        <w:spacing w:before="80" w:after="80" w:line="320" w:lineRule="auto"/>
      </w:pPr>
      <w:r>
        <w:t>Meta's BitTorrent-based acquisition of training corpora opens a second, independent liability channel that the defense cannot escape through any fair-use argument. A&amp;M Records, Inc. v. Napster, Inc., 239 F.3d 1004 (9th Cir. 2001), controls. The BitTorrent protocol functions by simultaneous downloading and uploading: a "leecher" downloading a file is, by the protocol's own design, simultaneously a "seeder" uploading pieces of the file to other peers on the swarm. Each upload is a § 106(3) distribution to the public. Each distribution is an independent act of infringement.</w:t>
      </w:r>
    </w:p>
    <w:p w14:paraId="3507DC39" w14:textId="77777777" w:rsidR="005A1278" w:rsidRDefault="00000000">
      <w:pPr>
        <w:spacing w:before="80" w:after="80" w:line="320" w:lineRule="auto"/>
      </w:pPr>
      <w:r>
        <w:t xml:space="preserve">There is no plausible fair-use defense to BitTorrent seeding by an AI company. Factor 1 fails because the act of redistributing the work to anonymous peers on a torrent swarm has no transformative purpose. Factor 4 is the most damaging: BitTorrent seeding directly supplies pirated copies to other consumers of the work, displacing the legal e-book market on a one-to-one basis. The defendant's argument that the seeding was "necessary" to the training process </w:t>
      </w:r>
      <w:r>
        <w:lastRenderedPageBreak/>
        <w:t>is factually wrong (the defendant could have configured the torrent client to limit upload, or could have used non-BitTorrent acquisition channels) and legally wrong (no doctrine permits an infringer to characterize gratuitous distribution as "necessary" to the downstream use).</w:t>
      </w:r>
    </w:p>
    <w:p w14:paraId="09984217" w14:textId="77777777" w:rsidR="005A1278" w:rsidRDefault="00000000">
      <w:pPr>
        <w:spacing w:before="80" w:after="80" w:line="320" w:lineRule="auto"/>
      </w:pPr>
      <w:r>
        <w:t>The seeding theory sidesteps the entire Factor 1 debate. Even on the strongest pro-defendant reading of Bartz on training transformativeness, the seeding count survives. Meta's internal communications about BitTorrent — the "after escalation to MZ" emails — are willfulness evidence of the most damaging kind: senior leadership knew the firm was acquiring works via torrent and authorized it.</w:t>
      </w:r>
    </w:p>
    <w:p w14:paraId="312C157E" w14:textId="77777777" w:rsidR="005A1278" w:rsidRDefault="00000000">
      <w:pPr>
        <w:pStyle w:val="Heading2"/>
      </w:pPr>
      <w:r>
        <w:t>E. Output Infringement: Memorization Is Reproduction</w:t>
      </w:r>
    </w:p>
    <w:p w14:paraId="034151E7" w14:textId="77777777" w:rsidR="005A1278" w:rsidRDefault="00000000">
      <w:pPr>
        <w:spacing w:before="80" w:after="80" w:line="320" w:lineRule="auto"/>
      </w:pPr>
      <w:r>
        <w:t>Plaintiffs have placed before the courts extensive showings — including verbatim and near-verbatim outputs in the NYT Exhibit J — demonstrating that GPT-class models have memorized protected expression and can reproduce it on request. Judge Stein's April 2025 MTD order preserved direct, contributory, and § 1202 claims through the pleading stage. The court's January 2026 order requiring production of 20 million ChatGPT logs sets up a discovery record in which plaintiffs will quantify memorization at scale.</w:t>
      </w:r>
    </w:p>
    <w:p w14:paraId="7BEFB732" w14:textId="77777777" w:rsidR="005A1278" w:rsidRDefault="00000000">
      <w:pPr>
        <w:spacing w:before="80" w:after="80" w:line="320" w:lineRule="auto"/>
      </w:pPr>
      <w:r>
        <w:t>The doctrinal frame is Salinger v. Random House and Castle Rock Entertainment. Memorization is reproduction. Section 106(1) grants the exclusive right "to reproduce the copyrighted work in copies or phonorecords." A "copy" is defined in § 101 to include any material object "in which a work is fixed by any method now known or later developed, and from which the work can be perceived, reproduced, or otherwise communicated, either directly or with the aid of a machine or device." The model weights — which, on prompting, perceptibly communicate the protected expression — fit that definition. The output, when generated, is itself a § 106(1) reproduction. Both events are independently actionable.</w:t>
      </w:r>
    </w:p>
    <w:p w14:paraId="365406C8" w14:textId="77777777" w:rsidR="005A1278" w:rsidRDefault="00000000">
      <w:pPr>
        <w:spacing w:before="80" w:after="80" w:line="320" w:lineRule="auto"/>
      </w:pPr>
      <w:r>
        <w:t>The "abnormal prompts" defense is a litigation construct. The only thing the prompts demonstrate — and the only thing they need to demonstrate — is that the protected expression is in the model. Whether the expression is accessible at one-in-ten or one-in-ten-million prompt instances, it is fixed in the weights, and the weights are fixed in tangible storage. That is reproduction. The frequency-of-elicitation question goes to remedy, not liability.</w:t>
      </w:r>
    </w:p>
    <w:p w14:paraId="5094FC99" w14:textId="77777777" w:rsidR="005A1278" w:rsidRDefault="00000000">
      <w:pPr>
        <w:pStyle w:val="Heading2"/>
      </w:pPr>
      <w:r>
        <w:t>F. DMCA § 1202: The Newspaper Algorithm and the Double-Scienter Showing</w:t>
      </w:r>
    </w:p>
    <w:p w14:paraId="7EAB6088" w14:textId="77777777" w:rsidR="005A1278" w:rsidRDefault="00000000">
      <w:pPr>
        <w:spacing w:before="80" w:after="80" w:line="320" w:lineRule="auto"/>
      </w:pPr>
      <w:r>
        <w:t>Section 1202(b) prohibits the intentional removal or alteration of copyright management information where the actor knows or has reasonable grounds to know that the removal will induce, enable, facilitate, or conceal infringement. The plaintiffs' two strongest theories satisfy the double-scienter standard.</w:t>
      </w:r>
    </w:p>
    <w:p w14:paraId="0FA33147" w14:textId="77777777" w:rsidR="005A1278" w:rsidRDefault="00000000">
      <w:pPr>
        <w:spacing w:before="80" w:after="80" w:line="320" w:lineRule="auto"/>
      </w:pPr>
      <w:r>
        <w:lastRenderedPageBreak/>
        <w:t>First, the "Newspaper algorithm" theory in Concord/UMG: the defendant chose, designed, or configured an extractor or preprocessor that strips CMI from ingested text. The choice of an extractor that strips CMI is itself evidence of intent. The double-scienter showing is satisfied because the configuration is volitional and the removal facilitates infringement in the obvious sense that downstream copies and outputs no longer carry the author/title/copyright-notice metadata that would identify them as protected works subject to licensing.</w:t>
      </w:r>
    </w:p>
    <w:p w14:paraId="02A62B9E" w14:textId="77777777" w:rsidR="005A1278" w:rsidRDefault="00000000">
      <w:pPr>
        <w:spacing w:before="80" w:after="80" w:line="320" w:lineRule="auto"/>
      </w:pPr>
      <w:r>
        <w:t>Second, the Exhibit-J-style theory: where the model's output reproduces protected expression but omits title, author, and copyright-notice information that accompanied the expression in its original published form, the model has reproduced the work with the CMI stripped. The double-scienter showing is satisfied because the defendant designed, trained, and deployed a system that systematically reproduces expression without CMI, and the defendant knows or has reasonable grounds to know that the absence of CMI in the outputs facilitates downstream use without attribution or license. Concealment of one's own infringement is plainly within the statutory text — § 1202(b)(1) uses the disjunctive "induce, enable, facilitate, or conceal infringement."</w:t>
      </w:r>
    </w:p>
    <w:p w14:paraId="3BE3F011" w14:textId="77777777" w:rsidR="005A1278" w:rsidRDefault="00000000">
      <w:pPr>
        <w:pStyle w:val="Heading2"/>
      </w:pPr>
      <w:r>
        <w:t>G. Class Certification, Standing, Statutory Damages</w:t>
      </w:r>
    </w:p>
    <w:p w14:paraId="327D8157" w14:textId="77777777" w:rsidR="005A1278" w:rsidRDefault="00000000">
      <w:pPr>
        <w:spacing w:before="80" w:after="80" w:line="320" w:lineRule="auto"/>
      </w:pPr>
      <w:r>
        <w:t>Wal-Mart Stores, Inc. v. Dukes, 564 U.S. 338 (2011), does not bar certification. The common questions — whether ingestion is fair use; whether shadow-library acquisition is fair use; whether seeding is § 106(3) distribution; whether memorization is reproduction; whether CMI was removed — are paradigmatically common. Bartz proves the model is workable: a class was certified and a $1.5 billion settlement was reached on a class basis. The acquisition analysis is wholly common: whether downloading LibGen is fair use does not vary work-by-work, because the act of acquisition is identical across all works in the pirate library.</w:t>
      </w:r>
    </w:p>
    <w:p w14:paraId="13D7A3D3" w14:textId="77777777" w:rsidR="005A1278" w:rsidRDefault="00000000">
      <w:pPr>
        <w:spacing w:before="80" w:after="80" w:line="320" w:lineRule="auto"/>
      </w:pPr>
      <w:r>
        <w:t>On standing and registration: Reed Elsevier, Inc. v. Muchnick, 559 U.S. 154 (2010), establishes that § 411(a)'s registration requirement is a claim-processing rule, not a jurisdictional bar. Major plaintiffs have registered. Foreign plaintiffs benefit from Berne Convention exemption under § 411(a). On statutory damages and willfulness: § 504(c)(2) authorizes statutory damages up to $150,000 per infringed work where the infringement was willful. Anthropic's internal documents describing its LibGen/PiLiMi collection as a "central library," and Meta's internal communications escalating BitTorrent acquisition to senior leadership, are willfulness evidence of the highest order.</w:t>
      </w:r>
    </w:p>
    <w:p w14:paraId="52B4987D" w14:textId="77777777" w:rsidR="005A1278" w:rsidRDefault="00000000">
      <w:pPr>
        <w:pStyle w:val="Heading1"/>
        <w:pageBreakBefore/>
      </w:pPr>
      <w:r>
        <w:lastRenderedPageBreak/>
        <w:t>IV. Defendants' Cross-Cutting Brief</w:t>
      </w:r>
    </w:p>
    <w:p w14:paraId="754ACE25" w14:textId="77777777" w:rsidR="005A1278" w:rsidRDefault="00000000">
      <w:pPr>
        <w:spacing w:before="80" w:after="80" w:line="320" w:lineRule="auto"/>
      </w:pPr>
      <w:r>
        <w:t>Part IV takes the strongest defense / AI-developer position on the same cross-cutting legal questions. The thesis: training a foundation model is "spectacularly transformative," in Judge Alsup's words; the statistical relationships extracted from a corpus are not the protectable expression in the corpus; the asserted "market dilution" theory is unsupported dictum where it appears and is precluded by Authors Guild v. Google where it is asserted as holding; the shadow-library acquisition problem in Bartz is a narrow remedial issue; BitTorrent seeding is a protocol artifact; output regurgitation in Exhibit J is the product of adversarial prompting; § 1202 requires double scienter and identicality that AI outputs by definition do not satisfy; class certification fails under Wal-Mart v. Dukes; willfulness is not made out by mere knowledge of source; and the First Amendment cabins the Copyright Act against precisely the kind of expansion the plaintiffs demand.</w:t>
      </w:r>
    </w:p>
    <w:p w14:paraId="51D3605F" w14:textId="77777777" w:rsidR="005A1278" w:rsidRDefault="00000000">
      <w:pPr>
        <w:pStyle w:val="Heading2"/>
      </w:pPr>
      <w:r>
        <w:t>A. The Factor 1 Case for AI Training as Transformative Use</w:t>
      </w:r>
    </w:p>
    <w:p w14:paraId="3524EAD0" w14:textId="77777777" w:rsidR="005A1278" w:rsidRDefault="00000000">
      <w:pPr>
        <w:spacing w:before="80" w:after="80" w:line="320" w:lineRule="auto"/>
      </w:pPr>
      <w:r>
        <w:t>Judge Alsup's June 2025 order grants summary judgment to Anthropic on the training-as-fair-use defense in the most emphatic terms a district court has used to date in an AI copyright matter. Training a foundation model on a corpus of copyrighted text is "spectacularly transformative" and "quintessentially transformative" because the model extracts uncopyrightable statistical relationships among tokens rather than the protected expression embodied in any particular work. What the model "learns" — the conditional distributions over tokens, the parameter weights that emerge from gradient descent on a loss function — is not, and cannot be, the property of any author whose text passed through the training loop. It is closer to what Judge Leval, in the foundational Authors Guild v. Google, 804 F.3d 202 (2d Cir. 2015), described as "highly transformative" use that "transform[s] the original work into a different kind of utility."</w:t>
      </w:r>
    </w:p>
    <w:p w14:paraId="64510048" w14:textId="77777777" w:rsidR="005A1278" w:rsidRDefault="00000000">
      <w:pPr>
        <w:spacing w:before="80" w:after="80" w:line="320" w:lineRule="auto"/>
      </w:pPr>
      <w:r>
        <w:t>The plaintiffs' rejoinder — that the model "ingests" the work in its entirety and therefore copies the protected expression — collapses two distinct stages of the inquiry. Yes, intermediate copying occurs; the corpus must be read into memory to compute statistics over it. But intermediate copying for the purpose of extracting unprotectable elements is the precise fact pattern Sega and Connectix held to be fair use. The expressive content of the underlying works is no more "used" by the trained model than the protected expression in Sega's BIOS was "used" by Accolade's competing games.</w:t>
      </w:r>
    </w:p>
    <w:p w14:paraId="1284B861" w14:textId="77777777" w:rsidR="005A1278" w:rsidRDefault="00000000">
      <w:pPr>
        <w:spacing w:before="80" w:after="80" w:line="320" w:lineRule="auto"/>
      </w:pPr>
      <w:r>
        <w:t xml:space="preserve">UpCodes, decided by the Third Circuit on April 7, 2026, makes the point explicit at the appellate level. UpCodes holds that the Factor 1 transformative-purpose inquiry focuses on whether the secondary use serves a different function from the original, not on whether the downstream product competes with the original in some market. That formulation — adopted by a federal court of appeals, not merely a single district judge — is fatal to the plaintiffs' principal Factor 1 </w:t>
      </w:r>
      <w:r>
        <w:lastRenderedPageBreak/>
        <w:t>theory. The function of a novel is to be read by humans for narrative experience. The function of a foundation model is to compute conditional token probabilities. The two functions do not overlap, and the fact that the model can later be prompted to produce text that competes with novels in some downstream market is, as UpCodes expressly holds, the wrong question at Factor 1.</w:t>
      </w:r>
    </w:p>
    <w:p w14:paraId="08A21C23" w14:textId="77777777" w:rsidR="005A1278" w:rsidRDefault="00000000">
      <w:pPr>
        <w:pStyle w:val="Heading2"/>
      </w:pPr>
      <w:r>
        <w:t>B. The Factor 4 Case: No Cognizable Market Harm</w:t>
      </w:r>
    </w:p>
    <w:p w14:paraId="4E1E1559" w14:textId="77777777" w:rsidR="005A1278" w:rsidRDefault="00000000">
      <w:pPr>
        <w:spacing w:before="80" w:after="80" w:line="320" w:lineRule="auto"/>
      </w:pPr>
      <w:r>
        <w:t>Alsup, in Bartz, addresses the dilution theory directly and rejects it. The Copyright Act does not give rightsholders control over downstream competing-work creation; if it did, every reader who learns from a book and later writes a competing book would be an infringer. That holding is doctrinally correct and consistent with Authors Guild v. Google's observation that the Copyright Act protects against substitutional use of the protected expression, not against the creation of competing works informed by ideas, facts, or stylistic regularities extracted from the original. The plaintiffs' dilution theory, taken to its logical conclusion, would convert every act of human learning into a derivative-works problem.</w:t>
      </w:r>
    </w:p>
    <w:p w14:paraId="7325DEBB" w14:textId="77777777" w:rsidR="005A1278" w:rsidRDefault="00000000">
      <w:pPr>
        <w:spacing w:before="80" w:after="80" w:line="320" w:lineRule="auto"/>
      </w:pPr>
      <w:r>
        <w:t>Chhabria's Kadrey order is sometimes cited by the plaintiffs' bar for its discussion of "indirect substitution" and "market dilution." That citation is misleading. The discussion is dictum. The named Kadrey plaintiffs adduced no evidence — none — that the Llama models had displaced any sales of their works in any identifiable market. Chhabria explicitly granted Meta summary judgment on the training fair-use defense. A subsequent district court will be free to disregard the dilution dictum; an appellate court should.</w:t>
      </w:r>
    </w:p>
    <w:p w14:paraId="0EDE9F40" w14:textId="77777777" w:rsidR="005A1278" w:rsidRDefault="00000000">
      <w:pPr>
        <w:spacing w:before="80" w:after="80" w:line="320" w:lineRule="auto"/>
      </w:pPr>
      <w:r>
        <w:t>Texaco does not control AI training and cannot be stretched to do so. Texaco involved a specific, established, market-clearing institution (the CCC) with negotiated rates for a defined use (photocopying journal articles for internal research). There is no analogous institution for AI training data. The handful of bilateral deals plaintiffs cite — the OpenAI–News Corp arrangement, the Anthropic–various-publishers deals announced around the Bartz settlement — are not a market in the Texaco sense. They are settlement-flavored or PR-flavored bilateral transactions executed in the shadow of pending or threatened litigation. Treating them as evidence that a market "exists" is the precise circularity UpCodes rejects.</w:t>
      </w:r>
    </w:p>
    <w:p w14:paraId="0D9022B6" w14:textId="77777777" w:rsidR="005A1278" w:rsidRDefault="00000000">
      <w:pPr>
        <w:pStyle w:val="Heading2"/>
      </w:pPr>
      <w:r>
        <w:t>C. Shadow-Library Acquisition: A Narrow Problem, Not a Doctrinal Wedge</w:t>
      </w:r>
    </w:p>
    <w:p w14:paraId="6D904607" w14:textId="77777777" w:rsidR="005A1278" w:rsidRDefault="00000000">
      <w:pPr>
        <w:spacing w:before="80" w:after="80" w:line="320" w:lineRule="auto"/>
      </w:pPr>
      <w:r>
        <w:t xml:space="preserve">Alsup's "central library" theory rests on a misreading of Texaco. Texaco held that the maintenance of a central library of photocopied articles — copies made and retained as substitutes for purchasing additional subscriptions — was not fair use because the copies served a substitutional function. The Anthropic shadow-library set was not a substitutional library; it was an input to the training pipeline. The cleaner doctrinal reading, adopted by </w:t>
      </w:r>
      <w:r>
        <w:lastRenderedPageBreak/>
        <w:t>Chhabria in Kadrey, is the "integrated process" framing: acquisition and training cannot be doctrinally separated when both serve the same transformative purpose.</w:t>
      </w:r>
    </w:p>
    <w:p w14:paraId="52DB774C" w14:textId="77777777" w:rsidR="005A1278" w:rsidRDefault="00000000">
      <w:pPr>
        <w:spacing w:before="80" w:after="80" w:line="320" w:lineRule="auto"/>
      </w:pPr>
      <w:r>
        <w:t>Even taking Alsup's narrower holding at face value, the appropriate remedy is actual damages — the cost of the books, plus reasonable interest — not statutory damages aggregated across millions of works. A statutory-damages award that exceeds actual damages by orders of magnitude raises serious due-process concerns under State Farm Mutual Automobile Insurance Co. v. Campbell, 538 U.S. 408 (2003), and BMW of North America, Inc. v. Gore, 517 U.S. 559 (1996). The Bartz settlement amount, while large in absolute terms, reflects a per-work valuation that is doctrinally defensible only if read as a settlement of remedies on the acquisition count alone.</w:t>
      </w:r>
    </w:p>
    <w:p w14:paraId="487C8915" w14:textId="77777777" w:rsidR="005A1278" w:rsidRDefault="00000000">
      <w:pPr>
        <w:pStyle w:val="Heading2"/>
      </w:pPr>
      <w:r>
        <w:t>D. The Seeding Theory: Protocol Artifact, Not § 106(3) Distribution</w:t>
      </w:r>
    </w:p>
    <w:p w14:paraId="6CA3C8BD" w14:textId="77777777" w:rsidR="005A1278" w:rsidRDefault="00000000">
      <w:pPr>
        <w:spacing w:before="80" w:after="80" w:line="320" w:lineRule="auto"/>
      </w:pPr>
      <w:r>
        <w:t>BitTorrent seeding is not "distribution" in the Napster sense. Napster's product was deliberate file-sharing as its core function; users chose to make their files available, and the central index made the files discoverable. BitTorrent is a transfer protocol that exchanges packet-level fragments among peers in a swarm. A BitTorrent client that has downloaded a file will, by default, continue to share fragments with other peers in the swarm for some period, but the fragments are not addressed to identifiable recipients in the way Napster's file transfers were. The Sony substantial-noninfringing-use rule applies: BitTorrent has substantial noninfringing uses, and Meta's use of BitTorrent to acquire research corpora is within the noninfringing core of the technology's use cases.</w:t>
      </w:r>
    </w:p>
    <w:p w14:paraId="6258D9E4" w14:textId="77777777" w:rsidR="005A1278" w:rsidRDefault="00000000">
      <w:pPr>
        <w:pStyle w:val="Heading2"/>
      </w:pPr>
      <w:r>
        <w:t>E. Output Regurgitation: Adversarial Prompting, Not Infringement</w:t>
      </w:r>
    </w:p>
    <w:p w14:paraId="05ABFAF0" w14:textId="77777777" w:rsidR="005A1278" w:rsidRDefault="00000000">
      <w:pPr>
        <w:spacing w:before="80" w:after="80" w:line="320" w:lineRule="auto"/>
      </w:pPr>
      <w:r>
        <w:t>The plaintiffs' output-infringement theory — that ChatGPT, Claude, or Llama, when prompted in specific ways, will produce verbatim or near-verbatim reproductions of copyrighted text — is the basis for the Exhibit J allegations. The defense answer is that Exhibit J and its analogues are the product of adversarial prompting, not ordinary use. OpenAI's own published research, including the work of Carlini and colleagues on memorization rates, establishes that verbatim regurgitation in ordinary use is vanishingly rare — fractions of a percent of outputs, concentrated in highly-duplicated training data. Adversarial prompts designed to elicit memorized content are not representative of ordinary user interactions.</w:t>
      </w:r>
    </w:p>
    <w:p w14:paraId="31C68D60" w14:textId="77777777" w:rsidR="005A1278" w:rsidRDefault="00000000">
      <w:pPr>
        <w:spacing w:before="80" w:after="80" w:line="320" w:lineRule="auto"/>
      </w:pPr>
      <w:r>
        <w:t xml:space="preserve">Memorization at the parameter level is not "fixation" of a "copy" within the meaning of 17 U.S.C. § 101. A foundation model's parameter weights do not, in any ordinary sense, embody the training corpus. They embody a compressed statistical representation from which fragments of the corpus can, on rare occasions and under specific prompting, be reconstructed approximately. The closest analogy is human memory: a human reader who has read a novel </w:t>
      </w:r>
      <w:r>
        <w:lastRenderedPageBreak/>
        <w:t>and can, on demand, recite a memorable passage is not a "copy" of the novel for § 101 purposes.</w:t>
      </w:r>
    </w:p>
    <w:p w14:paraId="292A5A97" w14:textId="77777777" w:rsidR="005A1278" w:rsidRDefault="00000000">
      <w:pPr>
        <w:pStyle w:val="Heading2"/>
      </w:pPr>
      <w:r>
        <w:t>F. DMCA § 1202: The Double-Scienter Wall and the Identicality Requirement</w:t>
      </w:r>
    </w:p>
    <w:p w14:paraId="58E22DF8" w14:textId="77777777" w:rsidR="005A1278" w:rsidRDefault="00000000">
      <w:pPr>
        <w:spacing w:before="80" w:after="80" w:line="320" w:lineRule="auto"/>
      </w:pPr>
      <w:r>
        <w:t>Stevens v. CoreLogic, 899 F.3d 666 (9th Cir. 2018), and Frost-Tsuji Architects v. Highway Inn, Inc., 2015 WL 263556 (D. Haw. 2015), establish that a § 1202(b) violation requires identicality between the allegedly infringing copy and the original work whose CMI was allegedly removed. AI outputs are derivative — they are not identical to the original works. Plaintiffs cannot have it both ways: arguing on the infringement counts that outputs are derivative reproductions, and on the § 1202 counts that the outputs are identical copies stripped of CMI. Judge Stein in the OpenAI MDL dismissed the § 1202(b)(3) count for precisely this reason.</w:t>
      </w:r>
    </w:p>
    <w:p w14:paraId="780A5822" w14:textId="77777777" w:rsidR="005A1278" w:rsidRDefault="00000000">
      <w:pPr>
        <w:spacing w:before="80" w:after="80" w:line="320" w:lineRule="auto"/>
      </w:pPr>
      <w:r>
        <w:t>The "Newspaper algorithm" theory advanced in Concord/UMG — that the defendants' choice of one open-source text-extraction tool over another constitutes intentional CMI removal — is meritless. Choosing among open-source extractors based on engineering criteria is not "intentional" removal within § 1202(b); it is ordinary engineering practice. The double-scienter requirement was drafted into the statute precisely to prevent § 1202 from becoming a strict-liability backstop to the Copyright Act.</w:t>
      </w:r>
    </w:p>
    <w:p w14:paraId="3FE416C6" w14:textId="77777777" w:rsidR="005A1278" w:rsidRDefault="00000000">
      <w:pPr>
        <w:pStyle w:val="Heading2"/>
      </w:pPr>
      <w:r>
        <w:t>G. Class Certification, Statutory Damages, Willfulness</w:t>
      </w:r>
    </w:p>
    <w:p w14:paraId="2C4A7E86" w14:textId="77777777" w:rsidR="005A1278" w:rsidRDefault="00000000">
      <w:pPr>
        <w:spacing w:before="80" w:after="80" w:line="320" w:lineRule="auto"/>
      </w:pPr>
      <w:r>
        <w:t>Wal-Mart Stores, Inc. v. Dukes establishes that Rule 23(b)(3) predominance fails where individualized determinations dominate the merits inquiry. Fair use is the paradigm of an individualized inquiry: each work's purpose, nature, amount, and market context must be evaluated separately. Bartz settled before the class-certification fight was fully joined. On statutory damages: § 504(c) awards are subject to constitutional due-process review under State Farm and Gore. An AI-training corpus that includes millions of works cannot be the basis for a millions-times-statutory-damages-floor award without raising serious due-process concerns. On willfulness: knowledge that a source file came from a torrent is not, without more, knowledge of infringement; the defendant's reliance on a good-faith fair-use defense backed by Authors Guild v. Google defeats the willfulness enhancement.</w:t>
      </w:r>
    </w:p>
    <w:p w14:paraId="40E4B74B" w14:textId="77777777" w:rsidR="005A1278" w:rsidRDefault="00000000">
      <w:pPr>
        <w:pStyle w:val="Heading2"/>
      </w:pPr>
      <w:r>
        <w:t>H. First Amendment and Public-Interest Cabin on Copyright Expansion</w:t>
      </w:r>
    </w:p>
    <w:p w14:paraId="21587F35" w14:textId="77777777" w:rsidR="005A1278" w:rsidRDefault="00000000">
      <w:pPr>
        <w:spacing w:before="80" w:after="80" w:line="320" w:lineRule="auto"/>
      </w:pPr>
      <w:r>
        <w:t xml:space="preserve">Eldred v. Ashcroft, 537 U.S. 186 (2003), and Golan v. Holder, 565 U.S. 302 (2012), establish that the Copyright Act's "traditional contours" — including the fair-use doctrine and the idea-expression dichotomy — are the safety valves that reconcile copyright with the First Amendment. An interpretation of fair use that excludes AI training would expand copyright </w:t>
      </w:r>
      <w:r>
        <w:lastRenderedPageBreak/>
        <w:t>beyond its traditional contours and would chill speech, research, accessibility, library and archive uses, and open-source AI development on a scale the First Amendment does not tolerate. Foundation models are producing measurable consumer surplus, accelerating scientific research, expanding accessibility, and enabling small-developer and academic participation in AI research that would otherwise be foreclosed by licensing costs. A copyright tax on training data would consolidate AI development in the handful of incumbents that can afford to pay the tax, foreclosing open-source and academic development.</w:t>
      </w:r>
    </w:p>
    <w:p w14:paraId="5B14C841" w14:textId="77777777" w:rsidR="005A1278" w:rsidRDefault="00000000">
      <w:pPr>
        <w:pStyle w:val="Heading1"/>
        <w:pageBreakBefore/>
      </w:pPr>
      <w:r>
        <w:lastRenderedPageBreak/>
        <w:t>V. Probability-Weighted Forecast</w:t>
      </w:r>
    </w:p>
    <w:p w14:paraId="475341B3" w14:textId="77777777" w:rsidR="005A1278" w:rsidRDefault="00000000">
      <w:pPr>
        <w:spacing w:before="80" w:after="80" w:line="320" w:lineRule="auto"/>
      </w:pPr>
      <w:r>
        <w:t>Part V provides a probability-weighted forecast on each of fourteen cross-cutting questions. Ranges are conservative (typically 15–25 percentage-point bands), the most likely outcome is identified in a single sentence, and the reasoning is set out in three to five dense paragraphs identifying the doctrinal posture, the evidence record, the factors driving the range, and the catalysts that could move it. Wildcards on both directions are flagged at the end of each forecast.</w:t>
      </w:r>
    </w:p>
    <w:p w14:paraId="600C52EE" w14:textId="77777777" w:rsidR="005A1278" w:rsidRDefault="00000000">
      <w:pPr>
        <w:pStyle w:val="Heading2"/>
      </w:pPr>
      <w:r>
        <w:t>Q1. Bartz Final Approval by End of 2026</w:t>
      </w:r>
    </w:p>
    <w:p w14:paraId="53D66BAC" w14:textId="77777777" w:rsidR="005A1278" w:rsidRDefault="00000000">
      <w:pPr>
        <w:spacing w:before="80" w:after="80" w:line="320" w:lineRule="auto"/>
      </w:pPr>
      <w:r>
        <w:t>Range: 82–92%. Most likely: Final approval issues in Q3 2026 with no material modifications.</w:t>
      </w:r>
    </w:p>
    <w:p w14:paraId="63ED7EF2" w14:textId="77777777" w:rsidR="005A1278" w:rsidRDefault="00000000">
      <w:pPr>
        <w:spacing w:before="80" w:after="80" w:line="320" w:lineRule="auto"/>
      </w:pPr>
      <w:r>
        <w:t>Three structural facts drive a high range. First, the 92.77% claims rate is exceptionally strong by class-action standards — courts routinely approve settlements with claims rates in the single digits, and a number above 90% functionally moots the most common objector argument. Second, the class is unusually clean: bounded to two discrete download events (LibGen-June-2021 and PiLiMi-July-2022), with identifiable works through the LibGen/PiLiMi manifests, and a release that does not extend to output infringement, future training, or DMCA Section 1202. Third, Alsup's June 2025 ruling fixed liability on the acquisition count as a matter of law, so the settlement is not paying to settle contested liability — it is paying to settle damages and willfulness exposure on an already-adjudicated holding.</w:t>
      </w:r>
    </w:p>
    <w:p w14:paraId="292C0579" w14:textId="77777777" w:rsidR="005A1278" w:rsidRDefault="00000000">
      <w:pPr>
        <w:spacing w:before="80" w:after="80" w:line="320" w:lineRule="auto"/>
      </w:pPr>
      <w:r>
        <w:t>The range is not 95+ for three reasons. First, Judge Martínez-Olguín inherited the case from Alsup mid-stream, and new judges sometimes scrutinize inherited settlements harder. Second, objector counsel in mass-aggregation settlements of this size routinely materialize even when the deal is clean. Third, the $1.5B is the largest copyright settlement in U.S. history by an order of magnitude, creating a non-zero risk of judicial hesitation. The most likely modification path is refinement of claims-administration mechanics or a modest fee reduction.</w:t>
      </w:r>
    </w:p>
    <w:p w14:paraId="18DABA97" w14:textId="77777777" w:rsidR="005A1278" w:rsidRDefault="00000000">
      <w:pPr>
        <w:spacing w:before="80" w:after="80" w:line="320" w:lineRule="auto"/>
      </w:pPr>
      <w:r>
        <w:t>Downside catalyst: Ninth Circuit Briseno-style scrutiny on ascertainability, or a high-profile objector with appellate counsel. Upside catalyst: an unopposed fairness hearing with CAFA-noticed federal regulators declining to weigh in.</w:t>
      </w:r>
    </w:p>
    <w:p w14:paraId="1A34FF36" w14:textId="77777777" w:rsidR="005A1278" w:rsidRDefault="00000000">
      <w:pPr>
        <w:pStyle w:val="Heading2"/>
      </w:pPr>
      <w:r>
        <w:t>Q2. Third Circuit in Thomson Reuters v. ROSS</w:t>
      </w:r>
    </w:p>
    <w:p w14:paraId="7E2F719C" w14:textId="77777777" w:rsidR="005A1278" w:rsidRDefault="00000000">
      <w:pPr>
        <w:spacing w:before="80" w:after="80" w:line="320" w:lineRule="auto"/>
      </w:pPr>
      <w:r>
        <w:t>Range: Affirmance 40–55% / Reversal 25–35% / Remand 15–25%. Most likely: affirmance on a narrowed rationale, with the Third Circuit explicitly limiting Bibas's "potential derivative market" theory to circumstances where the defendant's purpose is to build a market substitute for the same use as the plaintiff.</w:t>
      </w:r>
    </w:p>
    <w:p w14:paraId="7D267A4F" w14:textId="77777777" w:rsidR="005A1278" w:rsidRDefault="00000000">
      <w:pPr>
        <w:spacing w:before="80" w:after="80" w:line="320" w:lineRule="auto"/>
      </w:pPr>
      <w:r>
        <w:t xml:space="preserve">This is the single most important near-term doctrinal event in the docket because it is the first federal appellate ruling on AI-training fair use, even though ROSS is not a generative LLM case. </w:t>
      </w:r>
      <w:r>
        <w:lastRenderedPageBreak/>
        <w:t>The panel has to navigate three pressures simultaneously: UpCodes (decided April 7, 2026, embracing broad transformativeness analysis); Bibas's reversal of his own 2023 ruling (well-reasoned on the specific record of headnote-as-training-input for a directly competing legal research product); and Warhol's objective-purpose framework (which constrains Sega/Connectix-style intermediate-copying defenses).</w:t>
      </w:r>
    </w:p>
    <w:p w14:paraId="482F26A7" w14:textId="77777777" w:rsidR="005A1278" w:rsidRDefault="00000000">
      <w:pPr>
        <w:spacing w:before="80" w:after="80" w:line="320" w:lineRule="auto"/>
      </w:pPr>
      <w:r>
        <w:t>The case for affirmance is that ROSS's facts are genuinely bad: ROSS took the headnotes for the express purpose of building a competing legal research tool, and the record contains internal documents acknowledging that purpose. That makes Bibas's "potential derivative market" theory operationally close to the Texaco/Campbell doctrinal mainstream — when the secondary use targets the same primary market, Factor 4 cuts hard against fair use. UpCodes is distinguishable on its face: the Third Circuit there was protecting public access to building codes that had been incorporated into law.</w:t>
      </w:r>
    </w:p>
    <w:p w14:paraId="53EABB8B" w14:textId="77777777" w:rsidR="005A1278" w:rsidRDefault="00000000">
      <w:pPr>
        <w:spacing w:before="80" w:after="80" w:line="320" w:lineRule="auto"/>
      </w:pPr>
      <w:r>
        <w:t>The case for reversal is that UpCodes' broad transformativeness reading creates appellate momentum away from Bibas's narrow Factor 1 analysis, and ROSS's strongest argument — that intermediate copying for the purpose of extracting unprotectable functional information is Sega/Connectix-protected — has real doctrinal force. The case for remand is the panel's most face-saving option: affirm the doctrinal framework but remand for factor-by-factor re-weighing under that framework.</w:t>
      </w:r>
    </w:p>
    <w:p w14:paraId="6F29AC65" w14:textId="77777777" w:rsidR="005A1278" w:rsidRDefault="00000000">
      <w:pPr>
        <w:spacing w:before="80" w:after="80" w:line="320" w:lineRule="auto"/>
      </w:pPr>
      <w:r>
        <w:t>Downside (toward reversal): if the panel includes two judges who joined the UpCodes majority. Upside (toward affirmance): Thomson Reuters's supplemental brief positioning UpCodes as standards-incorporated-into-law-specific is intellectually clean and matches the actual UpCodes holding text. The Supreme Court is not granting cert on ROSS regardless of outcome — too narrow a vehicle.</w:t>
      </w:r>
    </w:p>
    <w:p w14:paraId="2CC783EC" w14:textId="77777777" w:rsidR="005A1278" w:rsidRDefault="00000000">
      <w:pPr>
        <w:pStyle w:val="Heading2"/>
      </w:pPr>
      <w:r>
        <w:t>Q3. Training on Lawfully Acquired Works Held Fair Use in a Majority of Circuits by End of 2028</w:t>
      </w:r>
    </w:p>
    <w:p w14:paraId="7D1CB77E" w14:textId="77777777" w:rsidR="005A1278" w:rsidRDefault="00000000">
      <w:pPr>
        <w:spacing w:before="80" w:after="80" w:line="320" w:lineRule="auto"/>
      </w:pPr>
      <w:r>
        <w:t>Range: 55–72%. Most likely: three to four circuits (9th, 2d, possibly 3d, possibly Fed) hold training fair use on lawfully acquired works by end of 2028, with the Ninth Circuit's Kadrey/Bartz consolidation being the decisive ruling.</w:t>
      </w:r>
    </w:p>
    <w:p w14:paraId="51B856E8" w14:textId="77777777" w:rsidR="005A1278" w:rsidRDefault="00000000">
      <w:pPr>
        <w:spacing w:before="80" w:after="80" w:line="320" w:lineRule="auto"/>
      </w:pPr>
      <w:r>
        <w:t>The doctrinal momentum is real but not overwhelming. Two district judges in the Northern District of California — Alsup and Chhabria — have both held training fair use on the records before them, and both opinions agree on the core Factor 1 holding that training is transformative because the model extracts statistical relationships. That is a powerful joint signal because Alsup and Chhabria are doctrinally independent and reached the same result through different analytical paths. UpCodes adds a Third Circuit appellate signal toward broad transformativeness. Sega and Connectix remain Ninth Circuit law and have not been narrowed by Warhol in the intermediate-copying context.</w:t>
      </w:r>
    </w:p>
    <w:p w14:paraId="27EADEF8" w14:textId="77777777" w:rsidR="005A1278" w:rsidRDefault="00000000">
      <w:pPr>
        <w:spacing w:before="80" w:after="80" w:line="320" w:lineRule="auto"/>
      </w:pPr>
      <w:r>
        <w:lastRenderedPageBreak/>
        <w:t>Against this, three counterweights drag the range below 75%. First, Chhabria's own opinion signals that with a properly built market-dilution record, plaintiffs "will often decisively win" Factor 4. The five-publisher Meta case filed in early 2026 is designed to build that record, and publisher counsel are experienced enough to do it. Second, the Federal Circuit's involvement (if any) would come through patent-tangential channels and is unpredictable. Third, the Second Circuit through OpenAI MDL appeals will see the news cases first, where the market-substitution argument is at its strongest.</w:t>
      </w:r>
    </w:p>
    <w:p w14:paraId="78789E04" w14:textId="77777777" w:rsidR="005A1278" w:rsidRDefault="00000000">
      <w:pPr>
        <w:spacing w:before="80" w:after="80" w:line="320" w:lineRule="auto"/>
      </w:pPr>
      <w:r>
        <w:t>The pivotal case is the Ninth Circuit consolidation of Kadrey. If the Ninth Circuit affirms Chhabria's bottom-line training-is-fair-use holding while endorsing his market-dilution dictum as substantive doctrine, then training is fair use in the Ninth Circuit but on a knife-edge — every subsequent plaintiff with a real market-dilution record wins. The probability of a circuit split developing by end of 2028 is high (perhaps 65–75%), which raises Q11 (Supreme Court review).</w:t>
      </w:r>
    </w:p>
    <w:p w14:paraId="4652FC0F" w14:textId="77777777" w:rsidR="005A1278" w:rsidRDefault="00000000">
      <w:pPr>
        <w:pStyle w:val="Heading2"/>
      </w:pPr>
      <w:r>
        <w:t>Q4. Chhabria's Market Dilution Factor 4 Theory Adopted at the Appellate Level by End of 2028</w:t>
      </w:r>
    </w:p>
    <w:p w14:paraId="789CA7FC" w14:textId="77777777" w:rsidR="005A1278" w:rsidRDefault="00000000">
      <w:pPr>
        <w:spacing w:before="80" w:after="80" w:line="320" w:lineRule="auto"/>
      </w:pPr>
      <w:r>
        <w:t>Range: 45–62%. Most likely: at least one circuit (most likely the Ninth or Second) explicitly adopts market dilution as a cognizable Factor 4 harm, but with limiting language requiring actual evidence of substitution rather than presumed harm.</w:t>
      </w:r>
    </w:p>
    <w:p w14:paraId="2CE554E7" w14:textId="77777777" w:rsidR="005A1278" w:rsidRDefault="00000000">
      <w:pPr>
        <w:spacing w:before="80" w:after="80" w:line="320" w:lineRule="auto"/>
      </w:pPr>
      <w:r>
        <w:t>Chhabria's market-dilution dictum is the single most important doctrinal move in the 2025 rulings because it threads a needle other plaintiffs were not finding. It does not require the plaintiff to show that any individual output infringes any individual work. It does not require the plaintiff to show that the defendant captured any individual lost sale. It allows aggregate Factor 4 harm based on the model's capacity to produce works that compete in the same expressive market. That is doctrinally novel but not without precedent — Texaco, Campbell, and Warhol all gesture toward market-substitution analyses that look at the secondary use's competitive footprint rather than discrete lost transactions.</w:t>
      </w:r>
    </w:p>
    <w:p w14:paraId="74F6DA09" w14:textId="77777777" w:rsidR="005A1278" w:rsidRDefault="00000000">
      <w:pPr>
        <w:spacing w:before="80" w:after="80" w:line="320" w:lineRule="auto"/>
      </w:pPr>
      <w:r>
        <w:t>The case against adoption is that market dilution as framed is operationally hard to distinguish from "you compete with me" reasoning that copyright law has historically rejected. Sony famously held that the existence of a substitute use is not itself infringing harm. Chhabria's theory threatens to collapse that distinction, and a sophisticated appellate panel could affirm his bottom-line holding (Meta wins on this record) while declining to endorse the dilution framework. That is the most likely outcome from a pure-Meta appeal.</w:t>
      </w:r>
    </w:p>
    <w:p w14:paraId="3D178D58" w14:textId="77777777" w:rsidR="005A1278" w:rsidRDefault="00000000">
      <w:pPr>
        <w:spacing w:before="80" w:after="80" w:line="320" w:lineRule="auto"/>
      </w:pPr>
      <w:r>
        <w:t xml:space="preserve">The five-publisher case against Meta is the catalyst. Publishers will put on a market-dilution record built specifically around Chhabria's framework: substitution evidence, licensing-market foreclosure evidence, downstream-customer displacement evidence. If that record is good, the Ninth Circuit panel reviewing that case (which will follow Kadrey by 12–24 months) will have to </w:t>
      </w:r>
      <w:r>
        <w:lastRenderedPageBreak/>
        <w:t>engage with the theory directly. Downside: a clean defendant-side win in the publisher case eliminates the appellate vehicle. Upside: a large-scale empirical study credibly demonstrates substitution effects.</w:t>
      </w:r>
    </w:p>
    <w:p w14:paraId="4B964F65" w14:textId="77777777" w:rsidR="005A1278" w:rsidRDefault="00000000">
      <w:pPr>
        <w:pStyle w:val="Heading2"/>
      </w:pPr>
      <w:r>
        <w:t>Q5. Pirated/Shadow-Library Acquisition Uniformly Held NOT Fair Use</w:t>
      </w:r>
    </w:p>
    <w:p w14:paraId="6070BB25" w14:textId="77777777" w:rsidR="005A1278" w:rsidRDefault="00000000">
      <w:pPr>
        <w:spacing w:before="80" w:after="80" w:line="320" w:lineRule="auto"/>
      </w:pPr>
      <w:r>
        <w:t>Range: 70–85%. Most likely: Alsup's Bartz acquisition holding becomes the dominant doctrine, with one or two outlier district rulings (likely under Chhabria's integrated-process framing) reconciled at the circuit level in favor of the Alsup rule.</w:t>
      </w:r>
    </w:p>
    <w:p w14:paraId="5FC85208" w14:textId="77777777" w:rsidR="005A1278" w:rsidRDefault="00000000">
      <w:pPr>
        <w:spacing w:before="80" w:after="80" w:line="320" w:lineRule="auto"/>
      </w:pPr>
      <w:r>
        <w:t>This is the highest-confidence forecast because the underlying doctrine is the closest to settled. Fair use has historically required lawful access to the underlying work, not as a formal element but as a heavy thumb on the scales of Factor 1 (purpose, including good or bad faith) and Factor 4 (market harm, including foreclosure of legitimate licensing markets). Alsup's reasoning that no transformative downstream use cures the upstream act of piracy is textually clean, fits the structure of Section 107, and is the analytically conservative reading.</w:t>
      </w:r>
    </w:p>
    <w:p w14:paraId="22FFE3B6" w14:textId="77777777" w:rsidR="005A1278" w:rsidRDefault="00000000">
      <w:pPr>
        <w:spacing w:before="80" w:after="80" w:line="320" w:lineRule="auto"/>
      </w:pPr>
      <w:r>
        <w:t>Chhabria's "integrated process" framing — that acquisition and use are not severable when the use is transformative — is intellectually defensible but doctrinally adventurous, and it has the operational consequence of effectively immunizing shadow-library piracy at scale. Appellate courts will be reluctant to bless that result for institutional reasons: it creates a powerful incentive for AI developers to use pirated corpora rather than license, and it puts the federal judiciary in the position of having approved billions of acts of unauthorized downloading.</w:t>
      </w:r>
    </w:p>
    <w:p w14:paraId="4DCF78AF" w14:textId="77777777" w:rsidR="005A1278" w:rsidRDefault="00000000">
      <w:pPr>
        <w:spacing w:before="80" w:after="80" w:line="320" w:lineRule="auto"/>
      </w:pPr>
      <w:r>
        <w:t>The remaining 15–30% of probability mass is concentrated in two scenarios. First, a circuit could adopt a hybrid rule that holds pirated acquisition is not fair use but limits damages to actual damages plus disgorgement of profits attributable to the pirated copies, rather than statutory damages. That is a substantial defendant-side win even if the bottom-line "not fair use" holding stands. Second, a circuit could distinguish between knowing piracy (LibGen-as-corpus, with internal emails) and inadvertent piracy (downstream training on a dataset later found to contain pirated material), and limit the Alsup rule to the former.</w:t>
      </w:r>
    </w:p>
    <w:p w14:paraId="2B55BAED" w14:textId="77777777" w:rsidR="005A1278" w:rsidRDefault="00000000">
      <w:pPr>
        <w:pStyle w:val="Heading2"/>
      </w:pPr>
      <w:r>
        <w:t>Q6. BitTorrent Seeding § 106(3) Count Against Meta — Material Liability by Trial</w:t>
      </w:r>
    </w:p>
    <w:p w14:paraId="12F0D86A" w14:textId="77777777" w:rsidR="005A1278" w:rsidRDefault="00000000">
      <w:pPr>
        <w:spacing w:before="80" w:after="80" w:line="320" w:lineRule="auto"/>
      </w:pPr>
      <w:r>
        <w:t>Range: 55–72%. Most likely: Meta either loses the seeding count at SJ or settles it for a non-trivial nine-figure sum to remove the count before trial.</w:t>
      </w:r>
    </w:p>
    <w:p w14:paraId="3CAB0478" w14:textId="77777777" w:rsidR="005A1278" w:rsidRDefault="00000000">
      <w:pPr>
        <w:spacing w:before="80" w:after="80" w:line="320" w:lineRule="auto"/>
      </w:pPr>
      <w:r>
        <w:t xml:space="preserve">This is the most underappreciated count in the docket. The seeding theory is doctrinally distinct from the training fair-use defense: Section 106(3) distribution liability does not depend on whether the downstream use is transformative. BitTorrent protocols, by default, upload as they download. If Meta's training-data acquisition pipeline used BitTorrent (as the record allegedly shows for at least some portion of the LibGen-source material), then Meta engaged in </w:t>
      </w:r>
      <w:r>
        <w:lastRenderedPageBreak/>
        <w:t>unauthorized distribution every time the protocol uploaded a chunk of a copyrighted file to another peer.</w:t>
      </w:r>
    </w:p>
    <w:p w14:paraId="07D73EA6" w14:textId="77777777" w:rsidR="005A1278" w:rsidRDefault="00000000">
      <w:pPr>
        <w:spacing w:before="80" w:after="80" w:line="320" w:lineRule="auto"/>
      </w:pPr>
      <w:r>
        <w:t>Napster and Grokster control on the legal framework. Sony Betamax substantial-noninfringing-use is Meta's strongest defense, but it is doctrinally weaker here than at first glance because the defense requires the technology to have a substantial lawful use — BitTorrent has many lawful uses, but Meta's specific deployment was for the purpose of acquiring works it had not licensed, and the "substantial noninfringing use" inquiry looks at the defendant's actual use. Chhabria's June 2025 SJ ruling explicitly preserved the seeding count, indicating a triable issue.</w:t>
      </w:r>
    </w:p>
    <w:p w14:paraId="678B0B9E" w14:textId="77777777" w:rsidR="005A1278" w:rsidRDefault="00000000">
      <w:pPr>
        <w:spacing w:before="80" w:after="80" w:line="320" w:lineRule="auto"/>
      </w:pPr>
      <w:r>
        <w:t>The 55–72% range reflects the asymmetry that even if Meta would likely win at trial on a clean technical record, the cost-benefit of taking the count to trial alongside the larger training issues argues for settlement-to-remove. Downside: Sony Betamax framed broadly forecloses the count. Upside: discovery produces a clean technical record showing Meta engineers knew about and accepted the seeding tradeoff.</w:t>
      </w:r>
    </w:p>
    <w:p w14:paraId="5C4997C5" w14:textId="77777777" w:rsidR="005A1278" w:rsidRDefault="00000000">
      <w:pPr>
        <w:pStyle w:val="Heading2"/>
      </w:pPr>
      <w:r>
        <w:t>Q7. Output Regurgitation — Material Liability (&gt;$500M Settlement Value)</w:t>
      </w:r>
    </w:p>
    <w:p w14:paraId="0E504593" w14:textId="77777777" w:rsidR="005A1278" w:rsidRDefault="00000000">
      <w:pPr>
        <w:spacing w:before="80" w:after="80" w:line="320" w:lineRule="auto"/>
      </w:pPr>
      <w:r>
        <w:t>Range: 50–68%. Most likely: at least one output-infringement count produces a settlement in the $500M–$2B range, most likely in the OpenAI book-author MDL where Stein has already denied MTD.</w:t>
      </w:r>
    </w:p>
    <w:p w14:paraId="3889C62F" w14:textId="77777777" w:rsidR="005A1278" w:rsidRDefault="00000000">
      <w:pPr>
        <w:spacing w:before="80" w:after="80" w:line="320" w:lineRule="auto"/>
      </w:pPr>
      <w:r>
        <w:t>Stein's October 2025 ruling denying OpenAI's MTD on the book-author output counts is the most important docket development on this question. Stein found that "a more discerning observer could reasonably conclude that the allegedly infringing outputs are substantially similar to plaintiffs' copyrighted works." That is a substantive holding that the output theory is not a Rule 12 loser. The defendant-side case against output liability is strong but record-dependent. Carlini-style research demonstrates that verbatim regurgitation in ordinary use is vanishingly rare for production models. Exhibit J-style outputs typically require adversarial prompting.</w:t>
      </w:r>
    </w:p>
    <w:p w14:paraId="1884D23E" w14:textId="77777777" w:rsidR="005A1278" w:rsidRDefault="00000000">
      <w:pPr>
        <w:spacing w:before="80" w:after="80" w:line="320" w:lineRule="auto"/>
      </w:pPr>
      <w:r>
        <w:t>But the plaintiff-side case has structural advantages. First, the existence of any reproducible verbatim output establishes that the model is in fact storing the underlying expression in some form, which collapses the Sega-style "extracts statistical relationships, not protected expression" defense in a fact-intensive way. Second, contributory infringement theories do not require the defendant to have produced any infringing output directly. Third, the news cases will be decided after discovery on a record where ChatGPT's actual outputs on news content can be tested empirically — recent product evolution makes verbatim news reproduction substantially more likely than for book content. Concord/UMG adds song lyrics into the mix, where memorization is doctrinally worse because lyrics are short and repeated in training corpora many times.</w:t>
      </w:r>
    </w:p>
    <w:p w14:paraId="3A824DD8" w14:textId="77777777" w:rsidR="005A1278" w:rsidRDefault="00000000">
      <w:pPr>
        <w:spacing w:before="80" w:after="80" w:line="320" w:lineRule="auto"/>
      </w:pPr>
      <w:r>
        <w:t xml:space="preserve">The 50–68% range is wider than other questions because the outcome depends on three uncertain inputs: discovery findings on memorization rates in real-world usage; doctrinal </w:t>
      </w:r>
      <w:r>
        <w:lastRenderedPageBreak/>
        <w:t>treatment of adversarial-prompting elicitation; whether Stein's contributory infringement framework expands to capture user-generated outputs at scale.</w:t>
      </w:r>
    </w:p>
    <w:p w14:paraId="33F12F96" w14:textId="77777777" w:rsidR="005A1278" w:rsidRDefault="00000000">
      <w:pPr>
        <w:pStyle w:val="Heading2"/>
      </w:pPr>
      <w:r>
        <w:t>Q8. DMCA § 1202(b)(1) Claims — Material Liability Beyond Settlement Nuisance</w:t>
      </w:r>
    </w:p>
    <w:p w14:paraId="46BB5858" w14:textId="77777777" w:rsidR="005A1278" w:rsidRDefault="00000000">
      <w:pPr>
        <w:spacing w:before="80" w:after="80" w:line="320" w:lineRule="auto"/>
      </w:pPr>
      <w:r>
        <w:t>Range: 25–42%. Most likely: § 1202(b)(1) survives MTD in the surviving cases (Daily News, CIR, Concord/UMG) and produces nuisance-to-modest settlement value but does not generate liability at the scale of the underlying copyright counts.</w:t>
      </w:r>
    </w:p>
    <w:p w14:paraId="1C39136B" w14:textId="77777777" w:rsidR="005A1278" w:rsidRDefault="00000000">
      <w:pPr>
        <w:spacing w:before="80" w:after="80" w:line="320" w:lineRule="auto"/>
      </w:pPr>
      <w:r>
        <w:t>Section 1202(b)(1) is doctrinally hard for plaintiffs because it requires double scienter — knowledge that CMI has been removed AND knowledge that the removal will induce, enable, facilitate, or conceal infringement. Stevens v. Corelogic in the Ninth Circuit and Frost-Tsuji elsewhere have built up an identicality requirement that makes the claim hard to win on the output side of LLM cases. Stein's dismissal of the § 1202(b)(1) claim against OpenAI in NYT (because the Exhibit J outputs themselves contained title and attribution) shows how easily the requirements defeat the claim.</w:t>
      </w:r>
    </w:p>
    <w:p w14:paraId="54AAB57B" w14:textId="77777777" w:rsidR="005A1278" w:rsidRDefault="00000000">
      <w:pPr>
        <w:spacing w:before="80" w:after="80" w:line="320" w:lineRule="auto"/>
      </w:pPr>
      <w:r>
        <w:t>The Newspaper-algorithm theory has intuitive force but doctrinal weakness — it is an engineering description, not a scienter finding, and the double-scienter wall requires plaintiffs to prove OpenAI subjectively understood that stripping CMI would help its own infringement rather than serve a legitimate engineering purpose. Even if plaintiffs win on liability, statutory damages under § 1203 are capped at $2,500–$25,000 per violation, which aggregates to meaningful but not transformative numbers absent a large number of provable violations.</w:t>
      </w:r>
    </w:p>
    <w:p w14:paraId="3400FFB5" w14:textId="77777777" w:rsidR="005A1278" w:rsidRDefault="00000000">
      <w:pPr>
        <w:pStyle w:val="Heading2"/>
      </w:pPr>
      <w:r>
        <w:t>Q9. Class Certification on a Rule 23(b)(3) Basis in Non-Settling Cases</w:t>
      </w:r>
    </w:p>
    <w:p w14:paraId="255E9C4C" w14:textId="77777777" w:rsidR="005A1278" w:rsidRDefault="00000000">
      <w:pPr>
        <w:spacing w:before="80" w:after="80" w:line="320" w:lineRule="auto"/>
      </w:pPr>
      <w:r>
        <w:t>Range: 35–55%. Most likely: at least one of Kadrey, the publisher case against Meta, or the OpenAI MDL achieves class certification on a narrower acquisition-or-distribution-based class (analogous to Bartz's LibGen/PiLiMi class), but contested fair-use issues are not certified for class-wide adjudication.</w:t>
      </w:r>
    </w:p>
    <w:p w14:paraId="399EC569" w14:textId="77777777" w:rsidR="005A1278" w:rsidRDefault="00000000">
      <w:pPr>
        <w:spacing w:before="80" w:after="80" w:line="320" w:lineRule="auto"/>
      </w:pPr>
      <w:r>
        <w:t>Class certification is the most underrated bottleneck in the docket because Wal-Mart v. Dukes and Comcast v. Behrend impose real predominance requirements, and fair use is highly individualized. A class certified to adjudicate fair use across thousands of works necessarily has to handle different works with different markets, different memorization profiles, different licensing histories, and different evidentiary records on substitution. That is the textbook Comcast predominance problem.</w:t>
      </w:r>
    </w:p>
    <w:p w14:paraId="1B0810A8" w14:textId="77777777" w:rsidR="005A1278" w:rsidRDefault="00000000">
      <w:pPr>
        <w:spacing w:before="80" w:after="80" w:line="320" w:lineRule="auto"/>
      </w:pPr>
      <w:r>
        <w:t xml:space="preserve">Bartz proves that a narrow class on a discrete, factually-uniform issue (LibGen-June-2021 download event, PiLiMi-July-2022 download event) is certifiable. The acquisition-count certification path is the most viable in Kadrey, the publisher cases, and OpenAI MDL. The training fair-use certification path is the hardest. The output-infringement counts are the hardest </w:t>
      </w:r>
      <w:r>
        <w:lastRenderedPageBreak/>
        <w:t>to certify because every output is different and individualized. Stein will almost certainly deny certification on the output theory, though he might allow it on the contributory infringement theory framed as platform-level liability.</w:t>
      </w:r>
    </w:p>
    <w:p w14:paraId="1F73C9C3" w14:textId="77777777" w:rsidR="005A1278" w:rsidRDefault="00000000">
      <w:pPr>
        <w:pStyle w:val="Heading2"/>
      </w:pPr>
      <w:r>
        <w:t>Q10. AI-Training-Data Licensing Market Reaches $5B/Year of Paid Licenses by End of 2028</w:t>
      </w:r>
    </w:p>
    <w:p w14:paraId="380FF151" w14:textId="77777777" w:rsidR="005A1278" w:rsidRDefault="00000000">
      <w:pPr>
        <w:spacing w:before="80" w:after="80" w:line="320" w:lineRule="auto"/>
      </w:pPr>
      <w:r>
        <w:t>Range: 38–55%. Most likely: the market reaches $2.5–4.5B/year by end of 2028 but falls short of $5B absent statutory or appellate forcing.</w:t>
      </w:r>
    </w:p>
    <w:p w14:paraId="56A98219" w14:textId="77777777" w:rsidR="005A1278" w:rsidRDefault="00000000">
      <w:pPr>
        <w:spacing w:before="80" w:after="80" w:line="320" w:lineRule="auto"/>
      </w:pPr>
      <w:r>
        <w:t>The licensing market is real and growing but its trajectory depends on three forcing functions: the legal posture has to make piracy costly enough that licensing is the rational alternative; the appellate posture has to maintain enough plaintiff-side risk that defendants pay to license; and the supply side has to actually offer licenses on terms AI developers can accept. Existing reported deals provide a baseline of roughly $500M–$1B/year run-rate by end of 2025 estimates. Growth to $5B/year requires 5–10x over three years — plausible but not certain.</w:t>
      </w:r>
    </w:p>
    <w:p w14:paraId="3FF0D279" w14:textId="77777777" w:rsidR="005A1278" w:rsidRDefault="00000000">
      <w:pPr>
        <w:spacing w:before="80" w:after="80" w:line="320" w:lineRule="auto"/>
      </w:pPr>
      <w:r>
        <w:t>The defense argument that the "licensing market" cited by plaintiffs is largely settlement-driven and PR-driven rather than market-clearing has empirical force. Many of the most-publicized AI licensing deals are framed by publishers as proof that the market exists, but the terms (often heavily weighted toward equity, data access, or distribution rights rather than cash) suggest a market that has not yet found clearing prices.</w:t>
      </w:r>
    </w:p>
    <w:p w14:paraId="14C73A2F" w14:textId="77777777" w:rsidR="005A1278" w:rsidRDefault="00000000">
      <w:pPr>
        <w:pStyle w:val="Heading2"/>
      </w:pPr>
      <w:r>
        <w:t>Q11. Supreme Court Cert on AI-Training Fair Use by End of 2028</w:t>
      </w:r>
    </w:p>
    <w:p w14:paraId="3A0FE8D4" w14:textId="77777777" w:rsidR="005A1278" w:rsidRDefault="00000000">
      <w:pPr>
        <w:spacing w:before="80" w:after="80" w:line="320" w:lineRule="auto"/>
      </w:pPr>
      <w:r>
        <w:t>Range: 35–55%. Most likely: cert granted in OT 2027 or OT 2028 on a Factor 4 market-dilution vehicle, most likely from the Ninth Circuit.</w:t>
      </w:r>
    </w:p>
    <w:p w14:paraId="0F63D8FF" w14:textId="77777777" w:rsidR="005A1278" w:rsidRDefault="00000000">
      <w:pPr>
        <w:spacing w:before="80" w:after="80" w:line="320" w:lineRule="auto"/>
      </w:pPr>
      <w:r>
        <w:t>Three structural facts argue for cert. First, a circuit split is likely to develop by end of 2027. Second, the economic and policy significance is unusually high — Supreme Court grants cert at elevated rates on cases with named economic stakes above $10B. Third, several Justices have signaled doctrinal interest in copyright fair use post-Warhol. Against cert: the Court typically waits for percolation; the Court has historically been cautious about adjudicating technology cases where the underlying technology is rapidly evolving; the Court might prefer to let Congress address the issue legislatively.</w:t>
      </w:r>
    </w:p>
    <w:p w14:paraId="04886929" w14:textId="77777777" w:rsidR="005A1278" w:rsidRDefault="00000000">
      <w:pPr>
        <w:pStyle w:val="Heading2"/>
      </w:pPr>
      <w:r>
        <w:t>Q12. Material AI-Training Copyright Legislation by End of 2028</w:t>
      </w:r>
    </w:p>
    <w:p w14:paraId="0036F80E" w14:textId="77777777" w:rsidR="005A1278" w:rsidRDefault="00000000">
      <w:pPr>
        <w:spacing w:before="80" w:after="80" w:line="320" w:lineRule="auto"/>
      </w:pPr>
      <w:r>
        <w:t>Range: 18–32%. Most likely: Congress holds hearings, several bills are introduced (TRAIN Act, NO FAKES, CLEAR), and one piece of narrow legislation — most likely something focused on training-data transparency or right-of-publicity for AI voice/image cloning — passes, but a comprehensive AI-training copyright statute does not.</w:t>
      </w:r>
    </w:p>
    <w:p w14:paraId="57D6E05D" w14:textId="77777777" w:rsidR="005A1278" w:rsidRDefault="00000000">
      <w:pPr>
        <w:spacing w:before="80" w:after="80" w:line="320" w:lineRule="auto"/>
      </w:pPr>
      <w:r>
        <w:lastRenderedPageBreak/>
        <w:t>Copyright legislation is historically slow. The most likely path to enactment is a narrow, targeted bill rather than a comprehensive statute. NO FAKES has the broadest industry consensus because it pits AI developers against essentially no one — the major AI labs have stated public support. Comprehensive AI-training copyright legislation — a statutory fair-use carve-out, a compulsory licensing regime, or a § 107 amendment — is unlikely to pass by 2028. The political economy does not yet support it.</w:t>
      </w:r>
    </w:p>
    <w:p w14:paraId="696A413A" w14:textId="77777777" w:rsidR="005A1278" w:rsidRDefault="00000000">
      <w:pPr>
        <w:pStyle w:val="Heading2"/>
      </w:pPr>
      <w:r>
        <w:t>Q13. Willfulness Multipliers Apply If LLM Defendant Loses on Shadow-Library Count (Conditional)</w:t>
      </w:r>
    </w:p>
    <w:p w14:paraId="2C553672" w14:textId="77777777" w:rsidR="005A1278" w:rsidRDefault="00000000">
      <w:pPr>
        <w:spacing w:before="80" w:after="80" w:line="320" w:lineRule="auto"/>
      </w:pPr>
      <w:r>
        <w:t>Range: 55–72%. Most likely: if a defendant loses on shadow-library acquisition (which itself is a high-probability event per Q5), willfulness is found and the $150,000-per-work ceiling applies in roughly two-thirds of cases.</w:t>
      </w:r>
    </w:p>
    <w:p w14:paraId="5C168E3A" w14:textId="77777777" w:rsidR="005A1278" w:rsidRDefault="00000000">
      <w:pPr>
        <w:spacing w:before="80" w:after="80" w:line="320" w:lineRule="auto"/>
      </w:pPr>
      <w:r>
        <w:t>The discovery record across multiple defendants reportedly shows explicit acknowledgment of source ("central library" emails, "escalation to MZ" emails), explicit acknowledgment that the source was pirated, and explicit consideration of and decision not to license. That fact pattern is significantly harder to defend as good-faith fair-use reliance than the cleaner Authors Guild v. Google scenario. The defense's strongest argument is that knowledge that material was unlicensed is not the same as knowledge of infringement when fair use is a colorable defense, and that the entire training-fair-use question is genuinely novel doctrine. That argument has force at the abstract level but weakens in the specific context of pirated acquisition.</w:t>
      </w:r>
    </w:p>
    <w:p w14:paraId="685B269A" w14:textId="77777777" w:rsidR="005A1278" w:rsidRDefault="00000000">
      <w:pPr>
        <w:pStyle w:val="Heading2"/>
      </w:pPr>
      <w:r>
        <w:t>Q14. Aggregated Per-Work Statutory Damages Above $5B in Any Single Contested Case</w:t>
      </w:r>
    </w:p>
    <w:p w14:paraId="0BE4D27E" w14:textId="77777777" w:rsidR="005A1278" w:rsidRDefault="00000000">
      <w:pPr>
        <w:spacing w:before="80" w:after="80" w:line="320" w:lineRule="auto"/>
      </w:pPr>
      <w:r>
        <w:t>Range: 20–35%. Most likely: no single contested case produces a $5B+ aggregated statutory damages judgment because cases that get to that exposure level settle, but at least one contested verdict produces damages in the $1–5B range.</w:t>
      </w:r>
    </w:p>
    <w:p w14:paraId="646BD881" w14:textId="77777777" w:rsidR="005A1278" w:rsidRDefault="00000000">
      <w:pPr>
        <w:spacing w:before="80" w:after="80" w:line="320" w:lineRule="auto"/>
      </w:pPr>
      <w:r>
        <w:t>Three structural facts argue against a $5B+ contested judgment. First, defendants with that level of exposure will settle. The Bartz settlement at $1.5B is the proof — Anthropic chose to pay $1.5B rather than try its luck on a jury that could have awarded materially more. Second, courts have constitutional and equitable tools to constrain aggregated statutory damages — Capitol Records v. Thomas-Rasset has engaged with due-process limits on aggregation, and a $5B verdict would attract immediate appellate review. Third, juries themselves rarely award maximum statutory damages across a large number of works.</w:t>
      </w:r>
    </w:p>
    <w:p w14:paraId="185DB790" w14:textId="77777777" w:rsidR="005A1278" w:rsidRDefault="00000000">
      <w:pPr>
        <w:spacing w:before="80" w:after="80" w:line="320" w:lineRule="auto"/>
      </w:pPr>
      <w:r>
        <w:t xml:space="preserve">The 20–35% range reflects three scenarios where a $5B+ judgment becomes plausible. First, a defendant chooses to take a case to verdict for strategic reasons (precedent value, board pressure, fundraising posture). Second, a case is bifurcated such that liability is resolved first and the defendant cannot settle before the damages phase. Third, a verdict is entered against a </w:t>
      </w:r>
      <w:r>
        <w:lastRenderedPageBreak/>
        <w:t>smaller AI developer that lacks the settlement budget to remove the exposure. The cleaner forecast is that aggregate settlement value across the docket reaches $15–30B by 2028, with no single contested verdict exceeding $5B but aggregate plaintiff recoveries materially exceeding that level.</w:t>
      </w:r>
    </w:p>
    <w:p w14:paraId="5E57DBF6" w14:textId="77777777" w:rsidR="005A1278" w:rsidRDefault="00000000">
      <w:pPr>
        <w:pStyle w:val="Heading2"/>
      </w:pPr>
      <w:r>
        <w:t>Probability Summary Table</w:t>
      </w:r>
    </w:p>
    <w:p w14:paraId="6B9E6599" w14:textId="77777777" w:rsidR="005A1278" w:rsidRDefault="00000000">
      <w:pPr>
        <w:spacing w:before="80" w:after="80" w:line="320" w:lineRule="auto"/>
      </w:pPr>
      <w:r>
        <w:t>The fourteen forecasts in summary form, ordered by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A1278" w14:paraId="4B71DC78" w14:textId="77777777">
        <w:tblPrEx>
          <w:tblCellMar>
            <w:top w:w="0" w:type="dxa"/>
            <w:bottom w:w="0" w:type="dxa"/>
          </w:tblCellMar>
        </w:tblPrEx>
        <w:trPr>
          <w:tblHeader/>
        </w:trPr>
        <w:tc>
          <w:tcPr>
            <w:tcW w:w="3120" w:type="dxa"/>
            <w:shd w:val="clear" w:color="auto" w:fill="EFEFEF"/>
            <w:tcMar>
              <w:top w:w="100" w:type="dxa"/>
              <w:left w:w="140" w:type="dxa"/>
              <w:bottom w:w="100" w:type="dxa"/>
              <w:right w:w="140" w:type="dxa"/>
            </w:tcMar>
          </w:tcPr>
          <w:p w14:paraId="36AC9ABD" w14:textId="77777777" w:rsidR="005A1278" w:rsidRDefault="00000000">
            <w:r>
              <w:rPr>
                <w:b/>
                <w:bCs/>
                <w:sz w:val="20"/>
                <w:szCs w:val="20"/>
              </w:rPr>
              <w:t>Issue</w:t>
            </w:r>
          </w:p>
        </w:tc>
        <w:tc>
          <w:tcPr>
            <w:tcW w:w="3120" w:type="dxa"/>
            <w:shd w:val="clear" w:color="auto" w:fill="EFEFEF"/>
            <w:tcMar>
              <w:top w:w="100" w:type="dxa"/>
              <w:left w:w="140" w:type="dxa"/>
              <w:bottom w:w="100" w:type="dxa"/>
              <w:right w:w="140" w:type="dxa"/>
            </w:tcMar>
          </w:tcPr>
          <w:p w14:paraId="16B91DC1" w14:textId="77777777" w:rsidR="005A1278" w:rsidRDefault="00000000">
            <w:r>
              <w:rPr>
                <w:b/>
                <w:bCs/>
                <w:sz w:val="20"/>
                <w:szCs w:val="20"/>
              </w:rPr>
              <w:t>Range</w:t>
            </w:r>
          </w:p>
        </w:tc>
        <w:tc>
          <w:tcPr>
            <w:tcW w:w="3120" w:type="dxa"/>
            <w:shd w:val="clear" w:color="auto" w:fill="EFEFEF"/>
            <w:tcMar>
              <w:top w:w="100" w:type="dxa"/>
              <w:left w:w="140" w:type="dxa"/>
              <w:bottom w:w="100" w:type="dxa"/>
              <w:right w:w="140" w:type="dxa"/>
            </w:tcMar>
          </w:tcPr>
          <w:p w14:paraId="56B72777" w14:textId="77777777" w:rsidR="005A1278" w:rsidRDefault="00000000">
            <w:r>
              <w:rPr>
                <w:b/>
                <w:bCs/>
                <w:sz w:val="20"/>
                <w:szCs w:val="20"/>
              </w:rPr>
              <w:t>Direction</w:t>
            </w:r>
          </w:p>
        </w:tc>
      </w:tr>
      <w:tr w:rsidR="005A1278" w14:paraId="565F8133" w14:textId="77777777">
        <w:tblPrEx>
          <w:tblCellMar>
            <w:top w:w="0" w:type="dxa"/>
            <w:bottom w:w="0" w:type="dxa"/>
          </w:tblCellMar>
        </w:tblPrEx>
        <w:tc>
          <w:tcPr>
            <w:tcW w:w="3120" w:type="dxa"/>
            <w:tcMar>
              <w:top w:w="80" w:type="dxa"/>
              <w:left w:w="140" w:type="dxa"/>
              <w:bottom w:w="80" w:type="dxa"/>
              <w:right w:w="140" w:type="dxa"/>
            </w:tcMar>
          </w:tcPr>
          <w:p w14:paraId="6A23B212" w14:textId="77777777" w:rsidR="005A1278" w:rsidRDefault="00000000">
            <w:r>
              <w:rPr>
                <w:sz w:val="20"/>
                <w:szCs w:val="20"/>
              </w:rPr>
              <w:t>Q1. Bartz final approval by EOY 2026</w:t>
            </w:r>
          </w:p>
        </w:tc>
        <w:tc>
          <w:tcPr>
            <w:tcW w:w="3120" w:type="dxa"/>
            <w:tcMar>
              <w:top w:w="80" w:type="dxa"/>
              <w:left w:w="140" w:type="dxa"/>
              <w:bottom w:w="80" w:type="dxa"/>
              <w:right w:w="140" w:type="dxa"/>
            </w:tcMar>
          </w:tcPr>
          <w:p w14:paraId="76734B81" w14:textId="77777777" w:rsidR="005A1278" w:rsidRDefault="00000000">
            <w:r>
              <w:rPr>
                <w:sz w:val="20"/>
                <w:szCs w:val="20"/>
              </w:rPr>
              <w:t>82–92%</w:t>
            </w:r>
          </w:p>
        </w:tc>
        <w:tc>
          <w:tcPr>
            <w:tcW w:w="3120" w:type="dxa"/>
            <w:tcMar>
              <w:top w:w="80" w:type="dxa"/>
              <w:left w:w="140" w:type="dxa"/>
              <w:bottom w:w="80" w:type="dxa"/>
              <w:right w:w="140" w:type="dxa"/>
            </w:tcMar>
          </w:tcPr>
          <w:p w14:paraId="40249471" w14:textId="77777777" w:rsidR="005A1278" w:rsidRDefault="00000000">
            <w:r>
              <w:rPr>
                <w:sz w:val="20"/>
                <w:szCs w:val="20"/>
              </w:rPr>
              <w:t>Plaintiff-favorable</w:t>
            </w:r>
          </w:p>
        </w:tc>
      </w:tr>
      <w:tr w:rsidR="005A1278" w14:paraId="7A82D346" w14:textId="77777777">
        <w:tblPrEx>
          <w:tblCellMar>
            <w:top w:w="0" w:type="dxa"/>
            <w:bottom w:w="0" w:type="dxa"/>
          </w:tblCellMar>
        </w:tblPrEx>
        <w:tc>
          <w:tcPr>
            <w:tcW w:w="3120" w:type="dxa"/>
            <w:tcMar>
              <w:top w:w="80" w:type="dxa"/>
              <w:left w:w="140" w:type="dxa"/>
              <w:bottom w:w="80" w:type="dxa"/>
              <w:right w:w="140" w:type="dxa"/>
            </w:tcMar>
          </w:tcPr>
          <w:p w14:paraId="28EC6CAD" w14:textId="77777777" w:rsidR="005A1278" w:rsidRDefault="00000000">
            <w:r>
              <w:rPr>
                <w:sz w:val="20"/>
                <w:szCs w:val="20"/>
              </w:rPr>
              <w:t>Q5. Shadow-library acquisition NOT fair use</w:t>
            </w:r>
          </w:p>
        </w:tc>
        <w:tc>
          <w:tcPr>
            <w:tcW w:w="3120" w:type="dxa"/>
            <w:tcMar>
              <w:top w:w="80" w:type="dxa"/>
              <w:left w:w="140" w:type="dxa"/>
              <w:bottom w:w="80" w:type="dxa"/>
              <w:right w:w="140" w:type="dxa"/>
            </w:tcMar>
          </w:tcPr>
          <w:p w14:paraId="1111F8F3" w14:textId="77777777" w:rsidR="005A1278" w:rsidRDefault="00000000">
            <w:r>
              <w:rPr>
                <w:sz w:val="20"/>
                <w:szCs w:val="20"/>
              </w:rPr>
              <w:t>70–85%</w:t>
            </w:r>
          </w:p>
        </w:tc>
        <w:tc>
          <w:tcPr>
            <w:tcW w:w="3120" w:type="dxa"/>
            <w:tcMar>
              <w:top w:w="80" w:type="dxa"/>
              <w:left w:w="140" w:type="dxa"/>
              <w:bottom w:w="80" w:type="dxa"/>
              <w:right w:w="140" w:type="dxa"/>
            </w:tcMar>
          </w:tcPr>
          <w:p w14:paraId="79883C6B" w14:textId="77777777" w:rsidR="005A1278" w:rsidRDefault="00000000">
            <w:r>
              <w:rPr>
                <w:sz w:val="20"/>
                <w:szCs w:val="20"/>
              </w:rPr>
              <w:t>Plaintiff-favorable</w:t>
            </w:r>
          </w:p>
        </w:tc>
      </w:tr>
      <w:tr w:rsidR="005A1278" w14:paraId="0F3D7173" w14:textId="77777777">
        <w:tblPrEx>
          <w:tblCellMar>
            <w:top w:w="0" w:type="dxa"/>
            <w:bottom w:w="0" w:type="dxa"/>
          </w:tblCellMar>
        </w:tblPrEx>
        <w:tc>
          <w:tcPr>
            <w:tcW w:w="3120" w:type="dxa"/>
            <w:tcMar>
              <w:top w:w="80" w:type="dxa"/>
              <w:left w:w="140" w:type="dxa"/>
              <w:bottom w:w="80" w:type="dxa"/>
              <w:right w:w="140" w:type="dxa"/>
            </w:tcMar>
          </w:tcPr>
          <w:p w14:paraId="07F00EC2" w14:textId="77777777" w:rsidR="005A1278" w:rsidRDefault="00000000">
            <w:r>
              <w:rPr>
                <w:sz w:val="20"/>
                <w:szCs w:val="20"/>
              </w:rPr>
              <w:t>Q13. Willfulness applies (conditional)</w:t>
            </w:r>
          </w:p>
        </w:tc>
        <w:tc>
          <w:tcPr>
            <w:tcW w:w="3120" w:type="dxa"/>
            <w:tcMar>
              <w:top w:w="80" w:type="dxa"/>
              <w:left w:w="140" w:type="dxa"/>
              <w:bottom w:w="80" w:type="dxa"/>
              <w:right w:w="140" w:type="dxa"/>
            </w:tcMar>
          </w:tcPr>
          <w:p w14:paraId="1F72D25D" w14:textId="77777777" w:rsidR="005A1278" w:rsidRDefault="00000000">
            <w:r>
              <w:rPr>
                <w:sz w:val="20"/>
                <w:szCs w:val="20"/>
              </w:rPr>
              <w:t>55–72%</w:t>
            </w:r>
          </w:p>
        </w:tc>
        <w:tc>
          <w:tcPr>
            <w:tcW w:w="3120" w:type="dxa"/>
            <w:tcMar>
              <w:top w:w="80" w:type="dxa"/>
              <w:left w:w="140" w:type="dxa"/>
              <w:bottom w:w="80" w:type="dxa"/>
              <w:right w:w="140" w:type="dxa"/>
            </w:tcMar>
          </w:tcPr>
          <w:p w14:paraId="12FD01DF" w14:textId="77777777" w:rsidR="005A1278" w:rsidRDefault="00000000">
            <w:r>
              <w:rPr>
                <w:sz w:val="20"/>
                <w:szCs w:val="20"/>
              </w:rPr>
              <w:t>Plaintiff-favorable</w:t>
            </w:r>
          </w:p>
        </w:tc>
      </w:tr>
      <w:tr w:rsidR="005A1278" w14:paraId="3C24AF4E" w14:textId="77777777">
        <w:tblPrEx>
          <w:tblCellMar>
            <w:top w:w="0" w:type="dxa"/>
            <w:bottom w:w="0" w:type="dxa"/>
          </w:tblCellMar>
        </w:tblPrEx>
        <w:tc>
          <w:tcPr>
            <w:tcW w:w="3120" w:type="dxa"/>
            <w:tcMar>
              <w:top w:w="80" w:type="dxa"/>
              <w:left w:w="140" w:type="dxa"/>
              <w:bottom w:w="80" w:type="dxa"/>
              <w:right w:w="140" w:type="dxa"/>
            </w:tcMar>
          </w:tcPr>
          <w:p w14:paraId="43360D69" w14:textId="77777777" w:rsidR="005A1278" w:rsidRDefault="00000000">
            <w:r>
              <w:rPr>
                <w:sz w:val="20"/>
                <w:szCs w:val="20"/>
              </w:rPr>
              <w:t>Q6. Meta seeding count material liability</w:t>
            </w:r>
          </w:p>
        </w:tc>
        <w:tc>
          <w:tcPr>
            <w:tcW w:w="3120" w:type="dxa"/>
            <w:tcMar>
              <w:top w:w="80" w:type="dxa"/>
              <w:left w:w="140" w:type="dxa"/>
              <w:bottom w:w="80" w:type="dxa"/>
              <w:right w:w="140" w:type="dxa"/>
            </w:tcMar>
          </w:tcPr>
          <w:p w14:paraId="0BAD5DAC" w14:textId="77777777" w:rsidR="005A1278" w:rsidRDefault="00000000">
            <w:r>
              <w:rPr>
                <w:sz w:val="20"/>
                <w:szCs w:val="20"/>
              </w:rPr>
              <w:t>55–72%</w:t>
            </w:r>
          </w:p>
        </w:tc>
        <w:tc>
          <w:tcPr>
            <w:tcW w:w="3120" w:type="dxa"/>
            <w:tcMar>
              <w:top w:w="80" w:type="dxa"/>
              <w:left w:w="140" w:type="dxa"/>
              <w:bottom w:w="80" w:type="dxa"/>
              <w:right w:w="140" w:type="dxa"/>
            </w:tcMar>
          </w:tcPr>
          <w:p w14:paraId="14EF51E0" w14:textId="77777777" w:rsidR="005A1278" w:rsidRDefault="00000000">
            <w:r>
              <w:rPr>
                <w:sz w:val="20"/>
                <w:szCs w:val="20"/>
              </w:rPr>
              <w:t>Plaintiff-favorable</w:t>
            </w:r>
          </w:p>
        </w:tc>
      </w:tr>
      <w:tr w:rsidR="005A1278" w14:paraId="34BB9D21" w14:textId="77777777">
        <w:tblPrEx>
          <w:tblCellMar>
            <w:top w:w="0" w:type="dxa"/>
            <w:bottom w:w="0" w:type="dxa"/>
          </w:tblCellMar>
        </w:tblPrEx>
        <w:tc>
          <w:tcPr>
            <w:tcW w:w="3120" w:type="dxa"/>
            <w:tcMar>
              <w:top w:w="80" w:type="dxa"/>
              <w:left w:w="140" w:type="dxa"/>
              <w:bottom w:w="80" w:type="dxa"/>
              <w:right w:w="140" w:type="dxa"/>
            </w:tcMar>
          </w:tcPr>
          <w:p w14:paraId="66660E43" w14:textId="77777777" w:rsidR="005A1278" w:rsidRDefault="00000000">
            <w:r>
              <w:rPr>
                <w:sz w:val="20"/>
                <w:szCs w:val="20"/>
              </w:rPr>
              <w:t>Q3. Training fair use in majority of circuits</w:t>
            </w:r>
          </w:p>
        </w:tc>
        <w:tc>
          <w:tcPr>
            <w:tcW w:w="3120" w:type="dxa"/>
            <w:tcMar>
              <w:top w:w="80" w:type="dxa"/>
              <w:left w:w="140" w:type="dxa"/>
              <w:bottom w:w="80" w:type="dxa"/>
              <w:right w:w="140" w:type="dxa"/>
            </w:tcMar>
          </w:tcPr>
          <w:p w14:paraId="743E12C1" w14:textId="77777777" w:rsidR="005A1278" w:rsidRDefault="00000000">
            <w:r>
              <w:rPr>
                <w:sz w:val="20"/>
                <w:szCs w:val="20"/>
              </w:rPr>
              <w:t>55–72%</w:t>
            </w:r>
          </w:p>
        </w:tc>
        <w:tc>
          <w:tcPr>
            <w:tcW w:w="3120" w:type="dxa"/>
            <w:tcMar>
              <w:top w:w="80" w:type="dxa"/>
              <w:left w:w="140" w:type="dxa"/>
              <w:bottom w:w="80" w:type="dxa"/>
              <w:right w:w="140" w:type="dxa"/>
            </w:tcMar>
          </w:tcPr>
          <w:p w14:paraId="0C625DF8" w14:textId="77777777" w:rsidR="005A1278" w:rsidRDefault="00000000">
            <w:r>
              <w:rPr>
                <w:sz w:val="20"/>
                <w:szCs w:val="20"/>
              </w:rPr>
              <w:t>Defendant-favorable</w:t>
            </w:r>
          </w:p>
        </w:tc>
      </w:tr>
      <w:tr w:rsidR="005A1278" w14:paraId="35A20967" w14:textId="77777777">
        <w:tblPrEx>
          <w:tblCellMar>
            <w:top w:w="0" w:type="dxa"/>
            <w:bottom w:w="0" w:type="dxa"/>
          </w:tblCellMar>
        </w:tblPrEx>
        <w:tc>
          <w:tcPr>
            <w:tcW w:w="3120" w:type="dxa"/>
            <w:tcMar>
              <w:top w:w="80" w:type="dxa"/>
              <w:left w:w="140" w:type="dxa"/>
              <w:bottom w:w="80" w:type="dxa"/>
              <w:right w:w="140" w:type="dxa"/>
            </w:tcMar>
          </w:tcPr>
          <w:p w14:paraId="1C87D102" w14:textId="77777777" w:rsidR="005A1278" w:rsidRDefault="00000000">
            <w:r>
              <w:rPr>
                <w:sz w:val="20"/>
                <w:szCs w:val="20"/>
              </w:rPr>
              <w:t>Q7. Output regurgitation material liability</w:t>
            </w:r>
          </w:p>
        </w:tc>
        <w:tc>
          <w:tcPr>
            <w:tcW w:w="3120" w:type="dxa"/>
            <w:tcMar>
              <w:top w:w="80" w:type="dxa"/>
              <w:left w:w="140" w:type="dxa"/>
              <w:bottom w:w="80" w:type="dxa"/>
              <w:right w:w="140" w:type="dxa"/>
            </w:tcMar>
          </w:tcPr>
          <w:p w14:paraId="216A0149" w14:textId="77777777" w:rsidR="005A1278" w:rsidRDefault="00000000">
            <w:r>
              <w:rPr>
                <w:sz w:val="20"/>
                <w:szCs w:val="20"/>
              </w:rPr>
              <w:t>50–68%</w:t>
            </w:r>
          </w:p>
        </w:tc>
        <w:tc>
          <w:tcPr>
            <w:tcW w:w="3120" w:type="dxa"/>
            <w:tcMar>
              <w:top w:w="80" w:type="dxa"/>
              <w:left w:w="140" w:type="dxa"/>
              <w:bottom w:w="80" w:type="dxa"/>
              <w:right w:w="140" w:type="dxa"/>
            </w:tcMar>
          </w:tcPr>
          <w:p w14:paraId="7AC012E6" w14:textId="77777777" w:rsidR="005A1278" w:rsidRDefault="00000000">
            <w:r>
              <w:rPr>
                <w:sz w:val="20"/>
                <w:szCs w:val="20"/>
              </w:rPr>
              <w:t>Plaintiff-favorable</w:t>
            </w:r>
          </w:p>
        </w:tc>
      </w:tr>
      <w:tr w:rsidR="005A1278" w14:paraId="08EEEBED" w14:textId="77777777">
        <w:tblPrEx>
          <w:tblCellMar>
            <w:top w:w="0" w:type="dxa"/>
            <w:bottom w:w="0" w:type="dxa"/>
          </w:tblCellMar>
        </w:tblPrEx>
        <w:tc>
          <w:tcPr>
            <w:tcW w:w="3120" w:type="dxa"/>
            <w:tcMar>
              <w:top w:w="80" w:type="dxa"/>
              <w:left w:w="140" w:type="dxa"/>
              <w:bottom w:w="80" w:type="dxa"/>
              <w:right w:w="140" w:type="dxa"/>
            </w:tcMar>
          </w:tcPr>
          <w:p w14:paraId="244F7409" w14:textId="77777777" w:rsidR="005A1278" w:rsidRDefault="00000000">
            <w:r>
              <w:rPr>
                <w:sz w:val="20"/>
                <w:szCs w:val="20"/>
              </w:rPr>
              <w:t>Q4. Market-dilution adopted at appellate level</w:t>
            </w:r>
          </w:p>
        </w:tc>
        <w:tc>
          <w:tcPr>
            <w:tcW w:w="3120" w:type="dxa"/>
            <w:tcMar>
              <w:top w:w="80" w:type="dxa"/>
              <w:left w:w="140" w:type="dxa"/>
              <w:bottom w:w="80" w:type="dxa"/>
              <w:right w:w="140" w:type="dxa"/>
            </w:tcMar>
          </w:tcPr>
          <w:p w14:paraId="172338EA" w14:textId="77777777" w:rsidR="005A1278" w:rsidRDefault="00000000">
            <w:r>
              <w:rPr>
                <w:sz w:val="20"/>
                <w:szCs w:val="20"/>
              </w:rPr>
              <w:t>45–62%</w:t>
            </w:r>
          </w:p>
        </w:tc>
        <w:tc>
          <w:tcPr>
            <w:tcW w:w="3120" w:type="dxa"/>
            <w:tcMar>
              <w:top w:w="80" w:type="dxa"/>
              <w:left w:w="140" w:type="dxa"/>
              <w:bottom w:w="80" w:type="dxa"/>
              <w:right w:w="140" w:type="dxa"/>
            </w:tcMar>
          </w:tcPr>
          <w:p w14:paraId="3D4B32F6" w14:textId="77777777" w:rsidR="005A1278" w:rsidRDefault="00000000">
            <w:r>
              <w:rPr>
                <w:sz w:val="20"/>
                <w:szCs w:val="20"/>
              </w:rPr>
              <w:t>Plaintiff-favorable</w:t>
            </w:r>
          </w:p>
        </w:tc>
      </w:tr>
      <w:tr w:rsidR="005A1278" w14:paraId="74EECBBB" w14:textId="77777777">
        <w:tblPrEx>
          <w:tblCellMar>
            <w:top w:w="0" w:type="dxa"/>
            <w:bottom w:w="0" w:type="dxa"/>
          </w:tblCellMar>
        </w:tblPrEx>
        <w:tc>
          <w:tcPr>
            <w:tcW w:w="3120" w:type="dxa"/>
            <w:tcMar>
              <w:top w:w="80" w:type="dxa"/>
              <w:left w:w="140" w:type="dxa"/>
              <w:bottom w:w="80" w:type="dxa"/>
              <w:right w:w="140" w:type="dxa"/>
            </w:tcMar>
          </w:tcPr>
          <w:p w14:paraId="50DD8D6E" w14:textId="77777777" w:rsidR="005A1278" w:rsidRDefault="00000000">
            <w:r>
              <w:rPr>
                <w:sz w:val="20"/>
                <w:szCs w:val="20"/>
              </w:rPr>
              <w:t>Q2. 3d Cir. affirms in Thomson Reuters</w:t>
            </w:r>
          </w:p>
        </w:tc>
        <w:tc>
          <w:tcPr>
            <w:tcW w:w="3120" w:type="dxa"/>
            <w:tcMar>
              <w:top w:w="80" w:type="dxa"/>
              <w:left w:w="140" w:type="dxa"/>
              <w:bottom w:w="80" w:type="dxa"/>
              <w:right w:w="140" w:type="dxa"/>
            </w:tcMar>
          </w:tcPr>
          <w:p w14:paraId="5E87A6DA" w14:textId="77777777" w:rsidR="005A1278" w:rsidRDefault="00000000">
            <w:r>
              <w:rPr>
                <w:sz w:val="20"/>
                <w:szCs w:val="20"/>
              </w:rPr>
              <w:t>40–55%</w:t>
            </w:r>
          </w:p>
        </w:tc>
        <w:tc>
          <w:tcPr>
            <w:tcW w:w="3120" w:type="dxa"/>
            <w:tcMar>
              <w:top w:w="80" w:type="dxa"/>
              <w:left w:w="140" w:type="dxa"/>
              <w:bottom w:w="80" w:type="dxa"/>
              <w:right w:w="140" w:type="dxa"/>
            </w:tcMar>
          </w:tcPr>
          <w:p w14:paraId="1518D6A2" w14:textId="77777777" w:rsidR="005A1278" w:rsidRDefault="00000000">
            <w:r>
              <w:rPr>
                <w:sz w:val="20"/>
                <w:szCs w:val="20"/>
              </w:rPr>
              <w:t>Plaintiff-favorable</w:t>
            </w:r>
          </w:p>
        </w:tc>
      </w:tr>
      <w:tr w:rsidR="005A1278" w14:paraId="5AE2E5BC" w14:textId="77777777">
        <w:tblPrEx>
          <w:tblCellMar>
            <w:top w:w="0" w:type="dxa"/>
            <w:bottom w:w="0" w:type="dxa"/>
          </w:tblCellMar>
        </w:tblPrEx>
        <w:tc>
          <w:tcPr>
            <w:tcW w:w="3120" w:type="dxa"/>
            <w:tcMar>
              <w:top w:w="80" w:type="dxa"/>
              <w:left w:w="140" w:type="dxa"/>
              <w:bottom w:w="80" w:type="dxa"/>
              <w:right w:w="140" w:type="dxa"/>
            </w:tcMar>
          </w:tcPr>
          <w:p w14:paraId="080ABEB2" w14:textId="77777777" w:rsidR="005A1278" w:rsidRDefault="00000000">
            <w:r>
              <w:rPr>
                <w:sz w:val="20"/>
                <w:szCs w:val="20"/>
              </w:rPr>
              <w:t>Q11. SCOTUS cert by EOY 2028</w:t>
            </w:r>
          </w:p>
        </w:tc>
        <w:tc>
          <w:tcPr>
            <w:tcW w:w="3120" w:type="dxa"/>
            <w:tcMar>
              <w:top w:w="80" w:type="dxa"/>
              <w:left w:w="140" w:type="dxa"/>
              <w:bottom w:w="80" w:type="dxa"/>
              <w:right w:w="140" w:type="dxa"/>
            </w:tcMar>
          </w:tcPr>
          <w:p w14:paraId="1F426C96" w14:textId="77777777" w:rsidR="005A1278" w:rsidRDefault="00000000">
            <w:r>
              <w:rPr>
                <w:sz w:val="20"/>
                <w:szCs w:val="20"/>
              </w:rPr>
              <w:t>35–55%</w:t>
            </w:r>
          </w:p>
        </w:tc>
        <w:tc>
          <w:tcPr>
            <w:tcW w:w="3120" w:type="dxa"/>
            <w:tcMar>
              <w:top w:w="80" w:type="dxa"/>
              <w:left w:w="140" w:type="dxa"/>
              <w:bottom w:w="80" w:type="dxa"/>
              <w:right w:w="140" w:type="dxa"/>
            </w:tcMar>
          </w:tcPr>
          <w:p w14:paraId="524C79A1" w14:textId="77777777" w:rsidR="005A1278" w:rsidRDefault="00000000">
            <w:r>
              <w:rPr>
                <w:sz w:val="20"/>
                <w:szCs w:val="20"/>
              </w:rPr>
              <w:t>Indeterminate</w:t>
            </w:r>
          </w:p>
        </w:tc>
      </w:tr>
      <w:tr w:rsidR="005A1278" w14:paraId="45F8CF0B" w14:textId="77777777">
        <w:tblPrEx>
          <w:tblCellMar>
            <w:top w:w="0" w:type="dxa"/>
            <w:bottom w:w="0" w:type="dxa"/>
          </w:tblCellMar>
        </w:tblPrEx>
        <w:tc>
          <w:tcPr>
            <w:tcW w:w="3120" w:type="dxa"/>
            <w:tcMar>
              <w:top w:w="80" w:type="dxa"/>
              <w:left w:w="140" w:type="dxa"/>
              <w:bottom w:w="80" w:type="dxa"/>
              <w:right w:w="140" w:type="dxa"/>
            </w:tcMar>
          </w:tcPr>
          <w:p w14:paraId="4D944BBE" w14:textId="77777777" w:rsidR="005A1278" w:rsidRDefault="00000000">
            <w:r>
              <w:rPr>
                <w:sz w:val="20"/>
                <w:szCs w:val="20"/>
              </w:rPr>
              <w:t>Q9. Class certification in non-settling cases</w:t>
            </w:r>
          </w:p>
        </w:tc>
        <w:tc>
          <w:tcPr>
            <w:tcW w:w="3120" w:type="dxa"/>
            <w:tcMar>
              <w:top w:w="80" w:type="dxa"/>
              <w:left w:w="140" w:type="dxa"/>
              <w:bottom w:w="80" w:type="dxa"/>
              <w:right w:w="140" w:type="dxa"/>
            </w:tcMar>
          </w:tcPr>
          <w:p w14:paraId="4D2A87D2" w14:textId="77777777" w:rsidR="005A1278" w:rsidRDefault="00000000">
            <w:r>
              <w:rPr>
                <w:sz w:val="20"/>
                <w:szCs w:val="20"/>
              </w:rPr>
              <w:t>35–55%</w:t>
            </w:r>
          </w:p>
        </w:tc>
        <w:tc>
          <w:tcPr>
            <w:tcW w:w="3120" w:type="dxa"/>
            <w:tcMar>
              <w:top w:w="80" w:type="dxa"/>
              <w:left w:w="140" w:type="dxa"/>
              <w:bottom w:w="80" w:type="dxa"/>
              <w:right w:w="140" w:type="dxa"/>
            </w:tcMar>
          </w:tcPr>
          <w:p w14:paraId="73A96E49" w14:textId="77777777" w:rsidR="005A1278" w:rsidRDefault="00000000">
            <w:r>
              <w:rPr>
                <w:sz w:val="20"/>
                <w:szCs w:val="20"/>
              </w:rPr>
              <w:t>Mixed</w:t>
            </w:r>
          </w:p>
        </w:tc>
      </w:tr>
      <w:tr w:rsidR="005A1278" w14:paraId="45BF9255" w14:textId="77777777">
        <w:tblPrEx>
          <w:tblCellMar>
            <w:top w:w="0" w:type="dxa"/>
            <w:bottom w:w="0" w:type="dxa"/>
          </w:tblCellMar>
        </w:tblPrEx>
        <w:tc>
          <w:tcPr>
            <w:tcW w:w="3120" w:type="dxa"/>
            <w:tcMar>
              <w:top w:w="80" w:type="dxa"/>
              <w:left w:w="140" w:type="dxa"/>
              <w:bottom w:w="80" w:type="dxa"/>
              <w:right w:w="140" w:type="dxa"/>
            </w:tcMar>
          </w:tcPr>
          <w:p w14:paraId="752BC1D1" w14:textId="77777777" w:rsidR="005A1278" w:rsidRDefault="00000000">
            <w:r>
              <w:rPr>
                <w:sz w:val="20"/>
                <w:szCs w:val="20"/>
              </w:rPr>
              <w:t>Q10. $5B/yr licensing market by EOY 2028</w:t>
            </w:r>
          </w:p>
        </w:tc>
        <w:tc>
          <w:tcPr>
            <w:tcW w:w="3120" w:type="dxa"/>
            <w:tcMar>
              <w:top w:w="80" w:type="dxa"/>
              <w:left w:w="140" w:type="dxa"/>
              <w:bottom w:w="80" w:type="dxa"/>
              <w:right w:w="140" w:type="dxa"/>
            </w:tcMar>
          </w:tcPr>
          <w:p w14:paraId="2AB7738D" w14:textId="77777777" w:rsidR="005A1278" w:rsidRDefault="00000000">
            <w:r>
              <w:rPr>
                <w:sz w:val="20"/>
                <w:szCs w:val="20"/>
              </w:rPr>
              <w:t>38–55%</w:t>
            </w:r>
          </w:p>
        </w:tc>
        <w:tc>
          <w:tcPr>
            <w:tcW w:w="3120" w:type="dxa"/>
            <w:tcMar>
              <w:top w:w="80" w:type="dxa"/>
              <w:left w:w="140" w:type="dxa"/>
              <w:bottom w:w="80" w:type="dxa"/>
              <w:right w:w="140" w:type="dxa"/>
            </w:tcMar>
          </w:tcPr>
          <w:p w14:paraId="5AD8AF07" w14:textId="77777777" w:rsidR="005A1278" w:rsidRDefault="00000000">
            <w:r>
              <w:rPr>
                <w:sz w:val="20"/>
                <w:szCs w:val="20"/>
              </w:rPr>
              <w:t>Plaintiff-favorable</w:t>
            </w:r>
          </w:p>
        </w:tc>
      </w:tr>
      <w:tr w:rsidR="005A1278" w14:paraId="47F4FB95" w14:textId="77777777">
        <w:tblPrEx>
          <w:tblCellMar>
            <w:top w:w="0" w:type="dxa"/>
            <w:bottom w:w="0" w:type="dxa"/>
          </w:tblCellMar>
        </w:tblPrEx>
        <w:tc>
          <w:tcPr>
            <w:tcW w:w="3120" w:type="dxa"/>
            <w:tcMar>
              <w:top w:w="80" w:type="dxa"/>
              <w:left w:w="140" w:type="dxa"/>
              <w:bottom w:w="80" w:type="dxa"/>
              <w:right w:w="140" w:type="dxa"/>
            </w:tcMar>
          </w:tcPr>
          <w:p w14:paraId="615DAB35" w14:textId="77777777" w:rsidR="005A1278" w:rsidRDefault="00000000">
            <w:r>
              <w:rPr>
                <w:sz w:val="20"/>
                <w:szCs w:val="20"/>
              </w:rPr>
              <w:t>Q8. DMCA § 1202 material liability</w:t>
            </w:r>
          </w:p>
        </w:tc>
        <w:tc>
          <w:tcPr>
            <w:tcW w:w="3120" w:type="dxa"/>
            <w:tcMar>
              <w:top w:w="80" w:type="dxa"/>
              <w:left w:w="140" w:type="dxa"/>
              <w:bottom w:w="80" w:type="dxa"/>
              <w:right w:w="140" w:type="dxa"/>
            </w:tcMar>
          </w:tcPr>
          <w:p w14:paraId="617DF269" w14:textId="77777777" w:rsidR="005A1278" w:rsidRDefault="00000000">
            <w:r>
              <w:rPr>
                <w:sz w:val="20"/>
                <w:szCs w:val="20"/>
              </w:rPr>
              <w:t>25–42%</w:t>
            </w:r>
          </w:p>
        </w:tc>
        <w:tc>
          <w:tcPr>
            <w:tcW w:w="3120" w:type="dxa"/>
            <w:tcMar>
              <w:top w:w="80" w:type="dxa"/>
              <w:left w:w="140" w:type="dxa"/>
              <w:bottom w:w="80" w:type="dxa"/>
              <w:right w:w="140" w:type="dxa"/>
            </w:tcMar>
          </w:tcPr>
          <w:p w14:paraId="37C97E09" w14:textId="77777777" w:rsidR="005A1278" w:rsidRDefault="00000000">
            <w:r>
              <w:rPr>
                <w:sz w:val="20"/>
                <w:szCs w:val="20"/>
              </w:rPr>
              <w:t>Defendant-favorable</w:t>
            </w:r>
          </w:p>
        </w:tc>
      </w:tr>
      <w:tr w:rsidR="005A1278" w14:paraId="1BC9B5BD" w14:textId="77777777">
        <w:tblPrEx>
          <w:tblCellMar>
            <w:top w:w="0" w:type="dxa"/>
            <w:bottom w:w="0" w:type="dxa"/>
          </w:tblCellMar>
        </w:tblPrEx>
        <w:tc>
          <w:tcPr>
            <w:tcW w:w="3120" w:type="dxa"/>
            <w:tcMar>
              <w:top w:w="80" w:type="dxa"/>
              <w:left w:w="140" w:type="dxa"/>
              <w:bottom w:w="80" w:type="dxa"/>
              <w:right w:w="140" w:type="dxa"/>
            </w:tcMar>
          </w:tcPr>
          <w:p w14:paraId="1C645494" w14:textId="77777777" w:rsidR="005A1278" w:rsidRDefault="00000000">
            <w:r>
              <w:rPr>
                <w:sz w:val="20"/>
                <w:szCs w:val="20"/>
              </w:rPr>
              <w:t>Q14. $5B+ contested verdict in single case</w:t>
            </w:r>
          </w:p>
        </w:tc>
        <w:tc>
          <w:tcPr>
            <w:tcW w:w="3120" w:type="dxa"/>
            <w:tcMar>
              <w:top w:w="80" w:type="dxa"/>
              <w:left w:w="140" w:type="dxa"/>
              <w:bottom w:w="80" w:type="dxa"/>
              <w:right w:w="140" w:type="dxa"/>
            </w:tcMar>
          </w:tcPr>
          <w:p w14:paraId="500D7640" w14:textId="77777777" w:rsidR="005A1278" w:rsidRDefault="00000000">
            <w:r>
              <w:rPr>
                <w:sz w:val="20"/>
                <w:szCs w:val="20"/>
              </w:rPr>
              <w:t>20–35%</w:t>
            </w:r>
          </w:p>
        </w:tc>
        <w:tc>
          <w:tcPr>
            <w:tcW w:w="3120" w:type="dxa"/>
            <w:tcMar>
              <w:top w:w="80" w:type="dxa"/>
              <w:left w:w="140" w:type="dxa"/>
              <w:bottom w:w="80" w:type="dxa"/>
              <w:right w:w="140" w:type="dxa"/>
            </w:tcMar>
          </w:tcPr>
          <w:p w14:paraId="2F7E4FD7" w14:textId="77777777" w:rsidR="005A1278" w:rsidRDefault="00000000">
            <w:r>
              <w:rPr>
                <w:sz w:val="20"/>
                <w:szCs w:val="20"/>
              </w:rPr>
              <w:t>Defendant-favorable</w:t>
            </w:r>
          </w:p>
        </w:tc>
      </w:tr>
      <w:tr w:rsidR="005A1278" w14:paraId="0400AE5E" w14:textId="77777777">
        <w:tblPrEx>
          <w:tblCellMar>
            <w:top w:w="0" w:type="dxa"/>
            <w:bottom w:w="0" w:type="dxa"/>
          </w:tblCellMar>
        </w:tblPrEx>
        <w:tc>
          <w:tcPr>
            <w:tcW w:w="3120" w:type="dxa"/>
            <w:tcMar>
              <w:top w:w="80" w:type="dxa"/>
              <w:left w:w="140" w:type="dxa"/>
              <w:bottom w:w="80" w:type="dxa"/>
              <w:right w:w="140" w:type="dxa"/>
            </w:tcMar>
          </w:tcPr>
          <w:p w14:paraId="244DC3D7" w14:textId="77777777" w:rsidR="005A1278" w:rsidRDefault="00000000">
            <w:r>
              <w:rPr>
                <w:sz w:val="20"/>
                <w:szCs w:val="20"/>
              </w:rPr>
              <w:t>Q12. Material AI-copyright legislation EOY 2028</w:t>
            </w:r>
          </w:p>
        </w:tc>
        <w:tc>
          <w:tcPr>
            <w:tcW w:w="3120" w:type="dxa"/>
            <w:tcMar>
              <w:top w:w="80" w:type="dxa"/>
              <w:left w:w="140" w:type="dxa"/>
              <w:bottom w:w="80" w:type="dxa"/>
              <w:right w:w="140" w:type="dxa"/>
            </w:tcMar>
          </w:tcPr>
          <w:p w14:paraId="565EE113" w14:textId="77777777" w:rsidR="005A1278" w:rsidRDefault="00000000">
            <w:r>
              <w:rPr>
                <w:sz w:val="20"/>
                <w:szCs w:val="20"/>
              </w:rPr>
              <w:t>18–32%</w:t>
            </w:r>
          </w:p>
        </w:tc>
        <w:tc>
          <w:tcPr>
            <w:tcW w:w="3120" w:type="dxa"/>
            <w:tcMar>
              <w:top w:w="80" w:type="dxa"/>
              <w:left w:w="140" w:type="dxa"/>
              <w:bottom w:w="80" w:type="dxa"/>
              <w:right w:w="140" w:type="dxa"/>
            </w:tcMar>
          </w:tcPr>
          <w:p w14:paraId="10ED8B2B" w14:textId="77777777" w:rsidR="005A1278" w:rsidRDefault="00000000">
            <w:r>
              <w:rPr>
                <w:sz w:val="20"/>
                <w:szCs w:val="20"/>
              </w:rPr>
              <w:t>Indeterminate</w:t>
            </w:r>
          </w:p>
        </w:tc>
      </w:tr>
    </w:tbl>
    <w:p w14:paraId="292DF30A" w14:textId="77777777" w:rsidR="005A1278" w:rsidRDefault="00000000">
      <w:pPr>
        <w:pStyle w:val="Heading1"/>
        <w:pageBreakBefore/>
      </w:pPr>
      <w:r>
        <w:lastRenderedPageBreak/>
        <w:t>VI. Aggregate Exposure Model and Doctrinal Posture by End of 2028</w:t>
      </w:r>
    </w:p>
    <w:p w14:paraId="62D18486" w14:textId="77777777" w:rsidR="005A1278" w:rsidRDefault="00000000">
      <w:pPr>
        <w:spacing w:before="80" w:after="80" w:line="320" w:lineRule="auto"/>
      </w:pPr>
      <w:r>
        <w:t>By the end of 2028, the LLM copyright docket has resolved into a structured but not unified body of law. Training on lawfully acquired works is fair use in most circuits that have ruled, but on a knife-edge — the operative doctrine is something like "training is transformative under Factor 1 unless and until plaintiffs build a market-dilution record adequate to win Factor 4," which makes every subsequent case a record-building exercise rather than a doctrinal one. The Ninth Circuit's Kadrey ruling is the foundational decision, and the publisher-Meta cases produce the first real market-dilution test of Chhabria's framework.</w:t>
      </w:r>
    </w:p>
    <w:p w14:paraId="1AD5E3DF" w14:textId="77777777" w:rsidR="005A1278" w:rsidRDefault="00000000">
      <w:pPr>
        <w:spacing w:before="80" w:after="80" w:line="320" w:lineRule="auto"/>
      </w:pPr>
      <w:r>
        <w:t>Shadow-library acquisition is uniformly not fair use, with the Alsup rule essentially canonical by 2027. The acquisition counts become the standard mechanism through which AI developers face liability, and the settlement infrastructure matures into something resembling the music industry's pre-2000 mechanical licensing regime. Section 1202(b)(1) survives as a nuisance claim but does not produce material liability at scale. Output-regurgitation theories survive in the book-author MDL and possibly extend to news cases on a developed memorization record, producing settlements in the low-to-mid ten figures range across the docket. BitTorrent seeding produces a meaningful subset of liability against the small number of defendants who used distribution-protocol acquisition pipelines.</w:t>
      </w:r>
    </w:p>
    <w:p w14:paraId="1A9397AA" w14:textId="77777777" w:rsidR="005A1278" w:rsidRDefault="00000000">
      <w:pPr>
        <w:spacing w:before="80" w:after="80" w:line="320" w:lineRule="auto"/>
      </w:pPr>
      <w:r>
        <w:t>Class certification is the operative bottleneck. Acquisition-class certifications follow the Bartz template and produce most of the headline settlements. Fair-use class certifications largely fail under Comcast predominance. Output-infringement class certifications fail entirely. The result is that the docket resolves through a combination of bellwether trials on individual high-value plaintiffs, mass-joinder structures (especially in publisher and news cases), and acquisition-class settlements.</w:t>
      </w:r>
    </w:p>
    <w:p w14:paraId="2B2E0A55" w14:textId="77777777" w:rsidR="005A1278" w:rsidRDefault="00000000">
      <w:pPr>
        <w:spacing w:before="80" w:after="80" w:line="320" w:lineRule="auto"/>
      </w:pPr>
      <w:r>
        <w:t>Supreme Court cert is granted in OT 2027 or OT 2028 on a Factor 4 market-dilution vehicle, most likely from the Ninth Circuit, with the Court issuing a narrow ruling that endorses substitution-record-building as cognizable Factor 4 harm while declining to articulate a unified test. Congress passes one narrow piece of AI-adjacent copyright legislation (most likely a NO FAKES-style right-of-publicity statute) but does not produce comprehensive training-fair-use legislation.</w:t>
      </w:r>
    </w:p>
    <w:p w14:paraId="204F33DA" w14:textId="77777777" w:rsidR="005A1278" w:rsidRDefault="00000000">
      <w:pPr>
        <w:pStyle w:val="Heading2"/>
      </w:pPr>
      <w:r>
        <w:t>Aggregate Industry Exposure Through End of 2028</w:t>
      </w:r>
    </w:p>
    <w:p w14:paraId="1984E4ED" w14:textId="77777777" w:rsidR="005A1278" w:rsidRDefault="00000000">
      <w:pPr>
        <w:spacing w:before="80" w:after="80" w:line="320" w:lineRule="auto"/>
      </w:pPr>
      <w:r>
        <w:t>The following table sets out the central forecast components and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A1278" w14:paraId="57739A6E" w14:textId="77777777">
        <w:tblPrEx>
          <w:tblCellMar>
            <w:top w:w="0" w:type="dxa"/>
            <w:bottom w:w="0" w:type="dxa"/>
          </w:tblCellMar>
        </w:tblPrEx>
        <w:trPr>
          <w:tblHeader/>
        </w:trPr>
        <w:tc>
          <w:tcPr>
            <w:tcW w:w="3120" w:type="dxa"/>
            <w:shd w:val="clear" w:color="auto" w:fill="EFEFEF"/>
            <w:tcMar>
              <w:top w:w="100" w:type="dxa"/>
              <w:left w:w="140" w:type="dxa"/>
              <w:bottom w:w="100" w:type="dxa"/>
              <w:right w:w="140" w:type="dxa"/>
            </w:tcMar>
          </w:tcPr>
          <w:p w14:paraId="1A4F0A74" w14:textId="77777777" w:rsidR="005A1278" w:rsidRDefault="00000000">
            <w:r>
              <w:rPr>
                <w:b/>
                <w:bCs/>
                <w:sz w:val="20"/>
                <w:szCs w:val="20"/>
              </w:rPr>
              <w:t>Issue</w:t>
            </w:r>
          </w:p>
        </w:tc>
        <w:tc>
          <w:tcPr>
            <w:tcW w:w="3120" w:type="dxa"/>
            <w:shd w:val="clear" w:color="auto" w:fill="EFEFEF"/>
            <w:tcMar>
              <w:top w:w="100" w:type="dxa"/>
              <w:left w:w="140" w:type="dxa"/>
              <w:bottom w:w="100" w:type="dxa"/>
              <w:right w:w="140" w:type="dxa"/>
            </w:tcMar>
          </w:tcPr>
          <w:p w14:paraId="6550BA03" w14:textId="77777777" w:rsidR="005A1278" w:rsidRDefault="00000000">
            <w:r>
              <w:rPr>
                <w:b/>
                <w:bCs/>
                <w:sz w:val="20"/>
                <w:szCs w:val="20"/>
              </w:rPr>
              <w:t>Range</w:t>
            </w:r>
          </w:p>
        </w:tc>
        <w:tc>
          <w:tcPr>
            <w:tcW w:w="3120" w:type="dxa"/>
            <w:shd w:val="clear" w:color="auto" w:fill="EFEFEF"/>
            <w:tcMar>
              <w:top w:w="100" w:type="dxa"/>
              <w:left w:w="140" w:type="dxa"/>
              <w:bottom w:w="100" w:type="dxa"/>
              <w:right w:w="140" w:type="dxa"/>
            </w:tcMar>
          </w:tcPr>
          <w:p w14:paraId="64FCF5EE" w14:textId="77777777" w:rsidR="005A1278" w:rsidRDefault="00000000">
            <w:r>
              <w:rPr>
                <w:b/>
                <w:bCs/>
                <w:sz w:val="20"/>
                <w:szCs w:val="20"/>
              </w:rPr>
              <w:t>Direction</w:t>
            </w:r>
          </w:p>
        </w:tc>
      </w:tr>
      <w:tr w:rsidR="005A1278" w14:paraId="55935B9E" w14:textId="77777777">
        <w:tblPrEx>
          <w:tblCellMar>
            <w:top w:w="0" w:type="dxa"/>
            <w:bottom w:w="0" w:type="dxa"/>
          </w:tblCellMar>
        </w:tblPrEx>
        <w:tc>
          <w:tcPr>
            <w:tcW w:w="3120" w:type="dxa"/>
            <w:tcMar>
              <w:top w:w="80" w:type="dxa"/>
              <w:left w:w="140" w:type="dxa"/>
              <w:bottom w:w="80" w:type="dxa"/>
              <w:right w:w="140" w:type="dxa"/>
            </w:tcMar>
          </w:tcPr>
          <w:p w14:paraId="08F8482E" w14:textId="77777777" w:rsidR="005A1278" w:rsidRDefault="00000000">
            <w:r>
              <w:rPr>
                <w:sz w:val="20"/>
                <w:szCs w:val="20"/>
              </w:rPr>
              <w:t>Acquisition-count settlements (Bartz template)</w:t>
            </w:r>
          </w:p>
        </w:tc>
        <w:tc>
          <w:tcPr>
            <w:tcW w:w="3120" w:type="dxa"/>
            <w:tcMar>
              <w:top w:w="80" w:type="dxa"/>
              <w:left w:w="140" w:type="dxa"/>
              <w:bottom w:w="80" w:type="dxa"/>
              <w:right w:w="140" w:type="dxa"/>
            </w:tcMar>
          </w:tcPr>
          <w:p w14:paraId="37F5B480" w14:textId="77777777" w:rsidR="005A1278" w:rsidRDefault="00000000">
            <w:r>
              <w:rPr>
                <w:sz w:val="20"/>
                <w:szCs w:val="20"/>
              </w:rPr>
              <w:t>$8–15B</w:t>
            </w:r>
          </w:p>
        </w:tc>
        <w:tc>
          <w:tcPr>
            <w:tcW w:w="3120" w:type="dxa"/>
            <w:tcMar>
              <w:top w:w="80" w:type="dxa"/>
              <w:left w:w="140" w:type="dxa"/>
              <w:bottom w:w="80" w:type="dxa"/>
              <w:right w:w="140" w:type="dxa"/>
            </w:tcMar>
          </w:tcPr>
          <w:p w14:paraId="681A5748" w14:textId="77777777" w:rsidR="005A1278" w:rsidRDefault="00000000">
            <w:r>
              <w:rPr>
                <w:sz w:val="20"/>
                <w:szCs w:val="20"/>
              </w:rPr>
              <w:t>High confidence</w:t>
            </w:r>
          </w:p>
        </w:tc>
      </w:tr>
      <w:tr w:rsidR="005A1278" w14:paraId="6744B4D6" w14:textId="77777777">
        <w:tblPrEx>
          <w:tblCellMar>
            <w:top w:w="0" w:type="dxa"/>
            <w:bottom w:w="0" w:type="dxa"/>
          </w:tblCellMar>
        </w:tblPrEx>
        <w:tc>
          <w:tcPr>
            <w:tcW w:w="3120" w:type="dxa"/>
            <w:tcMar>
              <w:top w:w="80" w:type="dxa"/>
              <w:left w:w="140" w:type="dxa"/>
              <w:bottom w:w="80" w:type="dxa"/>
              <w:right w:w="140" w:type="dxa"/>
            </w:tcMar>
          </w:tcPr>
          <w:p w14:paraId="112E9CE9" w14:textId="77777777" w:rsidR="005A1278" w:rsidRDefault="00000000">
            <w:r>
              <w:rPr>
                <w:sz w:val="20"/>
                <w:szCs w:val="20"/>
              </w:rPr>
              <w:lastRenderedPageBreak/>
              <w:t>Chhabria-framework Factor 4 record settlements</w:t>
            </w:r>
          </w:p>
        </w:tc>
        <w:tc>
          <w:tcPr>
            <w:tcW w:w="3120" w:type="dxa"/>
            <w:tcMar>
              <w:top w:w="80" w:type="dxa"/>
              <w:left w:w="140" w:type="dxa"/>
              <w:bottom w:w="80" w:type="dxa"/>
              <w:right w:w="140" w:type="dxa"/>
            </w:tcMar>
          </w:tcPr>
          <w:p w14:paraId="44464852" w14:textId="77777777" w:rsidR="005A1278" w:rsidRDefault="00000000">
            <w:r>
              <w:rPr>
                <w:sz w:val="20"/>
                <w:szCs w:val="20"/>
              </w:rPr>
              <w:t>$3–8B</w:t>
            </w:r>
          </w:p>
        </w:tc>
        <w:tc>
          <w:tcPr>
            <w:tcW w:w="3120" w:type="dxa"/>
            <w:tcMar>
              <w:top w:w="80" w:type="dxa"/>
              <w:left w:w="140" w:type="dxa"/>
              <w:bottom w:w="80" w:type="dxa"/>
              <w:right w:w="140" w:type="dxa"/>
            </w:tcMar>
          </w:tcPr>
          <w:p w14:paraId="57515C09" w14:textId="77777777" w:rsidR="005A1278" w:rsidRDefault="00000000">
            <w:r>
              <w:rPr>
                <w:sz w:val="20"/>
                <w:szCs w:val="20"/>
              </w:rPr>
              <w:t>Medium confidence</w:t>
            </w:r>
          </w:p>
        </w:tc>
      </w:tr>
      <w:tr w:rsidR="005A1278" w14:paraId="1F127191" w14:textId="77777777">
        <w:tblPrEx>
          <w:tblCellMar>
            <w:top w:w="0" w:type="dxa"/>
            <w:bottom w:w="0" w:type="dxa"/>
          </w:tblCellMar>
        </w:tblPrEx>
        <w:tc>
          <w:tcPr>
            <w:tcW w:w="3120" w:type="dxa"/>
            <w:tcMar>
              <w:top w:w="80" w:type="dxa"/>
              <w:left w:w="140" w:type="dxa"/>
              <w:bottom w:w="80" w:type="dxa"/>
              <w:right w:w="140" w:type="dxa"/>
            </w:tcMar>
          </w:tcPr>
          <w:p w14:paraId="51DA6157" w14:textId="77777777" w:rsidR="005A1278" w:rsidRDefault="00000000">
            <w:r>
              <w:rPr>
                <w:sz w:val="20"/>
                <w:szCs w:val="20"/>
              </w:rPr>
              <w:t>Output-infringement settlements (books/lyrics/news)</w:t>
            </w:r>
          </w:p>
        </w:tc>
        <w:tc>
          <w:tcPr>
            <w:tcW w:w="3120" w:type="dxa"/>
            <w:tcMar>
              <w:top w:w="80" w:type="dxa"/>
              <w:left w:w="140" w:type="dxa"/>
              <w:bottom w:w="80" w:type="dxa"/>
              <w:right w:w="140" w:type="dxa"/>
            </w:tcMar>
          </w:tcPr>
          <w:p w14:paraId="41D51A27" w14:textId="77777777" w:rsidR="005A1278" w:rsidRDefault="00000000">
            <w:r>
              <w:rPr>
                <w:sz w:val="20"/>
                <w:szCs w:val="20"/>
              </w:rPr>
              <w:t>$2–6B</w:t>
            </w:r>
          </w:p>
        </w:tc>
        <w:tc>
          <w:tcPr>
            <w:tcW w:w="3120" w:type="dxa"/>
            <w:tcMar>
              <w:top w:w="80" w:type="dxa"/>
              <w:left w:w="140" w:type="dxa"/>
              <w:bottom w:w="80" w:type="dxa"/>
              <w:right w:w="140" w:type="dxa"/>
            </w:tcMar>
          </w:tcPr>
          <w:p w14:paraId="275911F3" w14:textId="77777777" w:rsidR="005A1278" w:rsidRDefault="00000000">
            <w:r>
              <w:rPr>
                <w:sz w:val="20"/>
                <w:szCs w:val="20"/>
              </w:rPr>
              <w:t>Medium confidence</w:t>
            </w:r>
          </w:p>
        </w:tc>
      </w:tr>
      <w:tr w:rsidR="005A1278" w14:paraId="146AC668" w14:textId="77777777">
        <w:tblPrEx>
          <w:tblCellMar>
            <w:top w:w="0" w:type="dxa"/>
            <w:bottom w:w="0" w:type="dxa"/>
          </w:tblCellMar>
        </w:tblPrEx>
        <w:tc>
          <w:tcPr>
            <w:tcW w:w="3120" w:type="dxa"/>
            <w:tcMar>
              <w:top w:w="80" w:type="dxa"/>
              <w:left w:w="140" w:type="dxa"/>
              <w:bottom w:w="80" w:type="dxa"/>
              <w:right w:w="140" w:type="dxa"/>
            </w:tcMar>
          </w:tcPr>
          <w:p w14:paraId="219B9CCC" w14:textId="77777777" w:rsidR="005A1278" w:rsidRDefault="00000000">
            <w:r>
              <w:rPr>
                <w:sz w:val="20"/>
                <w:szCs w:val="20"/>
              </w:rPr>
              <w:t>BitTorrent / distribution counts</w:t>
            </w:r>
          </w:p>
        </w:tc>
        <w:tc>
          <w:tcPr>
            <w:tcW w:w="3120" w:type="dxa"/>
            <w:tcMar>
              <w:top w:w="80" w:type="dxa"/>
              <w:left w:w="140" w:type="dxa"/>
              <w:bottom w:w="80" w:type="dxa"/>
              <w:right w:w="140" w:type="dxa"/>
            </w:tcMar>
          </w:tcPr>
          <w:p w14:paraId="69DAFEC5" w14:textId="77777777" w:rsidR="005A1278" w:rsidRDefault="00000000">
            <w:r>
              <w:rPr>
                <w:sz w:val="20"/>
                <w:szCs w:val="20"/>
              </w:rPr>
              <w:t>$1–3B</w:t>
            </w:r>
          </w:p>
        </w:tc>
        <w:tc>
          <w:tcPr>
            <w:tcW w:w="3120" w:type="dxa"/>
            <w:tcMar>
              <w:top w:w="80" w:type="dxa"/>
              <w:left w:w="140" w:type="dxa"/>
              <w:bottom w:w="80" w:type="dxa"/>
              <w:right w:w="140" w:type="dxa"/>
            </w:tcMar>
          </w:tcPr>
          <w:p w14:paraId="116CC268" w14:textId="77777777" w:rsidR="005A1278" w:rsidRDefault="00000000">
            <w:r>
              <w:rPr>
                <w:sz w:val="20"/>
                <w:szCs w:val="20"/>
              </w:rPr>
              <w:t>Medium confidence</w:t>
            </w:r>
          </w:p>
        </w:tc>
      </w:tr>
      <w:tr w:rsidR="005A1278" w14:paraId="0FB09B15" w14:textId="77777777">
        <w:tblPrEx>
          <w:tblCellMar>
            <w:top w:w="0" w:type="dxa"/>
            <w:bottom w:w="0" w:type="dxa"/>
          </w:tblCellMar>
        </w:tblPrEx>
        <w:tc>
          <w:tcPr>
            <w:tcW w:w="3120" w:type="dxa"/>
            <w:tcMar>
              <w:top w:w="80" w:type="dxa"/>
              <w:left w:w="140" w:type="dxa"/>
              <w:bottom w:w="80" w:type="dxa"/>
              <w:right w:w="140" w:type="dxa"/>
            </w:tcMar>
          </w:tcPr>
          <w:p w14:paraId="5F4A4737" w14:textId="77777777" w:rsidR="005A1278" w:rsidRDefault="00000000">
            <w:r>
              <w:rPr>
                <w:sz w:val="20"/>
                <w:szCs w:val="20"/>
              </w:rPr>
              <w:t>DMCA § 1202 and ancillary counts</w:t>
            </w:r>
          </w:p>
        </w:tc>
        <w:tc>
          <w:tcPr>
            <w:tcW w:w="3120" w:type="dxa"/>
            <w:tcMar>
              <w:top w:w="80" w:type="dxa"/>
              <w:left w:w="140" w:type="dxa"/>
              <w:bottom w:w="80" w:type="dxa"/>
              <w:right w:w="140" w:type="dxa"/>
            </w:tcMar>
          </w:tcPr>
          <w:p w14:paraId="3F9AF51A" w14:textId="77777777" w:rsidR="005A1278" w:rsidRDefault="00000000">
            <w:r>
              <w:rPr>
                <w:sz w:val="20"/>
                <w:szCs w:val="20"/>
              </w:rPr>
              <w:t>$0.5–1.5B</w:t>
            </w:r>
          </w:p>
        </w:tc>
        <w:tc>
          <w:tcPr>
            <w:tcW w:w="3120" w:type="dxa"/>
            <w:tcMar>
              <w:top w:w="80" w:type="dxa"/>
              <w:left w:w="140" w:type="dxa"/>
              <w:bottom w:w="80" w:type="dxa"/>
              <w:right w:w="140" w:type="dxa"/>
            </w:tcMar>
          </w:tcPr>
          <w:p w14:paraId="36B9C468" w14:textId="77777777" w:rsidR="005A1278" w:rsidRDefault="00000000">
            <w:r>
              <w:rPr>
                <w:sz w:val="20"/>
                <w:szCs w:val="20"/>
              </w:rPr>
              <w:t>Lower confidence</w:t>
            </w:r>
          </w:p>
        </w:tc>
      </w:tr>
      <w:tr w:rsidR="005A1278" w14:paraId="391EF471" w14:textId="77777777">
        <w:tblPrEx>
          <w:tblCellMar>
            <w:top w:w="0" w:type="dxa"/>
            <w:bottom w:w="0" w:type="dxa"/>
          </w:tblCellMar>
        </w:tblPrEx>
        <w:tc>
          <w:tcPr>
            <w:tcW w:w="3120" w:type="dxa"/>
            <w:tcMar>
              <w:top w:w="80" w:type="dxa"/>
              <w:left w:w="140" w:type="dxa"/>
              <w:bottom w:w="80" w:type="dxa"/>
              <w:right w:w="140" w:type="dxa"/>
            </w:tcMar>
          </w:tcPr>
          <w:p w14:paraId="053A2B2E" w14:textId="77777777" w:rsidR="005A1278" w:rsidRDefault="00000000">
            <w:r>
              <w:rPr>
                <w:sz w:val="20"/>
                <w:szCs w:val="20"/>
              </w:rPr>
              <w:t>Licensing-market run-rate by EOY 2028</w:t>
            </w:r>
          </w:p>
        </w:tc>
        <w:tc>
          <w:tcPr>
            <w:tcW w:w="3120" w:type="dxa"/>
            <w:tcMar>
              <w:top w:w="80" w:type="dxa"/>
              <w:left w:w="140" w:type="dxa"/>
              <w:bottom w:w="80" w:type="dxa"/>
              <w:right w:w="140" w:type="dxa"/>
            </w:tcMar>
          </w:tcPr>
          <w:p w14:paraId="2397402E" w14:textId="77777777" w:rsidR="005A1278" w:rsidRDefault="00000000">
            <w:r>
              <w:rPr>
                <w:sz w:val="20"/>
                <w:szCs w:val="20"/>
              </w:rPr>
              <w:t>$2.5–4.5B/yr</w:t>
            </w:r>
          </w:p>
        </w:tc>
        <w:tc>
          <w:tcPr>
            <w:tcW w:w="3120" w:type="dxa"/>
            <w:tcMar>
              <w:top w:w="80" w:type="dxa"/>
              <w:left w:w="140" w:type="dxa"/>
              <w:bottom w:w="80" w:type="dxa"/>
              <w:right w:w="140" w:type="dxa"/>
            </w:tcMar>
          </w:tcPr>
          <w:p w14:paraId="7C85EE96" w14:textId="77777777" w:rsidR="005A1278" w:rsidRDefault="00000000">
            <w:r>
              <w:rPr>
                <w:sz w:val="20"/>
                <w:szCs w:val="20"/>
              </w:rPr>
              <w:t>Medium confidence</w:t>
            </w:r>
          </w:p>
        </w:tc>
      </w:tr>
      <w:tr w:rsidR="005A1278" w14:paraId="2364CEAC" w14:textId="77777777">
        <w:tblPrEx>
          <w:tblCellMar>
            <w:top w:w="0" w:type="dxa"/>
            <w:bottom w:w="0" w:type="dxa"/>
          </w:tblCellMar>
        </w:tblPrEx>
        <w:tc>
          <w:tcPr>
            <w:tcW w:w="3120" w:type="dxa"/>
            <w:tcMar>
              <w:top w:w="80" w:type="dxa"/>
              <w:left w:w="140" w:type="dxa"/>
              <w:bottom w:w="80" w:type="dxa"/>
              <w:right w:w="140" w:type="dxa"/>
            </w:tcMar>
          </w:tcPr>
          <w:p w14:paraId="739467F1" w14:textId="77777777" w:rsidR="005A1278" w:rsidRDefault="00000000">
            <w:r>
              <w:rPr>
                <w:sz w:val="20"/>
                <w:szCs w:val="20"/>
              </w:rPr>
              <w:t>Single largest contested verdict</w:t>
            </w:r>
          </w:p>
        </w:tc>
        <w:tc>
          <w:tcPr>
            <w:tcW w:w="3120" w:type="dxa"/>
            <w:tcMar>
              <w:top w:w="80" w:type="dxa"/>
              <w:left w:w="140" w:type="dxa"/>
              <w:bottom w:w="80" w:type="dxa"/>
              <w:right w:w="140" w:type="dxa"/>
            </w:tcMar>
          </w:tcPr>
          <w:p w14:paraId="1F64810A" w14:textId="77777777" w:rsidR="005A1278" w:rsidRDefault="00000000">
            <w:r>
              <w:rPr>
                <w:sz w:val="20"/>
                <w:szCs w:val="20"/>
              </w:rPr>
              <w:t>$1–5B</w:t>
            </w:r>
          </w:p>
        </w:tc>
        <w:tc>
          <w:tcPr>
            <w:tcW w:w="3120" w:type="dxa"/>
            <w:tcMar>
              <w:top w:w="80" w:type="dxa"/>
              <w:left w:w="140" w:type="dxa"/>
              <w:bottom w:w="80" w:type="dxa"/>
              <w:right w:w="140" w:type="dxa"/>
            </w:tcMar>
          </w:tcPr>
          <w:p w14:paraId="6DB7131A" w14:textId="77777777" w:rsidR="005A1278" w:rsidRDefault="00000000">
            <w:r>
              <w:rPr>
                <w:sz w:val="20"/>
                <w:szCs w:val="20"/>
              </w:rPr>
              <w:t>Wide range</w:t>
            </w:r>
          </w:p>
        </w:tc>
      </w:tr>
      <w:tr w:rsidR="005A1278" w14:paraId="3EACE32F" w14:textId="77777777">
        <w:tblPrEx>
          <w:tblCellMar>
            <w:top w:w="0" w:type="dxa"/>
            <w:bottom w:w="0" w:type="dxa"/>
          </w:tblCellMar>
        </w:tblPrEx>
        <w:tc>
          <w:tcPr>
            <w:tcW w:w="3120" w:type="dxa"/>
            <w:tcMar>
              <w:top w:w="80" w:type="dxa"/>
              <w:left w:w="140" w:type="dxa"/>
              <w:bottom w:w="80" w:type="dxa"/>
              <w:right w:w="140" w:type="dxa"/>
            </w:tcMar>
          </w:tcPr>
          <w:p w14:paraId="6D596A7B" w14:textId="77777777" w:rsidR="005A1278" w:rsidRDefault="00000000">
            <w:r>
              <w:rPr>
                <w:sz w:val="20"/>
                <w:szCs w:val="20"/>
              </w:rPr>
              <w:t>Cumulative industry exposure through EOY 2028</w:t>
            </w:r>
          </w:p>
        </w:tc>
        <w:tc>
          <w:tcPr>
            <w:tcW w:w="3120" w:type="dxa"/>
            <w:tcMar>
              <w:top w:w="80" w:type="dxa"/>
              <w:left w:w="140" w:type="dxa"/>
              <w:bottom w:w="80" w:type="dxa"/>
              <w:right w:w="140" w:type="dxa"/>
            </w:tcMar>
          </w:tcPr>
          <w:p w14:paraId="1A56F443" w14:textId="77777777" w:rsidR="005A1278" w:rsidRDefault="00000000">
            <w:r>
              <w:rPr>
                <w:sz w:val="20"/>
                <w:szCs w:val="20"/>
              </w:rPr>
              <w:t>$25–45B</w:t>
            </w:r>
          </w:p>
        </w:tc>
        <w:tc>
          <w:tcPr>
            <w:tcW w:w="3120" w:type="dxa"/>
            <w:tcMar>
              <w:top w:w="80" w:type="dxa"/>
              <w:left w:w="140" w:type="dxa"/>
              <w:bottom w:w="80" w:type="dxa"/>
              <w:right w:w="140" w:type="dxa"/>
            </w:tcMar>
          </w:tcPr>
          <w:p w14:paraId="14E56052" w14:textId="77777777" w:rsidR="005A1278" w:rsidRDefault="00000000">
            <w:r>
              <w:rPr>
                <w:sz w:val="20"/>
                <w:szCs w:val="20"/>
              </w:rPr>
              <w:t>Aggregate</w:t>
            </w:r>
          </w:p>
        </w:tc>
      </w:tr>
    </w:tbl>
    <w:p w14:paraId="09946129" w14:textId="77777777" w:rsidR="005A1278" w:rsidRDefault="00000000">
      <w:pPr>
        <w:spacing w:before="80" w:after="80" w:line="320" w:lineRule="auto"/>
      </w:pPr>
      <w:r>
        <w:t>That number is meaningful but not existential for the AI industry — it is roughly two to four years of current AI capital expenditure at industry-wide scale, distributed across defendants in a way that no single firm faces existential exposure. It is also large enough that it materially changes the economics of training-data acquisition going forward, pushing the industry toward licensing-by-default for high-value content and increasingly cautious acquisition pipelines for everything else. By end of 2028, the underlying conduct that produced the 2021–2024 shadow-library acquisitions is no longer happening at any major lab, the licensing market is functional if not yet at its terminal scale, and the docket has resolved into a stable regime where AI training is legally permitted but commercially constrained.</w:t>
      </w:r>
    </w:p>
    <w:p w14:paraId="1C6028A1" w14:textId="77777777" w:rsidR="005A1278" w:rsidRDefault="00000000">
      <w:pPr>
        <w:pStyle w:val="Heading1"/>
        <w:pageBreakBefore/>
      </w:pPr>
      <w:r>
        <w:lastRenderedPageBreak/>
        <w:t>VII. Sources</w:t>
      </w:r>
    </w:p>
    <w:p w14:paraId="30036DF3" w14:textId="77777777" w:rsidR="005A1278" w:rsidRDefault="00000000">
      <w:pPr>
        <w:spacing w:before="80" w:after="80" w:line="320" w:lineRule="auto"/>
      </w:pPr>
      <w:r>
        <w:t>This memorandum is built from underlying pleadings, summary judgment orders, and appellate briefs accessed through CourtListener, the federal court websites, and reputable secondary sources for verbatim-order text. Key citations:</w:t>
      </w:r>
    </w:p>
    <w:p w14:paraId="0E9DC55E" w14:textId="77777777" w:rsidR="005A1278" w:rsidRDefault="00000000">
      <w:pPr>
        <w:pStyle w:val="Heading3"/>
      </w:pPr>
      <w:r>
        <w:t>Bartz v. Anthropic PBC</w:t>
      </w:r>
    </w:p>
    <w:p w14:paraId="55A96291" w14:textId="77777777" w:rsidR="005A1278" w:rsidRDefault="00000000">
      <w:pPr>
        <w:pStyle w:val="ListParagraph"/>
        <w:numPr>
          <w:ilvl w:val="0"/>
          <w:numId w:val="2"/>
        </w:numPr>
        <w:spacing w:before="60" w:after="60" w:line="300" w:lineRule="auto"/>
      </w:pPr>
      <w:r>
        <w:t>Order on Fair Use, No. 3:24-cv-05417, Dkt. 231 (N.D. Cal. June 23, 2025) — Copyright Alliance mirror (https://copyrightalliance.org/wp-content/uploads/2025/06/Bartz-v-Anthropic-Order.pdf); UCI mirror (https://bpb-us-e2.wpmucdn.com/sites.uci.edu/dist/d/2220/files/2025/07/Bartz-v-Anthropic-PBC_Redacted.pdf)</w:t>
      </w:r>
    </w:p>
    <w:p w14:paraId="5E373016" w14:textId="77777777" w:rsidR="005A1278" w:rsidRDefault="00000000">
      <w:pPr>
        <w:pStyle w:val="ListParagraph"/>
        <w:numPr>
          <w:ilvl w:val="0"/>
          <w:numId w:val="2"/>
        </w:numPr>
        <w:spacing w:before="60" w:after="60" w:line="300" w:lineRule="auto"/>
      </w:pPr>
      <w:r>
        <w:t>CourtListener docket: https://www.courtlistener.com/docket/69058235/bartz-v-anthropic-pbc/</w:t>
      </w:r>
    </w:p>
    <w:p w14:paraId="063CACEA" w14:textId="77777777" w:rsidR="005A1278" w:rsidRDefault="00000000">
      <w:pPr>
        <w:pStyle w:val="ListParagraph"/>
        <w:numPr>
          <w:ilvl w:val="0"/>
          <w:numId w:val="2"/>
        </w:numPr>
        <w:spacing w:before="60" w:after="60" w:line="300" w:lineRule="auto"/>
      </w:pPr>
      <w:r>
        <w:t>Settlement long-form notice: https://www.classaction.org/media/bartz-et-al-v-anthropic-pbc-notice.pdf</w:t>
      </w:r>
    </w:p>
    <w:p w14:paraId="60C23637" w14:textId="77777777" w:rsidR="005A1278" w:rsidRDefault="00000000">
      <w:pPr>
        <w:pStyle w:val="ListParagraph"/>
        <w:numPr>
          <w:ilvl w:val="0"/>
          <w:numId w:val="2"/>
        </w:numPr>
        <w:spacing w:before="60" w:after="60" w:line="300" w:lineRule="auto"/>
      </w:pPr>
      <w:r>
        <w:t>Susman Godfrey: https://www.susmangodfrey.com/wins/susman-godfrey-secures-1-5-billion-settlement-in-landmark-ai-piracy-case/</w:t>
      </w:r>
    </w:p>
    <w:p w14:paraId="15A6D870" w14:textId="77777777" w:rsidR="005A1278" w:rsidRDefault="00000000">
      <w:pPr>
        <w:pStyle w:val="ListParagraph"/>
        <w:numPr>
          <w:ilvl w:val="0"/>
          <w:numId w:val="2"/>
        </w:numPr>
        <w:spacing w:before="60" w:after="60" w:line="300" w:lineRule="auto"/>
      </w:pPr>
      <w:r>
        <w:t>Authors Alliance fairness hearing observations: https://www.authorsalliance.org/2026/05/14/bartz-v-anthropic-fairness-hearing-observations-and-takeaways/</w:t>
      </w:r>
    </w:p>
    <w:p w14:paraId="3CCA0F36" w14:textId="77777777" w:rsidR="005A1278" w:rsidRDefault="00000000">
      <w:pPr>
        <w:pStyle w:val="ListParagraph"/>
        <w:numPr>
          <w:ilvl w:val="0"/>
          <w:numId w:val="2"/>
        </w:numPr>
        <w:spacing w:before="60" w:after="60" w:line="300" w:lineRule="auto"/>
      </w:pPr>
      <w:r>
        <w:t>ArentFox Schiff alert: https://www.afslaw.com/perspectives/alerts/landmark-ruling-ai-copyright-fair-use-vs-infringement-bartz-v-anthropic</w:t>
      </w:r>
    </w:p>
    <w:p w14:paraId="2EB6723F" w14:textId="77777777" w:rsidR="005A1278" w:rsidRDefault="00000000">
      <w:pPr>
        <w:pStyle w:val="Heading3"/>
      </w:pPr>
      <w:r>
        <w:t>Kadrey v. Meta Platforms</w:t>
      </w:r>
    </w:p>
    <w:p w14:paraId="28499662" w14:textId="77777777" w:rsidR="005A1278" w:rsidRDefault="00000000">
      <w:pPr>
        <w:pStyle w:val="ListParagraph"/>
        <w:numPr>
          <w:ilvl w:val="0"/>
          <w:numId w:val="2"/>
        </w:numPr>
        <w:spacing w:before="60" w:after="60" w:line="300" w:lineRule="auto"/>
      </w:pPr>
      <w:r>
        <w:t>Order on Motion for Partial Summary Judgment (Dkt. 598, June 25, 2025) — Justia (https://law.justia.com/cases/federal/district-courts/california/candce/3:2023cv03417/415175/598/); NPR-hosted PDF (https://media.npr.org/assets/artslife/arts/2025/order1.pdf); DocumentCloud (https://www.documentcloud.org/documents/25984135-richard-kadrey-et-al-v-meta-partial-summary-judgment/)</w:t>
      </w:r>
    </w:p>
    <w:p w14:paraId="2A1AE99F" w14:textId="77777777" w:rsidR="005A1278" w:rsidRDefault="00000000">
      <w:pPr>
        <w:pStyle w:val="ListParagraph"/>
        <w:numPr>
          <w:ilvl w:val="0"/>
          <w:numId w:val="2"/>
        </w:numPr>
        <w:spacing w:before="60" w:after="60" w:line="300" w:lineRule="auto"/>
      </w:pPr>
      <w:r>
        <w:t>CourtListener docket: https://www.courtlistener.com/docket/67569326/kadrey-v-meta-platforms-inc/</w:t>
      </w:r>
    </w:p>
    <w:p w14:paraId="65813F31" w14:textId="77777777" w:rsidR="005A1278" w:rsidRDefault="00000000">
      <w:pPr>
        <w:pStyle w:val="ListParagraph"/>
        <w:numPr>
          <w:ilvl w:val="0"/>
          <w:numId w:val="2"/>
        </w:numPr>
        <w:spacing w:before="60" w:after="60" w:line="300" w:lineRule="auto"/>
      </w:pPr>
      <w:r>
        <w:t>First Amended Complaint (PacerMonitor mirror): https://www.pacermonitor.com/public/filings/DJ4ROZTA/Kadrey_et_al_v_Meta_Platforms_Inc__candce-23-03417__0064.0.pdf</w:t>
      </w:r>
    </w:p>
    <w:p w14:paraId="2A62311D" w14:textId="77777777" w:rsidR="005A1278" w:rsidRDefault="00000000">
      <w:pPr>
        <w:pStyle w:val="ListParagraph"/>
        <w:numPr>
          <w:ilvl w:val="0"/>
          <w:numId w:val="2"/>
        </w:numPr>
        <w:spacing w:before="60" w:after="60" w:line="300" w:lineRule="auto"/>
      </w:pPr>
      <w:r>
        <w:t>Mass Law Blog seeding theory analysis: https://masslawblog.com/copyright/copyright-ai-and-metas-torrent-problem/</w:t>
      </w:r>
    </w:p>
    <w:p w14:paraId="1402F81C" w14:textId="77777777" w:rsidR="005A1278" w:rsidRDefault="00000000">
      <w:pPr>
        <w:pStyle w:val="ListParagraph"/>
        <w:numPr>
          <w:ilvl w:val="0"/>
          <w:numId w:val="2"/>
        </w:numPr>
        <w:spacing w:before="60" w:after="60" w:line="300" w:lineRule="auto"/>
      </w:pPr>
      <w:r>
        <w:lastRenderedPageBreak/>
        <w:t>Thompson Coburn — intermediate copying split: https://www.thompsoncoburn.com/insights/intermediate-copying-and-fair-use-two-approaches-from-the-same-bench/</w:t>
      </w:r>
    </w:p>
    <w:p w14:paraId="50F50417" w14:textId="77777777" w:rsidR="005A1278" w:rsidRDefault="00000000">
      <w:pPr>
        <w:pStyle w:val="ListParagraph"/>
        <w:numPr>
          <w:ilvl w:val="0"/>
          <w:numId w:val="2"/>
        </w:numPr>
        <w:spacing w:before="60" w:after="60" w:line="300" w:lineRule="auto"/>
      </w:pPr>
      <w:r>
        <w:t>Mass Law Blog market dilution: https://masslawblog.com/copyright/kadrey-v-meta-will-market-dilution-reshape-ai-copyright-law/</w:t>
      </w:r>
    </w:p>
    <w:p w14:paraId="62AACFDA" w14:textId="77777777" w:rsidR="005A1278" w:rsidRDefault="00000000">
      <w:pPr>
        <w:pStyle w:val="Heading3"/>
      </w:pPr>
      <w:r>
        <w:t>In re OpenAI Copyright Litigation (MDL 3143)</w:t>
      </w:r>
    </w:p>
    <w:p w14:paraId="4DF4D4CE" w14:textId="77777777" w:rsidR="005A1278" w:rsidRDefault="00000000">
      <w:pPr>
        <w:pStyle w:val="ListParagraph"/>
        <w:numPr>
          <w:ilvl w:val="0"/>
          <w:numId w:val="2"/>
        </w:numPr>
        <w:spacing w:before="60" w:after="60" w:line="300" w:lineRule="auto"/>
      </w:pPr>
      <w:r>
        <w:t>JPML Transfer Order (Apr. 3, 2025): https://www.jpml.uscourts.gov/sites/jpml/files/MDL-3143-Transfer_Order-3-25.pdf</w:t>
      </w:r>
    </w:p>
    <w:p w14:paraId="4494D148" w14:textId="77777777" w:rsidR="005A1278" w:rsidRDefault="00000000">
      <w:pPr>
        <w:pStyle w:val="ListParagraph"/>
        <w:numPr>
          <w:ilvl w:val="0"/>
          <w:numId w:val="2"/>
        </w:numPr>
        <w:spacing w:before="60" w:after="60" w:line="300" w:lineRule="auto"/>
      </w:pPr>
      <w:r>
        <w:t>MDL docket on CourtListener: https://www.courtlistener.com/docket/69879510/in-re-openai-inc-copyright-infringement-litigation/</w:t>
      </w:r>
    </w:p>
    <w:p w14:paraId="1C2D86F5" w14:textId="77777777" w:rsidR="005A1278" w:rsidRDefault="00000000">
      <w:pPr>
        <w:pStyle w:val="ListParagraph"/>
        <w:numPr>
          <w:ilvl w:val="0"/>
          <w:numId w:val="2"/>
        </w:numPr>
        <w:spacing w:before="60" w:after="60" w:line="300" w:lineRule="auto"/>
      </w:pPr>
      <w:r>
        <w:t>Stein, MTD Opinion (Apr. 4, 2025): https://www.nysd.uscourts.gov/sites/default/files/2025-04/yf%2023cv11195%20OpenAI%20MTD%20opinion%20april%204%202025.pdf</w:t>
      </w:r>
    </w:p>
    <w:p w14:paraId="199F29A4" w14:textId="77777777" w:rsidR="005A1278" w:rsidRDefault="00000000">
      <w:pPr>
        <w:pStyle w:val="ListParagraph"/>
        <w:numPr>
          <w:ilvl w:val="0"/>
          <w:numId w:val="2"/>
        </w:numPr>
        <w:spacing w:before="60" w:after="60" w:line="300" w:lineRule="auto"/>
      </w:pPr>
      <w:r>
        <w:t>Bloomberg Law on 20M ChatGPT log production: https://news.bloomberglaw.com/ip-law/openai-must-turn-over-20-million-chatgpt-logs-judge-affirms</w:t>
      </w:r>
    </w:p>
    <w:p w14:paraId="0A0D3ABE" w14:textId="77777777" w:rsidR="005A1278" w:rsidRDefault="00000000">
      <w:pPr>
        <w:pStyle w:val="ListParagraph"/>
        <w:numPr>
          <w:ilvl w:val="0"/>
          <w:numId w:val="2"/>
        </w:numPr>
        <w:spacing w:before="60" w:after="60" w:line="300" w:lineRule="auto"/>
      </w:pPr>
      <w:r>
        <w:t>OpenAI MTD memorandum (Feb. 2024): https://fingfx.thomsonreuters.com/gfx/legaldocs/byvrkxbmgpe/OPENAI%20MICROSOFT%20NEW%20YORK%20TIMES%20mtd.pdf</w:t>
      </w:r>
    </w:p>
    <w:p w14:paraId="38934D69" w14:textId="77777777" w:rsidR="005A1278" w:rsidRDefault="00000000">
      <w:pPr>
        <w:pStyle w:val="ListParagraph"/>
        <w:numPr>
          <w:ilvl w:val="0"/>
          <w:numId w:val="2"/>
        </w:numPr>
        <w:spacing w:before="60" w:after="60" w:line="300" w:lineRule="auto"/>
      </w:pPr>
      <w:r>
        <w:t>Loeb &amp; Loeb case page: https://www.loeb.com/en/insights/publications/2025/11/in-re-openai-inc-copyright-infringement-litigation</w:t>
      </w:r>
    </w:p>
    <w:p w14:paraId="060D8C71" w14:textId="77777777" w:rsidR="005A1278" w:rsidRDefault="00000000">
      <w:pPr>
        <w:pStyle w:val="ListParagraph"/>
        <w:numPr>
          <w:ilvl w:val="0"/>
          <w:numId w:val="2"/>
        </w:numPr>
        <w:spacing w:before="60" w:after="60" w:line="300" w:lineRule="auto"/>
      </w:pPr>
      <w:r>
        <w:t>Concord Music Group v. Anthropic — Loeb &amp; Loeb: https://www.loeb.com/en/insights/publications/2025/10/concord-music-group-inc-v-anthropic-pbc</w:t>
      </w:r>
    </w:p>
    <w:p w14:paraId="50D16F9D" w14:textId="77777777" w:rsidR="005A1278" w:rsidRDefault="00000000">
      <w:pPr>
        <w:pStyle w:val="ListParagraph"/>
        <w:numPr>
          <w:ilvl w:val="0"/>
          <w:numId w:val="2"/>
        </w:numPr>
        <w:spacing w:before="60" w:after="60" w:line="300" w:lineRule="auto"/>
      </w:pPr>
      <w:r>
        <w:t>Knowing Machines explainer: https://knowingmachines.org/knowing-legal-machines/legal-explainer/cases/concord-v-anthropic</w:t>
      </w:r>
    </w:p>
    <w:p w14:paraId="0DB3CC74" w14:textId="77777777" w:rsidR="005A1278" w:rsidRDefault="00000000">
      <w:pPr>
        <w:pStyle w:val="Heading3"/>
      </w:pPr>
      <w:r>
        <w:t>Thomson Reuters Enterprise Centre GmbH v. ROSS Intelligence</w:t>
      </w:r>
    </w:p>
    <w:p w14:paraId="45B73FA1" w14:textId="77777777" w:rsidR="005A1278" w:rsidRDefault="00000000">
      <w:pPr>
        <w:pStyle w:val="ListParagraph"/>
        <w:numPr>
          <w:ilvl w:val="0"/>
          <w:numId w:val="2"/>
        </w:numPr>
        <w:spacing w:before="60" w:after="60" w:line="300" w:lineRule="auto"/>
      </w:pPr>
      <w:r>
        <w:t>Bibas II opinion, No. 1:20-cv-613-SB, 2025 WL 458520 (D. Del. Feb. 11, 2025), Dkt. 770: https://www.ded.uscourts.gov/sites/ded/files/opinions/20-613_5.pdf</w:t>
      </w:r>
    </w:p>
    <w:p w14:paraId="2210D3E3" w14:textId="77777777" w:rsidR="005A1278" w:rsidRDefault="00000000">
      <w:pPr>
        <w:pStyle w:val="ListParagraph"/>
        <w:numPr>
          <w:ilvl w:val="0"/>
          <w:numId w:val="2"/>
        </w:numPr>
        <w:spacing w:before="60" w:after="60" w:line="300" w:lineRule="auto"/>
      </w:pPr>
      <w:r>
        <w:t>Bibas I opinion, Dkt. 547 (D. Del. Sept. 25, 2023): https://www.ded.uscourts.gov/sites/ded/files/opinions/20-613_1.pdf</w:t>
      </w:r>
    </w:p>
    <w:p w14:paraId="7A9D817B" w14:textId="77777777" w:rsidR="005A1278" w:rsidRDefault="00000000">
      <w:pPr>
        <w:pStyle w:val="ListParagraph"/>
        <w:numPr>
          <w:ilvl w:val="0"/>
          <w:numId w:val="2"/>
        </w:numPr>
        <w:spacing w:before="60" w:after="60" w:line="300" w:lineRule="auto"/>
      </w:pPr>
      <w:r>
        <w:t>ROSS Opening Brief (3d Cir. Sept. 22, 2025): https://chatgptiseatingtheworld.com/wp-content/uploads/2025/09/ROSS-Opening-Brief-FILED-ca3.125346.28.0_1.pdf</w:t>
      </w:r>
    </w:p>
    <w:p w14:paraId="077D399B" w14:textId="77777777" w:rsidR="005A1278" w:rsidRDefault="00000000">
      <w:pPr>
        <w:pStyle w:val="ListParagraph"/>
        <w:numPr>
          <w:ilvl w:val="0"/>
          <w:numId w:val="2"/>
        </w:numPr>
        <w:spacing w:before="60" w:after="60" w:line="300" w:lineRule="auto"/>
      </w:pPr>
      <w:r>
        <w:t>Thomson Reuters Response Brief (3d Cir. Nov. 19, 2025): https://chatgptiseatingtheworld.com/wp-content/uploads/2025/11/88-Proof-Brief-Thomson-Reuters-Enterprise-Centre-GmbH-et-al-v.-Ross-Intelligence-Inc-Docket-No.-25-02153-3d-Cir.-Jun-24-2025.pdf</w:t>
      </w:r>
    </w:p>
    <w:p w14:paraId="6A17B4C4" w14:textId="77777777" w:rsidR="005A1278" w:rsidRDefault="00000000">
      <w:pPr>
        <w:pStyle w:val="ListParagraph"/>
        <w:numPr>
          <w:ilvl w:val="0"/>
          <w:numId w:val="2"/>
        </w:numPr>
        <w:spacing w:before="60" w:after="60" w:line="300" w:lineRule="auto"/>
      </w:pPr>
      <w:r>
        <w:lastRenderedPageBreak/>
        <w:t>EFF Amicus Brief: https://www.eff.org/files/2025/09/29/2025-09-26_brief_of_eff_et_al_thomson_reuters_v_ross_intelligence.pdf</w:t>
      </w:r>
    </w:p>
    <w:p w14:paraId="2A7EABA8" w14:textId="77777777" w:rsidR="005A1278" w:rsidRDefault="00000000">
      <w:pPr>
        <w:pStyle w:val="ListParagraph"/>
        <w:numPr>
          <w:ilvl w:val="0"/>
          <w:numId w:val="2"/>
        </w:numPr>
        <w:spacing w:before="60" w:after="60" w:line="300" w:lineRule="auto"/>
      </w:pPr>
      <w:r>
        <w:t>ASTM v. UpCodes (3d Cir. Apr. 7, 2026): https://storage.courtlistener.com/pdf/2026/04/07/american_society_for_testing__materials_v._upcodes_inc.pdf</w:t>
      </w:r>
    </w:p>
    <w:p w14:paraId="588C0773" w14:textId="77777777" w:rsidR="005A1278" w:rsidRDefault="00000000">
      <w:pPr>
        <w:pStyle w:val="ListParagraph"/>
        <w:numPr>
          <w:ilvl w:val="0"/>
          <w:numId w:val="2"/>
        </w:numPr>
        <w:spacing w:before="60" w:after="60" w:line="300" w:lineRule="auto"/>
      </w:pPr>
      <w:r>
        <w:t>LawSites supplemental-brief coverage (May 2026): https://www.lawnext.com/2026/05/each-side-claims-the-same-recent-ruling-supports-its-position-in-thomson-reuters-v-ross-appeal.html</w:t>
      </w:r>
    </w:p>
    <w:p w14:paraId="0F06A231" w14:textId="77777777" w:rsidR="005A1278" w:rsidRDefault="00000000">
      <w:pPr>
        <w:pStyle w:val="Heading3"/>
      </w:pPr>
      <w:r>
        <w:t>Key Doctrinal Authorities Cross-Referenced</w:t>
      </w:r>
    </w:p>
    <w:p w14:paraId="0C88FC5C" w14:textId="77777777" w:rsidR="005A1278" w:rsidRDefault="00000000">
      <w:pPr>
        <w:pStyle w:val="ListParagraph"/>
        <w:numPr>
          <w:ilvl w:val="0"/>
          <w:numId w:val="2"/>
        </w:numPr>
        <w:spacing w:before="60" w:after="60" w:line="300" w:lineRule="auto"/>
      </w:pPr>
      <w:r>
        <w:t>Andy Warhol Foundation for the Visual Arts, Inc. v. Goldsmith, 598 U.S. 508 (2023)</w:t>
      </w:r>
    </w:p>
    <w:p w14:paraId="7E45FEA1" w14:textId="77777777" w:rsidR="005A1278" w:rsidRDefault="00000000">
      <w:pPr>
        <w:pStyle w:val="ListParagraph"/>
        <w:numPr>
          <w:ilvl w:val="0"/>
          <w:numId w:val="2"/>
        </w:numPr>
        <w:spacing w:before="60" w:after="60" w:line="300" w:lineRule="auto"/>
      </w:pPr>
      <w:r>
        <w:t>Authors Guild v. Google, Inc., 804 F.3d 202 (2d Cir. 2015); Authors Guild, Inc. v. HathiTrust, 755 F.3d 87 (2d Cir. 2014)</w:t>
      </w:r>
    </w:p>
    <w:p w14:paraId="5E4662F1" w14:textId="77777777" w:rsidR="005A1278" w:rsidRDefault="00000000">
      <w:pPr>
        <w:pStyle w:val="ListParagraph"/>
        <w:numPr>
          <w:ilvl w:val="0"/>
          <w:numId w:val="2"/>
        </w:numPr>
        <w:spacing w:before="60" w:after="60" w:line="300" w:lineRule="auto"/>
      </w:pPr>
      <w:r>
        <w:t>Sega Enterprises Ltd. v. Accolade, Inc., 977 F.2d 1510 (9th Cir. 1992); Sony Computer Entertainment, Inc. v. Connectix Corp., 203 F.3d 596 (9th Cir. 2000)</w:t>
      </w:r>
    </w:p>
    <w:p w14:paraId="4D4EAC83" w14:textId="77777777" w:rsidR="005A1278" w:rsidRDefault="00000000">
      <w:pPr>
        <w:pStyle w:val="ListParagraph"/>
        <w:numPr>
          <w:ilvl w:val="0"/>
          <w:numId w:val="2"/>
        </w:numPr>
        <w:spacing w:before="60" w:after="60" w:line="300" w:lineRule="auto"/>
      </w:pPr>
      <w:r>
        <w:t>American Geophysical Union v. Texaco Inc., 60 F.3d 913 (2d Cir. 1994)</w:t>
      </w:r>
    </w:p>
    <w:p w14:paraId="5E3D0C2F" w14:textId="77777777" w:rsidR="005A1278" w:rsidRDefault="00000000">
      <w:pPr>
        <w:pStyle w:val="ListParagraph"/>
        <w:numPr>
          <w:ilvl w:val="0"/>
          <w:numId w:val="2"/>
        </w:numPr>
        <w:spacing w:before="60" w:after="60" w:line="300" w:lineRule="auto"/>
      </w:pPr>
      <w:r>
        <w:t>A&amp;M Records, Inc. v. Napster, Inc., 239 F.3d 1004 (9th Cir. 2001); MGM Studios, Inc. v. Grokster, Ltd., 545 U.S. 913 (2005)</w:t>
      </w:r>
    </w:p>
    <w:p w14:paraId="670944CF" w14:textId="77777777" w:rsidR="005A1278" w:rsidRDefault="00000000">
      <w:pPr>
        <w:pStyle w:val="ListParagraph"/>
        <w:numPr>
          <w:ilvl w:val="0"/>
          <w:numId w:val="2"/>
        </w:numPr>
        <w:spacing w:before="60" w:after="60" w:line="300" w:lineRule="auto"/>
      </w:pPr>
      <w:r>
        <w:t>Salinger v. Random House, Inc., 811 F.2d 90 (2d Cir. 1987); Castle Rock Entertainment, Inc. v. Carol Publishing Group, 150 F.3d 132 (2d Cir. 1998)</w:t>
      </w:r>
    </w:p>
    <w:p w14:paraId="69A19BF4" w14:textId="77777777" w:rsidR="005A1278" w:rsidRDefault="00000000">
      <w:pPr>
        <w:pStyle w:val="ListParagraph"/>
        <w:numPr>
          <w:ilvl w:val="0"/>
          <w:numId w:val="2"/>
        </w:numPr>
        <w:spacing w:before="60" w:after="60" w:line="300" w:lineRule="auto"/>
      </w:pPr>
      <w:r>
        <w:t>Stevens v. CoreLogic, Inc., 899 F.3d 666 (9th Cir. 2018); Mango v. BuzzFeed, Inc., 970 F.3d 167 (2d Cir. 2020)</w:t>
      </w:r>
    </w:p>
    <w:p w14:paraId="77E8C8E9" w14:textId="77777777" w:rsidR="005A1278" w:rsidRDefault="00000000">
      <w:pPr>
        <w:pStyle w:val="ListParagraph"/>
        <w:numPr>
          <w:ilvl w:val="0"/>
          <w:numId w:val="2"/>
        </w:numPr>
        <w:spacing w:before="60" w:after="60" w:line="300" w:lineRule="auto"/>
      </w:pPr>
      <w:r>
        <w:t>Sony Corp. of America v. Universal City Studios, Inc., 464 U.S. 417 (1984); Campbell v. Acuff-Rose Music, Inc., 510 U.S. 569 (1994); Harper &amp; Row Publishers, Inc. v. Nation Enterprises, 471 U.S. 539 (1985); Feist Publications, Inc. v. Rural Tel. Serv. Co., 499 U.S. 340 (1991)</w:t>
      </w:r>
    </w:p>
    <w:p w14:paraId="38709AB7" w14:textId="77777777" w:rsidR="005A1278" w:rsidRDefault="00000000">
      <w:pPr>
        <w:pStyle w:val="ListParagraph"/>
        <w:numPr>
          <w:ilvl w:val="0"/>
          <w:numId w:val="2"/>
        </w:numPr>
        <w:spacing w:before="60" w:after="60" w:line="300" w:lineRule="auto"/>
      </w:pPr>
      <w:r>
        <w:t>Wal-Mart Stores, Inc. v. Dukes, 564 U.S. 338 (2011); Reed Elsevier, Inc. v. Muchnick, 559 U.S. 154 (2010); Eldred v. Ashcroft, 537 U.S. 186 (2003); Golan v. Holder, 565 U.S. 302 (2012)</w:t>
      </w:r>
    </w:p>
    <w:p w14:paraId="52EC32EC" w14:textId="77777777" w:rsidR="005A1278" w:rsidRDefault="00000000">
      <w:pPr>
        <w:spacing w:before="480"/>
      </w:pPr>
      <w:r>
        <w:t xml:space="preserve"> </w:t>
      </w:r>
    </w:p>
    <w:p w14:paraId="4A6A7CC6" w14:textId="77777777" w:rsidR="005A1278" w:rsidRDefault="00000000">
      <w:pPr>
        <w:spacing w:before="200" w:after="100"/>
        <w:jc w:val="center"/>
      </w:pPr>
      <w:r>
        <w:rPr>
          <w:color w:val="5D7A00"/>
        </w:rPr>
        <w:t>—</w:t>
      </w:r>
    </w:p>
    <w:p w14:paraId="72418720" w14:textId="77777777" w:rsidR="005A1278" w:rsidRDefault="00000000">
      <w:pPr>
        <w:spacing w:before="100"/>
        <w:jc w:val="center"/>
      </w:pPr>
      <w:r>
        <w:rPr>
          <w:i/>
          <w:iCs/>
          <w:color w:val="545454"/>
          <w:sz w:val="18"/>
          <w:szCs w:val="18"/>
        </w:rPr>
        <w:t>This memorandum is prepared by Turnpage Digital Markets LLC for informational purposes only and does not constitute legal advice. Turnpage Digital Markets is not a law firm. Verify all docket entries, orders, and citations against the primary source before relying on this analysis in litigation.</w:t>
      </w:r>
    </w:p>
    <w:sectPr w:rsidR="005A1278">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Glantz" w:date="2026-05-25T13:16:00Z" w:initials="AG">
    <w:p w14:paraId="33DCE4B2" w14:textId="77777777" w:rsidR="00C36DCF" w:rsidRDefault="00C36DCF" w:rsidP="00C36DCF">
      <w:r>
        <w:rPr>
          <w:rStyle w:val="CommentReference"/>
        </w:rPr>
        <w:annotationRef/>
      </w:r>
      <w:r>
        <w:rPr>
          <w:sz w:val="20"/>
          <w:szCs w:val="20"/>
        </w:rPr>
        <w:t>Need to see the full build up of this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DCE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E65A68" w16cex:dateUtc="2026-05-25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DCE4B2" w16cid:durableId="38E65A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F2D0A" w14:textId="77777777" w:rsidR="00EB0F34" w:rsidRDefault="00EB0F34">
      <w:r>
        <w:separator/>
      </w:r>
    </w:p>
  </w:endnote>
  <w:endnote w:type="continuationSeparator" w:id="0">
    <w:p w14:paraId="2B02CD47" w14:textId="77777777" w:rsidR="00EB0F34" w:rsidRDefault="00EB0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87EA" w14:textId="77777777" w:rsidR="005A1278" w:rsidRDefault="00000000">
    <w:pPr>
      <w:tabs>
        <w:tab w:val="right" w:pos="9026"/>
      </w:tabs>
    </w:pPr>
    <w:r>
      <w:rPr>
        <w:color w:val="545454"/>
        <w:sz w:val="16"/>
        <w:szCs w:val="16"/>
      </w:rPr>
      <w:t>May 25, 2026</w:t>
    </w:r>
    <w:r>
      <w:rPr>
        <w:color w:val="545454"/>
        <w:sz w:val="16"/>
        <w:szCs w:val="16"/>
      </w:rPr>
      <w:tab/>
      <w:t xml:space="preserve">Page </w:t>
    </w:r>
    <w:r>
      <w:rPr>
        <w:color w:val="545454"/>
        <w:sz w:val="16"/>
        <w:szCs w:val="16"/>
      </w:rPr>
      <w:fldChar w:fldCharType="begin"/>
    </w:r>
    <w:r>
      <w:rPr>
        <w:color w:val="545454"/>
        <w:sz w:val="16"/>
        <w:szCs w:val="16"/>
      </w:rPr>
      <w:instrText>PAGE</w:instrText>
    </w:r>
    <w:r>
      <w:rPr>
        <w:color w:val="545454"/>
        <w:sz w:val="16"/>
        <w:szCs w:val="16"/>
      </w:rPr>
      <w:fldChar w:fldCharType="separate"/>
    </w:r>
    <w:r w:rsidR="00C36DCF">
      <w:rPr>
        <w:noProof/>
        <w:color w:val="545454"/>
        <w:sz w:val="16"/>
        <w:szCs w:val="16"/>
      </w:rPr>
      <w:t>1</w:t>
    </w:r>
    <w:r>
      <w:rPr>
        <w:color w:val="5454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37FCC" w14:textId="77777777" w:rsidR="00EB0F34" w:rsidRDefault="00EB0F34">
      <w:r>
        <w:separator/>
      </w:r>
    </w:p>
  </w:footnote>
  <w:footnote w:type="continuationSeparator" w:id="0">
    <w:p w14:paraId="4289358E" w14:textId="77777777" w:rsidR="00EB0F34" w:rsidRDefault="00EB0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B4C5" w14:textId="77777777" w:rsidR="005A1278" w:rsidRDefault="00000000">
    <w:r>
      <w:rPr>
        <w:color w:val="545454"/>
        <w:spacing w:val="30"/>
        <w:sz w:val="16"/>
        <w:szCs w:val="16"/>
      </w:rPr>
      <w:t>TURNPAGE DIGITAL MARKETS  ·  LLM COPYRIGHT MEMO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B7A71"/>
    <w:multiLevelType w:val="hybridMultilevel"/>
    <w:tmpl w:val="0902DB06"/>
    <w:lvl w:ilvl="0" w:tplc="1B6A39AE">
      <w:start w:val="1"/>
      <w:numFmt w:val="bullet"/>
      <w:lvlText w:val="•"/>
      <w:lvlJc w:val="left"/>
      <w:pPr>
        <w:ind w:left="720" w:hanging="360"/>
      </w:pPr>
    </w:lvl>
    <w:lvl w:ilvl="1" w:tplc="45B820F6">
      <w:numFmt w:val="decimal"/>
      <w:lvlText w:val=""/>
      <w:lvlJc w:val="left"/>
    </w:lvl>
    <w:lvl w:ilvl="2" w:tplc="DD20C7A2">
      <w:numFmt w:val="decimal"/>
      <w:lvlText w:val=""/>
      <w:lvlJc w:val="left"/>
    </w:lvl>
    <w:lvl w:ilvl="3" w:tplc="4824EACA">
      <w:numFmt w:val="decimal"/>
      <w:lvlText w:val=""/>
      <w:lvlJc w:val="left"/>
    </w:lvl>
    <w:lvl w:ilvl="4" w:tplc="D1262630">
      <w:numFmt w:val="decimal"/>
      <w:lvlText w:val=""/>
      <w:lvlJc w:val="left"/>
    </w:lvl>
    <w:lvl w:ilvl="5" w:tplc="5074CEC2">
      <w:numFmt w:val="decimal"/>
      <w:lvlText w:val=""/>
      <w:lvlJc w:val="left"/>
    </w:lvl>
    <w:lvl w:ilvl="6" w:tplc="70783722">
      <w:numFmt w:val="decimal"/>
      <w:lvlText w:val=""/>
      <w:lvlJc w:val="left"/>
    </w:lvl>
    <w:lvl w:ilvl="7" w:tplc="91060434">
      <w:numFmt w:val="decimal"/>
      <w:lvlText w:val=""/>
      <w:lvlJc w:val="left"/>
    </w:lvl>
    <w:lvl w:ilvl="8" w:tplc="8D7C3294">
      <w:numFmt w:val="decimal"/>
      <w:lvlText w:val=""/>
      <w:lvlJc w:val="left"/>
    </w:lvl>
  </w:abstractNum>
  <w:abstractNum w:abstractNumId="1" w15:restartNumberingAfterBreak="0">
    <w:nsid w:val="74FF2C92"/>
    <w:multiLevelType w:val="hybridMultilevel"/>
    <w:tmpl w:val="3F2615DE"/>
    <w:lvl w:ilvl="0" w:tplc="6D84E1BA">
      <w:start w:val="1"/>
      <w:numFmt w:val="bullet"/>
      <w:lvlText w:val="●"/>
      <w:lvlJc w:val="left"/>
      <w:pPr>
        <w:ind w:left="720" w:hanging="360"/>
      </w:pPr>
    </w:lvl>
    <w:lvl w:ilvl="1" w:tplc="18F272BE">
      <w:start w:val="1"/>
      <w:numFmt w:val="bullet"/>
      <w:lvlText w:val="○"/>
      <w:lvlJc w:val="left"/>
      <w:pPr>
        <w:ind w:left="1440" w:hanging="360"/>
      </w:pPr>
    </w:lvl>
    <w:lvl w:ilvl="2" w:tplc="58BC9896">
      <w:start w:val="1"/>
      <w:numFmt w:val="bullet"/>
      <w:lvlText w:val="■"/>
      <w:lvlJc w:val="left"/>
      <w:pPr>
        <w:ind w:left="2160" w:hanging="360"/>
      </w:pPr>
    </w:lvl>
    <w:lvl w:ilvl="3" w:tplc="4B2C4484">
      <w:start w:val="1"/>
      <w:numFmt w:val="bullet"/>
      <w:lvlText w:val="●"/>
      <w:lvlJc w:val="left"/>
      <w:pPr>
        <w:ind w:left="2880" w:hanging="360"/>
      </w:pPr>
    </w:lvl>
    <w:lvl w:ilvl="4" w:tplc="E2882B24">
      <w:start w:val="1"/>
      <w:numFmt w:val="bullet"/>
      <w:lvlText w:val="○"/>
      <w:lvlJc w:val="left"/>
      <w:pPr>
        <w:ind w:left="3600" w:hanging="360"/>
      </w:pPr>
    </w:lvl>
    <w:lvl w:ilvl="5" w:tplc="6FEE8A78">
      <w:start w:val="1"/>
      <w:numFmt w:val="bullet"/>
      <w:lvlText w:val="■"/>
      <w:lvlJc w:val="left"/>
      <w:pPr>
        <w:ind w:left="4320" w:hanging="360"/>
      </w:pPr>
    </w:lvl>
    <w:lvl w:ilvl="6" w:tplc="A504F538">
      <w:start w:val="1"/>
      <w:numFmt w:val="bullet"/>
      <w:lvlText w:val="●"/>
      <w:lvlJc w:val="left"/>
      <w:pPr>
        <w:ind w:left="5040" w:hanging="360"/>
      </w:pPr>
    </w:lvl>
    <w:lvl w:ilvl="7" w:tplc="11CE7318">
      <w:start w:val="1"/>
      <w:numFmt w:val="bullet"/>
      <w:lvlText w:val="●"/>
      <w:lvlJc w:val="left"/>
      <w:pPr>
        <w:ind w:left="5760" w:hanging="360"/>
      </w:pPr>
    </w:lvl>
    <w:lvl w:ilvl="8" w:tplc="03646AD6">
      <w:start w:val="1"/>
      <w:numFmt w:val="bullet"/>
      <w:lvlText w:val="●"/>
      <w:lvlJc w:val="left"/>
      <w:pPr>
        <w:ind w:left="6480" w:hanging="360"/>
      </w:pPr>
    </w:lvl>
  </w:abstractNum>
  <w:num w:numId="1" w16cid:durableId="1041399204">
    <w:abstractNumId w:val="1"/>
    <w:lvlOverride w:ilvl="0">
      <w:startOverride w:val="1"/>
    </w:lvlOverride>
  </w:num>
  <w:num w:numId="2" w16cid:durableId="6233912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Glantz">
    <w15:presenceInfo w15:providerId="AD" w15:userId="S::andrew@waquoitcapital.com::13c4593b-162f-428f-88e8-4859563538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78"/>
    <w:rsid w:val="00262D62"/>
    <w:rsid w:val="005A1278"/>
    <w:rsid w:val="00603E92"/>
    <w:rsid w:val="00C36DCF"/>
    <w:rsid w:val="00DC22AA"/>
    <w:rsid w:val="00E82BBD"/>
    <w:rsid w:val="00EB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55C96D"/>
  <w15:docId w15:val="{B68C8A0E-F0E3-7E41-9161-CEED58F9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A0A0A"/>
      <w:sz w:val="36"/>
      <w:szCs w:val="36"/>
    </w:rPr>
  </w:style>
  <w:style w:type="paragraph" w:styleId="Heading2">
    <w:name w:val="heading 2"/>
    <w:uiPriority w:val="9"/>
    <w:unhideWhenUsed/>
    <w:qFormat/>
    <w:pPr>
      <w:spacing w:before="280" w:after="140"/>
      <w:outlineLvl w:val="1"/>
    </w:pPr>
    <w:rPr>
      <w:b/>
      <w:bCs/>
      <w:color w:val="0A0A0A"/>
      <w:sz w:val="28"/>
      <w:szCs w:val="28"/>
    </w:rPr>
  </w:style>
  <w:style w:type="paragraph" w:styleId="Heading3">
    <w:name w:val="heading 3"/>
    <w:uiPriority w:val="9"/>
    <w:unhideWhenUsed/>
    <w:qFormat/>
    <w:pPr>
      <w:spacing w:before="200" w:after="100"/>
      <w:outlineLvl w:val="2"/>
    </w:pPr>
    <w:rPr>
      <w:b/>
      <w:bCs/>
      <w:color w:val="0A0A0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36DCF"/>
    <w:rPr>
      <w:sz w:val="16"/>
      <w:szCs w:val="16"/>
    </w:rPr>
  </w:style>
  <w:style w:type="paragraph" w:styleId="CommentText">
    <w:name w:val="annotation text"/>
    <w:basedOn w:val="Normal"/>
    <w:link w:val="CommentTextChar"/>
    <w:uiPriority w:val="99"/>
    <w:semiHidden/>
    <w:unhideWhenUsed/>
    <w:rsid w:val="00C36DCF"/>
    <w:rPr>
      <w:sz w:val="20"/>
      <w:szCs w:val="20"/>
    </w:rPr>
  </w:style>
  <w:style w:type="character" w:customStyle="1" w:styleId="CommentTextChar">
    <w:name w:val="Comment Text Char"/>
    <w:basedOn w:val="DefaultParagraphFont"/>
    <w:link w:val="CommentText"/>
    <w:uiPriority w:val="99"/>
    <w:semiHidden/>
    <w:rsid w:val="00C36DCF"/>
    <w:rPr>
      <w:sz w:val="20"/>
      <w:szCs w:val="20"/>
    </w:rPr>
  </w:style>
  <w:style w:type="paragraph" w:styleId="CommentSubject">
    <w:name w:val="annotation subject"/>
    <w:basedOn w:val="CommentText"/>
    <w:next w:val="CommentText"/>
    <w:link w:val="CommentSubjectChar"/>
    <w:uiPriority w:val="99"/>
    <w:semiHidden/>
    <w:unhideWhenUsed/>
    <w:rsid w:val="00C36DCF"/>
    <w:rPr>
      <w:b/>
      <w:bCs/>
    </w:rPr>
  </w:style>
  <w:style w:type="character" w:customStyle="1" w:styleId="CommentSubjectChar">
    <w:name w:val="Comment Subject Char"/>
    <w:basedOn w:val="CommentTextChar"/>
    <w:link w:val="CommentSubject"/>
    <w:uiPriority w:val="99"/>
    <w:semiHidden/>
    <w:rsid w:val="00C36D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13411</Words>
  <Characters>76449</Characters>
  <Application>Microsoft Office Word</Application>
  <DocSecurity>0</DocSecurity>
  <Lines>1019</Lines>
  <Paragraphs>219</Paragraphs>
  <ScaleCrop>false</ScaleCrop>
  <HeadingPairs>
    <vt:vector size="2" baseType="variant">
      <vt:variant>
        <vt:lpstr>Title</vt:lpstr>
      </vt:variant>
      <vt:variant>
        <vt:i4>1</vt:i4>
      </vt:variant>
    </vt:vector>
  </HeadingPairs>
  <TitlesOfParts>
    <vt:vector size="1" baseType="lpstr">
      <vt:lpstr>The LLM Copyright Docket — Legal Arguments, Adversarial Briefs, and a Probability-Weighted Forecast</vt:lpstr>
    </vt:vector>
  </TitlesOfParts>
  <Company/>
  <LinksUpToDate>false</LinksUpToDate>
  <CharactersWithSpaces>89641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LLM Copyright Docket — Legal Arguments, Adversarial Briefs, and a Probability-Weighted Forecast</dc:title>
  <dc:creator>Turnpage Digital Markets LLC</dc:creator>
  <dc:description>Long-form memorandum on Bartz v. Anthropic, Kadrey v. Meta, In re OpenAI Copyright Litigation, and Thomson Reuters v. ROSS Intelligence</dc:description>
  <cp:lastModifiedBy>Andrew Glantz</cp:lastModifiedBy>
  <cp:revision>3</cp:revision>
  <dcterms:created xsi:type="dcterms:W3CDTF">2026-05-25T15:43:00Z</dcterms:created>
  <dcterms:modified xsi:type="dcterms:W3CDTF">2026-05-29T22:45:00Z</dcterms:modified>
</cp:coreProperties>
</file>