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5A6B00"/>
          <w:sz w:val="24"/>
          <w:szCs w:val="24"/>
        </w:rPr>
        <w:t xml:space="preserve">Turnpage Digital Markets</w:t>
      </w:r>
    </w:p>
    <w:p>
      <w:pPr>
        <w:pStyle w:val="Title"/>
        <w:spacing w:after="320" w:before="0"/>
        <w:jc w:val="center"/>
      </w:pPr>
      <w:r>
        <w:rPr>
          <w:rFonts w:ascii="Arial" w:cs="Arial" w:eastAsia="Arial" w:hAnsi="Arial"/>
          <w:b/>
          <w:bCs/>
          <w:sz w:val="44"/>
          <w:szCs w:val="44"/>
        </w:rPr>
        <w:t xml:space="preserve">Website Copy — Editable Source</w:t>
      </w:r>
    </w:p>
    <w:p>
      <w:pPr>
        <w:pStyle w:val="Heading2"/>
        <w:spacing w:after="140" w:before="320"/>
      </w:pPr>
      <w:r>
        <w:rPr>
          <w:rFonts w:ascii="Arial" w:cs="Arial" w:eastAsia="Arial" w:hAnsi="Arial"/>
          <w:b/>
          <w:bCs/>
          <w:sz w:val="28"/>
          <w:szCs w:val="28"/>
        </w:rPr>
        <w:t xml:space="preserve">How to use this document</w:t>
      </w:r>
    </w:p>
    <w:p>
      <w:pPr>
        <w:spacing w:after="120"/>
      </w:pPr>
      <w:r>
        <w:rPr>
          <w:rFonts w:ascii="Arial" w:cs="Arial" w:eastAsia="Arial" w:hAnsi="Arial"/>
          <w:sz w:val="22"/>
          <w:szCs w:val="22"/>
        </w:rPr>
        <w:t xml:space="preserve">This is every piece of editable text that appears on turnpagedigital.com, organized by page. Each section has a small italic label describing what the text is and where it appears, followed by the current wording in a green-bordered box.</w:t>
      </w:r>
    </w:p>
    <w:p>
      <w:pPr>
        <w:spacing w:after="120"/>
      </w:pPr>
      <w:r>
        <w:rPr>
          <w:rFonts w:ascii="Arial" w:cs="Arial" w:eastAsia="Arial" w:hAnsi="Arial"/>
          <w:sz w:val="22"/>
          <w:szCs w:val="22"/>
        </w:rPr>
        <w:t xml:space="preserve">To edit the copy, just type over the text in the green-bordered boxes. Don't worry about preserving formatting — I'll handle that when applying your changes.</w:t>
      </w:r>
    </w:p>
    <w:p>
      <w:pPr>
        <w:spacing w:after="120"/>
      </w:pPr>
      <w:r>
        <w:rPr>
          <w:rFonts w:ascii="Arial" w:cs="Arial" w:eastAsia="Arial" w:hAnsi="Arial"/>
          <w:sz w:val="22"/>
          <w:szCs w:val="22"/>
        </w:rPr>
        <w:t xml:space="preserve">When you're finished, save the file and upload it back to chat. I'll read every box, diff it against the live site, and update the source code with your edits.</w:t>
      </w:r>
    </w:p>
    <w:p>
      <w:pPr>
        <w:spacing w:after="120"/>
      </w:pPr>
      <w:r>
        <w:rPr>
          <w:rFonts w:ascii="Arial" w:cs="Arial" w:eastAsia="Arial" w:hAnsi="Arial"/>
          <w:sz w:val="22"/>
          <w:szCs w:val="22"/>
        </w:rPr>
        <w:t xml:space="preserve">Anything in [SQUARE BRACKETS] is a placeholder waiting for your content.</w:t>
      </w:r>
    </w:p>
    <w:p>
      <w:pPr>
        <w:pStyle w:val="Heading2"/>
        <w:spacing w:after="140" w:before="320"/>
      </w:pPr>
      <w:r>
        <w:rPr>
          <w:rFonts w:ascii="Arial" w:cs="Arial" w:eastAsia="Arial" w:hAnsi="Arial"/>
          <w:b/>
          <w:bCs/>
          <w:sz w:val="28"/>
          <w:szCs w:val="28"/>
        </w:rPr>
        <w:t xml:space="preserve">Pages covered in this document</w:t>
      </w:r>
    </w:p>
    <w:p>
      <w:pPr>
        <w:pStyle w:val="ListParagraph"/>
        <w:numPr>
          <w:ilvl w:val="0"/>
          <w:numId w:val="2"/>
        </w:numPr>
        <w:spacing w:after="80"/>
      </w:pPr>
      <w:r>
        <w:rPr>
          <w:rFonts w:ascii="Arial" w:cs="Arial" w:eastAsia="Arial" w:hAnsi="Arial"/>
          <w:sz w:val="22"/>
          <w:szCs w:val="22"/>
        </w:rPr>
        <w:t xml:space="preserve">Site-wide / SEO (titles, meta descriptions)</w:t>
      </w:r>
    </w:p>
    <w:p>
      <w:pPr>
        <w:pStyle w:val="ListParagraph"/>
        <w:numPr>
          <w:ilvl w:val="0"/>
          <w:numId w:val="2"/>
        </w:numPr>
        <w:spacing w:after="80"/>
      </w:pPr>
      <w:r>
        <w:rPr>
          <w:rFonts w:ascii="Arial" w:cs="Arial" w:eastAsia="Arial" w:hAnsi="Arial"/>
          <w:sz w:val="22"/>
          <w:szCs w:val="22"/>
        </w:rPr>
        <w:t xml:space="preserve">Navigation bar</w:t>
      </w:r>
    </w:p>
    <w:p>
      <w:pPr>
        <w:pStyle w:val="ListParagraph"/>
        <w:numPr>
          <w:ilvl w:val="0"/>
          <w:numId w:val="2"/>
        </w:numPr>
        <w:spacing w:after="80"/>
      </w:pPr>
      <w:r>
        <w:rPr>
          <w:rFonts w:ascii="Arial" w:cs="Arial" w:eastAsia="Arial" w:hAnsi="Arial"/>
          <w:sz w:val="22"/>
          <w:szCs w:val="22"/>
        </w:rPr>
        <w:t xml:space="preserve">Footer</w:t>
      </w:r>
    </w:p>
    <w:p>
      <w:pPr>
        <w:pStyle w:val="ListParagraph"/>
        <w:numPr>
          <w:ilvl w:val="0"/>
          <w:numId w:val="2"/>
        </w:numPr>
        <w:spacing w:after="80"/>
      </w:pPr>
      <w:r>
        <w:rPr>
          <w:rFonts w:ascii="Arial" w:cs="Arial" w:eastAsia="Arial" w:hAnsi="Arial"/>
          <w:sz w:val="22"/>
          <w:szCs w:val="22"/>
        </w:rPr>
        <w:t xml:space="preserve">Home page</w:t>
      </w:r>
    </w:p>
    <w:p>
      <w:pPr>
        <w:pStyle w:val="ListParagraph"/>
        <w:numPr>
          <w:ilvl w:val="0"/>
          <w:numId w:val="2"/>
        </w:numPr>
        <w:spacing w:after="80"/>
      </w:pPr>
      <w:r>
        <w:rPr>
          <w:rFonts w:ascii="Arial" w:cs="Arial" w:eastAsia="Arial" w:hAnsi="Arial"/>
          <w:sz w:val="22"/>
          <w:szCs w:val="22"/>
        </w:rPr>
        <w:t xml:space="preserve">AI Copyright sub-brand page</w:t>
      </w:r>
    </w:p>
    <w:p>
      <w:pPr>
        <w:pStyle w:val="ListParagraph"/>
        <w:numPr>
          <w:ilvl w:val="0"/>
          <w:numId w:val="2"/>
        </w:numPr>
        <w:spacing w:after="80"/>
      </w:pPr>
      <w:r>
        <w:rPr>
          <w:rFonts w:ascii="Arial" w:cs="Arial" w:eastAsia="Arial" w:hAnsi="Arial"/>
          <w:sz w:val="22"/>
          <w:szCs w:val="22"/>
        </w:rPr>
        <w:t xml:space="preserve">Crypto Claims sub-brand page</w:t>
      </w:r>
    </w:p>
    <w:p>
      <w:pPr>
        <w:pStyle w:val="ListParagraph"/>
        <w:numPr>
          <w:ilvl w:val="0"/>
          <w:numId w:val="2"/>
        </w:numPr>
        <w:spacing w:after="80"/>
      </w:pPr>
      <w:r>
        <w:rPr>
          <w:rFonts w:ascii="Arial" w:cs="Arial" w:eastAsia="Arial" w:hAnsi="Arial"/>
          <w:sz w:val="22"/>
          <w:szCs w:val="22"/>
        </w:rPr>
        <w:t xml:space="preserve">Briefings index</w:t>
      </w:r>
    </w:p>
    <w:p>
      <w:pPr>
        <w:pStyle w:val="ListParagraph"/>
        <w:numPr>
          <w:ilvl w:val="0"/>
          <w:numId w:val="2"/>
        </w:numPr>
        <w:spacing w:after="80"/>
      </w:pPr>
      <w:r>
        <w:rPr>
          <w:rFonts w:ascii="Arial" w:cs="Arial" w:eastAsia="Arial" w:hAnsi="Arial"/>
          <w:sz w:val="22"/>
          <w:szCs w:val="22"/>
        </w:rPr>
        <w:t xml:space="preserve">About page</w:t>
      </w:r>
    </w:p>
    <w:p>
      <w:pPr>
        <w:pStyle w:val="ListParagraph"/>
        <w:numPr>
          <w:ilvl w:val="0"/>
          <w:numId w:val="2"/>
        </w:numPr>
        <w:spacing w:after="80"/>
      </w:pPr>
      <w:r>
        <w:rPr>
          <w:rFonts w:ascii="Arial" w:cs="Arial" w:eastAsia="Arial" w:hAnsi="Arial"/>
          <w:sz w:val="22"/>
          <w:szCs w:val="22"/>
        </w:rPr>
        <w:t xml:space="preserve">Contact / Get in Touch</w:t>
      </w:r>
    </w:p>
    <w:p>
      <w:pPr>
        <w:pStyle w:val="ListParagraph"/>
        <w:numPr>
          <w:ilvl w:val="0"/>
          <w:numId w:val="2"/>
        </w:numPr>
        <w:spacing w:after="80"/>
      </w:pPr>
      <w:r>
        <w:rPr>
          <w:rFonts w:ascii="Arial" w:cs="Arial" w:eastAsia="Arial" w:hAnsi="Arial"/>
          <w:sz w:val="22"/>
          <w:szCs w:val="22"/>
        </w:rPr>
        <w:t xml:space="preserve">Privacy Policy</w:t>
      </w:r>
    </w:p>
    <w:p>
      <w:pPr>
        <w:pStyle w:val="ListParagraph"/>
        <w:numPr>
          <w:ilvl w:val="0"/>
          <w:numId w:val="2"/>
        </w:numPr>
        <w:spacing w:after="80"/>
      </w:pPr>
      <w:r>
        <w:rPr>
          <w:rFonts w:ascii="Arial" w:cs="Arial" w:eastAsia="Arial" w:hAnsi="Arial"/>
          <w:sz w:val="22"/>
          <w:szCs w:val="22"/>
        </w:rPr>
        <w:t xml:space="preserve">Terms of Use</w:t>
      </w:r>
    </w:p>
    <w:p>
      <w:pPr>
        <w:pStyle w:val="ListParagraph"/>
        <w:numPr>
          <w:ilvl w:val="0"/>
          <w:numId w:val="2"/>
        </w:numPr>
        <w:spacing w:after="80"/>
      </w:pPr>
      <w:r>
        <w:rPr>
          <w:rFonts w:ascii="Arial" w:cs="Arial" w:eastAsia="Arial" w:hAnsi="Arial"/>
          <w:sz w:val="22"/>
          <w:szCs w:val="22"/>
        </w:rPr>
        <w:t xml:space="preserve">Top 12 Cases (used on the AI Copyright page)</w:t>
      </w:r>
    </w:p>
    <w:p>
      <w:pPr>
        <w:pStyle w:val="Heading1"/>
        <w:pageBreakBefore/>
        <w:spacing w:after="200" w:before="480"/>
      </w:pPr>
      <w:r>
        <w:rPr>
          <w:rFonts w:ascii="Arial" w:cs="Arial" w:eastAsia="Arial" w:hAnsi="Arial"/>
          <w:b/>
          <w:bCs/>
          <w:sz w:val="36"/>
          <w:szCs w:val="36"/>
        </w:rPr>
        <w:t xml:space="preserve">Site-wide &amp; SEO</w:t>
      </w:r>
    </w:p>
    <w:p>
      <w:pPr>
        <w:spacing w:after="120"/>
      </w:pPr>
      <w:r>
        <w:rPr>
          <w:rFonts w:ascii="Arial" w:cs="Arial" w:eastAsia="Arial" w:hAnsi="Arial"/>
          <w:i/>
          <w:iCs/>
          <w:color w:val="666666"/>
          <w:sz w:val="22"/>
          <w:szCs w:val="22"/>
        </w:rPr>
        <w:t xml:space="preserve">These show up in search results, browser tabs, and link previews when someone shares the site on Slack, LinkedIn, etc.</w:t>
      </w:r>
    </w:p>
    <w:p>
      <w:pPr>
        <w:spacing w:after="60" w:before="200"/>
      </w:pPr>
      <w:r>
        <w:rPr>
          <w:rFonts w:ascii="Arial" w:cs="Arial" w:eastAsia="Arial" w:hAnsi="Arial"/>
          <w:i/>
          <w:iCs/>
          <w:color w:val="666666"/>
          <w:sz w:val="18"/>
          <w:szCs w:val="18"/>
        </w:rPr>
        <w:t xml:space="preserve">Browser tab title (home page)</w:t>
      </w:r>
    </w:p>
    <w:p>
      <w:pPr>
        <w:pBdr>
          <w:left w:val="single" w:color="5A6B00" w:sz="16" w:space="8"/>
        </w:pBdr>
        <w:spacing w:after="120" w:before="0"/>
        <w:ind w:left="240"/>
      </w:pPr>
      <w:r>
        <w:rPr>
          <w:rFonts w:ascii="Arial" w:cs="Arial" w:eastAsia="Arial" w:hAnsi="Arial"/>
          <w:sz w:val="22"/>
          <w:szCs w:val="22"/>
        </w:rPr>
        <w:t xml:space="preserve">Turnpage Digital Markets — The OTC Desk for Rights Holders</w:t>
      </w:r>
    </w:p>
    <w:p>
      <w:pPr>
        <w:spacing w:after="60" w:before="200"/>
      </w:pPr>
      <w:r>
        <w:rPr>
          <w:rFonts w:ascii="Arial" w:cs="Arial" w:eastAsia="Arial" w:hAnsi="Arial"/>
          <w:i/>
          <w:iCs/>
          <w:color w:val="666666"/>
          <w:sz w:val="18"/>
          <w:szCs w:val="18"/>
        </w:rPr>
        <w:t xml:space="preserve">Meta description (search-result snippet)</w:t>
      </w:r>
    </w:p>
    <w:p>
      <w:pPr>
        <w:pBdr>
          <w:left w:val="single" w:color="5A6B00" w:sz="16" w:space="8"/>
        </w:pBdr>
        <w:spacing w:after="120" w:before="0"/>
        <w:ind w:left="240"/>
      </w:pPr>
      <w:r>
        <w:rPr>
          <w:rFonts w:ascii="Arial" w:cs="Arial" w:eastAsia="Arial" w:hAnsi="Arial"/>
          <w:sz w:val="22"/>
          <w:szCs w:val="22"/>
        </w:rPr>
        <w:t xml:space="preserve">Capital and advisory for individuals and institutions with claims to compensation — across the largest AI copyright class actions, crypto bankruptcies, and complex litigation in the world. Over $1 billion in claims liquidated.</w:t>
      </w:r>
    </w:p>
    <w:p>
      <w:pPr>
        <w:spacing w:after="60" w:before="200"/>
      </w:pPr>
      <w:r>
        <w:rPr>
          <w:rFonts w:ascii="Arial" w:cs="Arial" w:eastAsia="Arial" w:hAnsi="Arial"/>
          <w:i/>
          <w:iCs/>
          <w:color w:val="666666"/>
          <w:sz w:val="18"/>
          <w:szCs w:val="18"/>
        </w:rPr>
        <w:t xml:space="preserve">OG / Twitter title (link previews)</w:t>
      </w:r>
    </w:p>
    <w:p>
      <w:pPr>
        <w:pBdr>
          <w:left w:val="single" w:color="5A6B00" w:sz="16" w:space="8"/>
        </w:pBdr>
        <w:spacing w:after="120" w:before="0"/>
        <w:ind w:left="240"/>
      </w:pPr>
      <w:r>
        <w:rPr>
          <w:rFonts w:ascii="Arial" w:cs="Arial" w:eastAsia="Arial" w:hAnsi="Arial"/>
          <w:sz w:val="22"/>
          <w:szCs w:val="22"/>
        </w:rPr>
        <w:t xml:space="preserve">Turnpage Digital Markets — The OTC Desk for Rights Holders</w:t>
      </w:r>
    </w:p>
    <w:p>
      <w:pPr>
        <w:spacing w:after="60" w:before="200"/>
      </w:pPr>
      <w:r>
        <w:rPr>
          <w:rFonts w:ascii="Arial" w:cs="Arial" w:eastAsia="Arial" w:hAnsi="Arial"/>
          <w:i/>
          <w:iCs/>
          <w:color w:val="666666"/>
          <w:sz w:val="18"/>
          <w:szCs w:val="18"/>
        </w:rPr>
        <w:t xml:space="preserve">OG / Twitter description (link previews)</w:t>
      </w:r>
    </w:p>
    <w:p>
      <w:pPr>
        <w:pBdr>
          <w:left w:val="single" w:color="5A6B00" w:sz="16" w:space="8"/>
        </w:pBdr>
        <w:spacing w:after="120" w:before="0"/>
        <w:ind w:left="240"/>
      </w:pPr>
      <w:r>
        <w:rPr>
          <w:rFonts w:ascii="Arial" w:cs="Arial" w:eastAsia="Arial" w:hAnsi="Arial"/>
          <w:sz w:val="22"/>
          <w:szCs w:val="22"/>
        </w:rPr>
        <w:t xml:space="preserve">Capital and advisory for rights holders. AI copyright class actions, crypto bankruptcies, complex litigation — over $1B liquidated.</w:t>
      </w:r>
    </w:p>
    <w:p>
      <w:pPr>
        <w:pStyle w:val="Heading1"/>
        <w:pageBreakBefore/>
        <w:spacing w:after="200" w:before="480"/>
      </w:pPr>
      <w:r>
        <w:rPr>
          <w:rFonts w:ascii="Arial" w:cs="Arial" w:eastAsia="Arial" w:hAnsi="Arial"/>
          <w:b/>
          <w:bCs/>
          <w:sz w:val="36"/>
          <w:szCs w:val="36"/>
        </w:rPr>
        <w:t xml:space="preserve">Navigation Bar</w:t>
      </w:r>
    </w:p>
    <w:p>
      <w:pPr>
        <w:spacing w:after="120"/>
      </w:pPr>
      <w:r>
        <w:rPr>
          <w:rFonts w:ascii="Arial" w:cs="Arial" w:eastAsia="Arial" w:hAnsi="Arial"/>
          <w:i/>
          <w:iCs/>
          <w:color w:val="666666"/>
          <w:sz w:val="22"/>
          <w:szCs w:val="22"/>
        </w:rPr>
        <w:t xml:space="preserve">Fixed across the top of every page on desktop. Collapses to a hamburger menu on mobile.</w:t>
      </w:r>
    </w:p>
    <w:p>
      <w:pPr>
        <w:spacing w:after="60" w:before="200"/>
      </w:pPr>
      <w:r>
        <w:rPr>
          <w:rFonts w:ascii="Arial" w:cs="Arial" w:eastAsia="Arial" w:hAnsi="Arial"/>
          <w:i/>
          <w:iCs/>
          <w:color w:val="666666"/>
          <w:sz w:val="18"/>
          <w:szCs w:val="18"/>
        </w:rPr>
        <w:t xml:space="preserve">Logo alt text (also screen-reader label)</w:t>
      </w:r>
    </w:p>
    <w:p>
      <w:pPr>
        <w:pBdr>
          <w:left w:val="single" w:color="5A6B00" w:sz="16" w:space="8"/>
        </w:pBdr>
        <w:spacing w:after="120" w:before="0"/>
        <w:ind w:left="240"/>
      </w:pPr>
      <w:r>
        <w:rPr>
          <w:rFonts w:ascii="Arial" w:cs="Arial" w:eastAsia="Arial" w:hAnsi="Arial"/>
          <w:sz w:val="22"/>
          <w:szCs w:val="22"/>
        </w:rPr>
        <w:t xml:space="preserve">Turnpage Digital Markets</w:t>
      </w:r>
    </w:p>
    <w:p>
      <w:pPr>
        <w:pStyle w:val="Heading3"/>
        <w:spacing w:after="100" w:before="240"/>
      </w:pPr>
      <w:r>
        <w:rPr>
          <w:rFonts w:ascii="Arial" w:cs="Arial" w:eastAsia="Arial" w:hAnsi="Arial"/>
          <w:b/>
          <w:bCs/>
          <w:color w:val="404040"/>
          <w:sz w:val="24"/>
          <w:szCs w:val="24"/>
        </w:rPr>
        <w:t xml:space="preserve">Nav links</w:t>
      </w:r>
    </w:p>
    <w:p>
      <w:pPr>
        <w:spacing w:after="60" w:before="200"/>
      </w:pPr>
      <w:r>
        <w:rPr>
          <w:rFonts w:ascii="Arial" w:cs="Arial" w:eastAsia="Arial" w:hAnsi="Arial"/>
          <w:i/>
          <w:iCs/>
          <w:color w:val="666666"/>
          <w:sz w:val="18"/>
          <w:szCs w:val="18"/>
        </w:rPr>
        <w:t xml:space="preserve">Link 1</w:t>
      </w:r>
    </w:p>
    <w:p>
      <w:pPr>
        <w:pBdr>
          <w:left w:val="single" w:color="5A6B00" w:sz="16" w:space="8"/>
        </w:pBdr>
        <w:spacing w:after="120" w:before="0"/>
        <w:ind w:left="240"/>
      </w:pPr>
      <w:r>
        <w:rPr>
          <w:rFonts w:ascii="Arial" w:cs="Arial" w:eastAsia="Arial" w:hAnsi="Arial"/>
          <w:sz w:val="22"/>
          <w:szCs w:val="22"/>
        </w:rPr>
        <w:t xml:space="preserve">AI Copyright</w:t>
      </w:r>
    </w:p>
    <w:p>
      <w:pPr>
        <w:spacing w:after="60" w:before="200"/>
      </w:pPr>
      <w:r>
        <w:rPr>
          <w:rFonts w:ascii="Arial" w:cs="Arial" w:eastAsia="Arial" w:hAnsi="Arial"/>
          <w:i/>
          <w:iCs/>
          <w:color w:val="666666"/>
          <w:sz w:val="18"/>
          <w:szCs w:val="18"/>
        </w:rPr>
        <w:t xml:space="preserve">Link 2</w:t>
      </w:r>
    </w:p>
    <w:p>
      <w:pPr>
        <w:pBdr>
          <w:left w:val="single" w:color="5A6B00" w:sz="16" w:space="8"/>
        </w:pBdr>
        <w:spacing w:after="120" w:before="0"/>
        <w:ind w:left="240"/>
      </w:pPr>
      <w:r>
        <w:rPr>
          <w:rFonts w:ascii="Arial" w:cs="Arial" w:eastAsia="Arial" w:hAnsi="Arial"/>
          <w:sz w:val="22"/>
          <w:szCs w:val="22"/>
        </w:rPr>
        <w:t xml:space="preserve">Crypto</w:t>
      </w:r>
    </w:p>
    <w:p>
      <w:pPr>
        <w:spacing w:after="60" w:before="200"/>
      </w:pPr>
      <w:r>
        <w:rPr>
          <w:rFonts w:ascii="Arial" w:cs="Arial" w:eastAsia="Arial" w:hAnsi="Arial"/>
          <w:i/>
          <w:iCs/>
          <w:color w:val="666666"/>
          <w:sz w:val="18"/>
          <w:szCs w:val="18"/>
        </w:rPr>
        <w:t xml:space="preserve">Link 3</w:t>
      </w:r>
    </w:p>
    <w:p>
      <w:pPr>
        <w:pBdr>
          <w:left w:val="single" w:color="5A6B00" w:sz="16" w:space="8"/>
        </w:pBdr>
        <w:spacing w:after="120" w:before="0"/>
        <w:ind w:left="240"/>
      </w:pPr>
      <w:r>
        <w:rPr>
          <w:rFonts w:ascii="Arial" w:cs="Arial" w:eastAsia="Arial" w:hAnsi="Arial"/>
          <w:sz w:val="22"/>
          <w:szCs w:val="22"/>
        </w:rPr>
        <w:t xml:space="preserve">Briefings</w:t>
      </w:r>
    </w:p>
    <w:p>
      <w:pPr>
        <w:spacing w:after="60" w:before="200"/>
      </w:pPr>
      <w:r>
        <w:rPr>
          <w:rFonts w:ascii="Arial" w:cs="Arial" w:eastAsia="Arial" w:hAnsi="Arial"/>
          <w:i/>
          <w:iCs/>
          <w:color w:val="666666"/>
          <w:sz w:val="18"/>
          <w:szCs w:val="18"/>
        </w:rPr>
        <w:t xml:space="preserve">Link 4</w:t>
      </w:r>
    </w:p>
    <w:p>
      <w:pPr>
        <w:pBdr>
          <w:left w:val="single" w:color="5A6B00" w:sz="16" w:space="8"/>
        </w:pBdr>
        <w:spacing w:after="120" w:before="0"/>
        <w:ind w:left="240"/>
      </w:pPr>
      <w:r>
        <w:rPr>
          <w:rFonts w:ascii="Arial" w:cs="Arial" w:eastAsia="Arial" w:hAnsi="Arial"/>
          <w:sz w:val="22"/>
          <w:szCs w:val="22"/>
        </w:rPr>
        <w:t xml:space="preserve">About</w:t>
      </w:r>
    </w:p>
    <w:p>
      <w:pPr>
        <w:spacing w:after="60" w:before="200"/>
      </w:pPr>
      <w:r>
        <w:rPr>
          <w:rFonts w:ascii="Arial" w:cs="Arial" w:eastAsia="Arial" w:hAnsi="Arial"/>
          <w:i/>
          <w:iCs/>
          <w:color w:val="666666"/>
          <w:sz w:val="18"/>
          <w:szCs w:val="18"/>
        </w:rPr>
        <w:t xml:space="preserve">CTA button (right side)</w:t>
      </w:r>
    </w:p>
    <w:p>
      <w:pPr>
        <w:pBdr>
          <w:left w:val="single" w:color="5A6B00" w:sz="16" w:space="8"/>
        </w:pBdr>
        <w:spacing w:after="120" w:before="0"/>
        <w:ind w:left="240"/>
      </w:pPr>
      <w:r>
        <w:rPr>
          <w:rFonts w:ascii="Arial" w:cs="Arial" w:eastAsia="Arial" w:hAnsi="Arial"/>
          <w:sz w:val="22"/>
          <w:szCs w:val="22"/>
        </w:rPr>
        <w:t xml:space="preserve">Get in Touch</w:t>
      </w:r>
    </w:p>
    <w:p>
      <w:pPr>
        <w:pStyle w:val="Heading1"/>
        <w:pageBreakBefore/>
        <w:spacing w:after="200" w:before="480"/>
      </w:pPr>
      <w:r>
        <w:rPr>
          <w:rFonts w:ascii="Arial" w:cs="Arial" w:eastAsia="Arial" w:hAnsi="Arial"/>
          <w:b/>
          <w:bCs/>
          <w:sz w:val="36"/>
          <w:szCs w:val="36"/>
        </w:rPr>
        <w:t xml:space="preserve">Footer</w:t>
      </w:r>
    </w:p>
    <w:p>
      <w:pPr>
        <w:spacing w:after="120"/>
      </w:pPr>
      <w:r>
        <w:rPr>
          <w:rFonts w:ascii="Arial" w:cs="Arial" w:eastAsia="Arial" w:hAnsi="Arial"/>
          <w:i/>
          <w:iCs/>
          <w:color w:val="666666"/>
          <w:sz w:val="22"/>
          <w:szCs w:val="22"/>
        </w:rPr>
        <w:t xml:space="preserve">Appears at the bottom of every page.</w:t>
      </w:r>
    </w:p>
    <w:p>
      <w:pPr>
        <w:spacing w:after="60" w:before="200"/>
      </w:pPr>
      <w:r>
        <w:rPr>
          <w:rFonts w:ascii="Arial" w:cs="Arial" w:eastAsia="Arial" w:hAnsi="Arial"/>
          <w:i/>
          <w:iCs/>
          <w:color w:val="666666"/>
          <w:sz w:val="18"/>
          <w:szCs w:val="18"/>
        </w:rPr>
        <w:t xml:space="preserve">Brand tagline (under logo, left side)</w:t>
      </w:r>
    </w:p>
    <w:p>
      <w:pPr>
        <w:pBdr>
          <w:left w:val="single" w:color="5A6B00" w:sz="16" w:space="8"/>
        </w:pBdr>
        <w:spacing w:after="120" w:before="0"/>
        <w:ind w:left="240"/>
      </w:pPr>
      <w:r>
        <w:rPr>
          <w:rFonts w:ascii="Arial" w:cs="Arial" w:eastAsia="Arial" w:hAnsi="Arial"/>
          <w:sz w:val="22"/>
          <w:szCs w:val="22"/>
        </w:rPr>
        <w:t xml:space="preserve">The OTC desk for rights holders. Capital and advisory across the largest class actions, bankruptcies, and complex litigation in the world.</w:t>
      </w:r>
    </w:p>
    <w:p>
      <w:pPr>
        <w:spacing w:after="60" w:before="200"/>
      </w:pPr>
      <w:r>
        <w:rPr>
          <w:rFonts w:ascii="Arial" w:cs="Arial" w:eastAsia="Arial" w:hAnsi="Arial"/>
          <w:i/>
          <w:iCs/>
          <w:color w:val="666666"/>
          <w:sz w:val="18"/>
          <w:szCs w:val="18"/>
        </w:rPr>
        <w:t xml:space="preserve">Contact email (under tagline)</w:t>
      </w:r>
    </w:p>
    <w:p>
      <w:pPr>
        <w:pBdr>
          <w:left w:val="single" w:color="5A6B00" w:sz="16" w:space="8"/>
        </w:pBdr>
        <w:spacing w:after="120" w:before="0"/>
        <w:ind w:left="240"/>
      </w:pPr>
      <w:r>
        <w:rPr>
          <w:rFonts w:ascii="Arial" w:cs="Arial" w:eastAsia="Arial" w:hAnsi="Arial"/>
          <w:sz w:val="22"/>
          <w:szCs w:val="22"/>
        </w:rPr>
        <w:t xml:space="preserve">info@turnpagedigital.com</w:t>
      </w:r>
    </w:p>
    <w:p>
      <w:pPr>
        <w:pStyle w:val="Heading3"/>
        <w:spacing w:after="100" w:before="240"/>
      </w:pPr>
      <w:r>
        <w:rPr>
          <w:rFonts w:ascii="Arial" w:cs="Arial" w:eastAsia="Arial" w:hAnsi="Arial"/>
          <w:b/>
          <w:bCs/>
          <w:color w:val="404040"/>
          <w:sz w:val="24"/>
          <w:szCs w:val="24"/>
        </w:rPr>
        <w:t xml:space="preserve">Column 1: Sub-brands</w:t>
      </w:r>
    </w:p>
    <w:p>
      <w:pPr>
        <w:spacing w:after="60" w:before="200"/>
      </w:pPr>
      <w:r>
        <w:rPr>
          <w:rFonts w:ascii="Arial" w:cs="Arial" w:eastAsia="Arial" w:hAnsi="Arial"/>
          <w:i/>
          <w:iCs/>
          <w:color w:val="666666"/>
          <w:sz w:val="18"/>
          <w:szCs w:val="18"/>
        </w:rPr>
        <w:t xml:space="preserve">Column heading</w:t>
      </w:r>
    </w:p>
    <w:p>
      <w:pPr>
        <w:pBdr>
          <w:left w:val="single" w:color="5A6B00" w:sz="16" w:space="8"/>
        </w:pBdr>
        <w:spacing w:after="120" w:before="0"/>
        <w:ind w:left="240"/>
      </w:pPr>
      <w:r>
        <w:rPr>
          <w:rFonts w:ascii="Arial" w:cs="Arial" w:eastAsia="Arial" w:hAnsi="Arial"/>
          <w:sz w:val="22"/>
          <w:szCs w:val="22"/>
        </w:rPr>
        <w:t xml:space="preserve">Sub-brands</w:t>
      </w:r>
    </w:p>
    <w:p>
      <w:pPr>
        <w:spacing w:after="60" w:before="200"/>
      </w:pPr>
      <w:r>
        <w:rPr>
          <w:rFonts w:ascii="Arial" w:cs="Arial" w:eastAsia="Arial" w:hAnsi="Arial"/>
          <w:i/>
          <w:iCs/>
          <w:color w:val="666666"/>
          <w:sz w:val="18"/>
          <w:szCs w:val="18"/>
        </w:rPr>
        <w:t xml:space="preserve">Item 1</w:t>
      </w:r>
    </w:p>
    <w:p>
      <w:pPr>
        <w:pBdr>
          <w:left w:val="single" w:color="5A6B00" w:sz="16" w:space="8"/>
        </w:pBdr>
        <w:spacing w:after="120" w:before="0"/>
        <w:ind w:left="240"/>
      </w:pPr>
      <w:r>
        <w:rPr>
          <w:rFonts w:ascii="Arial" w:cs="Arial" w:eastAsia="Arial" w:hAnsi="Arial"/>
          <w:sz w:val="22"/>
          <w:szCs w:val="22"/>
        </w:rPr>
        <w:t xml:space="preserve">AI Copyright</w:t>
      </w:r>
    </w:p>
    <w:p>
      <w:pPr>
        <w:spacing w:after="60" w:before="200"/>
      </w:pPr>
      <w:r>
        <w:rPr>
          <w:rFonts w:ascii="Arial" w:cs="Arial" w:eastAsia="Arial" w:hAnsi="Arial"/>
          <w:i/>
          <w:iCs/>
          <w:color w:val="666666"/>
          <w:sz w:val="18"/>
          <w:szCs w:val="18"/>
        </w:rPr>
        <w:t xml:space="preserve">Item 2</w:t>
      </w:r>
    </w:p>
    <w:p>
      <w:pPr>
        <w:pBdr>
          <w:left w:val="single" w:color="5A6B00" w:sz="16" w:space="8"/>
        </w:pBdr>
        <w:spacing w:after="120" w:before="0"/>
        <w:ind w:left="240"/>
      </w:pPr>
      <w:r>
        <w:rPr>
          <w:rFonts w:ascii="Arial" w:cs="Arial" w:eastAsia="Arial" w:hAnsi="Arial"/>
          <w:sz w:val="22"/>
          <w:szCs w:val="22"/>
        </w:rPr>
        <w:t xml:space="preserve">Crypto Claims</w:t>
      </w:r>
    </w:p>
    <w:p>
      <w:pPr>
        <w:spacing w:after="60" w:before="200"/>
      </w:pPr>
      <w:r>
        <w:rPr>
          <w:rFonts w:ascii="Arial" w:cs="Arial" w:eastAsia="Arial" w:hAnsi="Arial"/>
          <w:i/>
          <w:iCs/>
          <w:color w:val="666666"/>
          <w:sz w:val="18"/>
          <w:szCs w:val="18"/>
        </w:rPr>
        <w:t xml:space="preserve">Item 3</w:t>
      </w:r>
    </w:p>
    <w:p>
      <w:pPr>
        <w:pBdr>
          <w:left w:val="single" w:color="5A6B00" w:sz="16" w:space="8"/>
        </w:pBdr>
        <w:spacing w:after="120" w:before="0"/>
        <w:ind w:left="240"/>
      </w:pPr>
      <w:r>
        <w:rPr>
          <w:rFonts w:ascii="Arial" w:cs="Arial" w:eastAsia="Arial" w:hAnsi="Arial"/>
          <w:sz w:val="22"/>
          <w:szCs w:val="22"/>
        </w:rPr>
        <w:t xml:space="preserve">Briefings</w:t>
      </w:r>
    </w:p>
    <w:p>
      <w:pPr>
        <w:pStyle w:val="Heading3"/>
        <w:spacing w:after="100" w:before="240"/>
      </w:pPr>
      <w:r>
        <w:rPr>
          <w:rFonts w:ascii="Arial" w:cs="Arial" w:eastAsia="Arial" w:hAnsi="Arial"/>
          <w:b/>
          <w:bCs/>
          <w:color w:val="404040"/>
          <w:sz w:val="24"/>
          <w:szCs w:val="24"/>
        </w:rPr>
        <w:t xml:space="preserve">Column 2: Firm</w:t>
      </w:r>
    </w:p>
    <w:p>
      <w:pPr>
        <w:spacing w:after="60" w:before="200"/>
      </w:pPr>
      <w:r>
        <w:rPr>
          <w:rFonts w:ascii="Arial" w:cs="Arial" w:eastAsia="Arial" w:hAnsi="Arial"/>
          <w:i/>
          <w:iCs/>
          <w:color w:val="666666"/>
          <w:sz w:val="18"/>
          <w:szCs w:val="18"/>
        </w:rPr>
        <w:t xml:space="preserve">Column heading</w:t>
      </w:r>
    </w:p>
    <w:p>
      <w:pPr>
        <w:pBdr>
          <w:left w:val="single" w:color="5A6B00" w:sz="16" w:space="8"/>
        </w:pBdr>
        <w:spacing w:after="120" w:before="0"/>
        <w:ind w:left="240"/>
      </w:pPr>
      <w:r>
        <w:rPr>
          <w:rFonts w:ascii="Arial" w:cs="Arial" w:eastAsia="Arial" w:hAnsi="Arial"/>
          <w:sz w:val="22"/>
          <w:szCs w:val="22"/>
        </w:rPr>
        <w:t xml:space="preserve">Firm</w:t>
      </w:r>
    </w:p>
    <w:p>
      <w:pPr>
        <w:spacing w:after="60" w:before="200"/>
      </w:pPr>
      <w:r>
        <w:rPr>
          <w:rFonts w:ascii="Arial" w:cs="Arial" w:eastAsia="Arial" w:hAnsi="Arial"/>
          <w:i/>
          <w:iCs/>
          <w:color w:val="666666"/>
          <w:sz w:val="18"/>
          <w:szCs w:val="18"/>
        </w:rPr>
        <w:t xml:space="preserve">Item 1</w:t>
      </w:r>
    </w:p>
    <w:p>
      <w:pPr>
        <w:pBdr>
          <w:left w:val="single" w:color="5A6B00" w:sz="16" w:space="8"/>
        </w:pBdr>
        <w:spacing w:after="120" w:before="0"/>
        <w:ind w:left="240"/>
      </w:pPr>
      <w:r>
        <w:rPr>
          <w:rFonts w:ascii="Arial" w:cs="Arial" w:eastAsia="Arial" w:hAnsi="Arial"/>
          <w:sz w:val="22"/>
          <w:szCs w:val="22"/>
        </w:rPr>
        <w:t xml:space="preserve">About Turnpage</w:t>
      </w:r>
    </w:p>
    <w:p>
      <w:pPr>
        <w:spacing w:after="60" w:before="200"/>
      </w:pPr>
      <w:r>
        <w:rPr>
          <w:rFonts w:ascii="Arial" w:cs="Arial" w:eastAsia="Arial" w:hAnsi="Arial"/>
          <w:i/>
          <w:iCs/>
          <w:color w:val="666666"/>
          <w:sz w:val="18"/>
          <w:szCs w:val="18"/>
        </w:rPr>
        <w:t xml:space="preserve">Item 2</w:t>
      </w:r>
    </w:p>
    <w:p>
      <w:pPr>
        <w:pBdr>
          <w:left w:val="single" w:color="5A6B00" w:sz="16" w:space="8"/>
        </w:pBdr>
        <w:spacing w:after="120" w:before="0"/>
        <w:ind w:left="240"/>
      </w:pPr>
      <w:r>
        <w:rPr>
          <w:rFonts w:ascii="Arial" w:cs="Arial" w:eastAsia="Arial" w:hAnsi="Arial"/>
          <w:sz w:val="22"/>
          <w:szCs w:val="22"/>
        </w:rPr>
        <w:t xml:space="preserve">Get in Touch</w:t>
      </w:r>
    </w:p>
    <w:p>
      <w:pPr>
        <w:pStyle w:val="Heading3"/>
        <w:spacing w:after="100" w:before="240"/>
      </w:pPr>
      <w:r>
        <w:rPr>
          <w:rFonts w:ascii="Arial" w:cs="Arial" w:eastAsia="Arial" w:hAnsi="Arial"/>
          <w:b/>
          <w:bCs/>
          <w:color w:val="404040"/>
          <w:sz w:val="24"/>
          <w:szCs w:val="24"/>
        </w:rPr>
        <w:t xml:space="preserve">Column 3: Legal</w:t>
      </w:r>
    </w:p>
    <w:p>
      <w:pPr>
        <w:spacing w:after="60" w:before="200"/>
      </w:pPr>
      <w:r>
        <w:rPr>
          <w:rFonts w:ascii="Arial" w:cs="Arial" w:eastAsia="Arial" w:hAnsi="Arial"/>
          <w:i/>
          <w:iCs/>
          <w:color w:val="666666"/>
          <w:sz w:val="18"/>
          <w:szCs w:val="18"/>
        </w:rPr>
        <w:t xml:space="preserve">Column heading</w:t>
      </w:r>
    </w:p>
    <w:p>
      <w:pPr>
        <w:pBdr>
          <w:left w:val="single" w:color="5A6B00" w:sz="16" w:space="8"/>
        </w:pBdr>
        <w:spacing w:after="120" w:before="0"/>
        <w:ind w:left="240"/>
      </w:pPr>
      <w:r>
        <w:rPr>
          <w:rFonts w:ascii="Arial" w:cs="Arial" w:eastAsia="Arial" w:hAnsi="Arial"/>
          <w:sz w:val="22"/>
          <w:szCs w:val="22"/>
        </w:rPr>
        <w:t xml:space="preserve">Legal</w:t>
      </w:r>
    </w:p>
    <w:p>
      <w:pPr>
        <w:spacing w:after="60" w:before="200"/>
      </w:pPr>
      <w:r>
        <w:rPr>
          <w:rFonts w:ascii="Arial" w:cs="Arial" w:eastAsia="Arial" w:hAnsi="Arial"/>
          <w:i/>
          <w:iCs/>
          <w:color w:val="666666"/>
          <w:sz w:val="18"/>
          <w:szCs w:val="18"/>
        </w:rPr>
        <w:t xml:space="preserve">Item 1</w:t>
      </w:r>
    </w:p>
    <w:p>
      <w:pPr>
        <w:pBdr>
          <w:left w:val="single" w:color="5A6B00" w:sz="16" w:space="8"/>
        </w:pBdr>
        <w:spacing w:after="120" w:before="0"/>
        <w:ind w:left="240"/>
      </w:pPr>
      <w:r>
        <w:rPr>
          <w:rFonts w:ascii="Arial" w:cs="Arial" w:eastAsia="Arial" w:hAnsi="Arial"/>
          <w:sz w:val="22"/>
          <w:szCs w:val="22"/>
        </w:rPr>
        <w:t xml:space="preserve">Privacy Policy</w:t>
      </w:r>
    </w:p>
    <w:p>
      <w:pPr>
        <w:spacing w:after="60" w:before="200"/>
      </w:pPr>
      <w:r>
        <w:rPr>
          <w:rFonts w:ascii="Arial" w:cs="Arial" w:eastAsia="Arial" w:hAnsi="Arial"/>
          <w:i/>
          <w:iCs/>
          <w:color w:val="666666"/>
          <w:sz w:val="18"/>
          <w:szCs w:val="18"/>
        </w:rPr>
        <w:t xml:space="preserve">Item 2</w:t>
      </w:r>
    </w:p>
    <w:p>
      <w:pPr>
        <w:pBdr>
          <w:left w:val="single" w:color="5A6B00" w:sz="16" w:space="8"/>
        </w:pBdr>
        <w:spacing w:after="120" w:before="0"/>
        <w:ind w:left="240"/>
      </w:pPr>
      <w:r>
        <w:rPr>
          <w:rFonts w:ascii="Arial" w:cs="Arial" w:eastAsia="Arial" w:hAnsi="Arial"/>
          <w:sz w:val="22"/>
          <w:szCs w:val="22"/>
        </w:rPr>
        <w:t xml:space="preserve">Terms of Use</w:t>
      </w:r>
    </w:p>
    <w:p>
      <w:pPr>
        <w:pStyle w:val="Heading3"/>
        <w:spacing w:after="100" w:before="240"/>
      </w:pPr>
      <w:r>
        <w:rPr>
          <w:rFonts w:ascii="Arial" w:cs="Arial" w:eastAsia="Arial" w:hAnsi="Arial"/>
          <w:b/>
          <w:bCs/>
          <w:color w:val="404040"/>
          <w:sz w:val="24"/>
          <w:szCs w:val="24"/>
        </w:rPr>
        <w:t xml:space="preserve">Bottom row</w:t>
      </w:r>
    </w:p>
    <w:p>
      <w:pPr>
        <w:spacing w:after="60" w:before="200"/>
      </w:pPr>
      <w:r>
        <w:rPr>
          <w:rFonts w:ascii="Arial" w:cs="Arial" w:eastAsia="Arial" w:hAnsi="Arial"/>
          <w:i/>
          <w:iCs/>
          <w:color w:val="666666"/>
          <w:sz w:val="18"/>
          <w:szCs w:val="18"/>
        </w:rPr>
        <w:t xml:space="preserve">Copyright notice (left side)</w:t>
      </w:r>
    </w:p>
    <w:p>
      <w:pPr>
        <w:pBdr>
          <w:left w:val="single" w:color="5A6B00" w:sz="16" w:space="8"/>
        </w:pBdr>
        <w:spacing w:after="120" w:before="0"/>
        <w:ind w:left="240"/>
      </w:pPr>
      <w:r>
        <w:rPr>
          <w:rFonts w:ascii="Arial" w:cs="Arial" w:eastAsia="Arial" w:hAnsi="Arial"/>
          <w:sz w:val="22"/>
          <w:szCs w:val="22"/>
        </w:rPr>
        <w:t xml:space="preserve">© 2026 Turnpage Digital Markets LLC</w:t>
      </w:r>
    </w:p>
    <w:p>
      <w:pPr>
        <w:spacing w:after="60" w:before="200"/>
      </w:pPr>
      <w:r>
        <w:rPr>
          <w:rFonts w:ascii="Arial" w:cs="Arial" w:eastAsia="Arial" w:hAnsi="Arial"/>
          <w:i/>
          <w:iCs/>
          <w:color w:val="666666"/>
          <w:sz w:val="18"/>
          <w:szCs w:val="18"/>
        </w:rPr>
        <w:t xml:space="preserve">Disclaimer (right side)</w:t>
      </w:r>
    </w:p>
    <w:p>
      <w:pPr>
        <w:pBdr>
          <w:left w:val="single" w:color="5A6B00" w:sz="16" w:space="8"/>
        </w:pBdr>
        <w:spacing w:after="120" w:before="0"/>
        <w:ind w:left="240"/>
      </w:pPr>
      <w:r>
        <w:rPr>
          <w:rFonts w:ascii="Arial" w:cs="Arial" w:eastAsia="Arial" w:hAnsi="Arial"/>
          <w:sz w:val="22"/>
          <w:szCs w:val="22"/>
        </w:rPr>
        <w:t xml:space="preserve">Information on this site is general in nature and is not legal, tax, or investment advice.</w:t>
      </w:r>
    </w:p>
    <w:p>
      <w:pPr>
        <w:pStyle w:val="Heading1"/>
        <w:pageBreakBefore/>
        <w:spacing w:after="200" w:before="480"/>
      </w:pPr>
      <w:r>
        <w:rPr>
          <w:rFonts w:ascii="Arial" w:cs="Arial" w:eastAsia="Arial" w:hAnsi="Arial"/>
          <w:b/>
          <w:bCs/>
          <w:sz w:val="36"/>
          <w:szCs w:val="36"/>
        </w:rPr>
        <w:t xml:space="preserve">Home Page (turnpagedigital.com/)</w:t>
      </w:r>
    </w:p>
    <w:p>
      <w:pPr>
        <w:pStyle w:val="Heading2"/>
        <w:spacing w:after="140" w:before="320"/>
      </w:pPr>
      <w:r>
        <w:rPr>
          <w:rFonts w:ascii="Arial" w:cs="Arial" w:eastAsia="Arial" w:hAnsi="Arial"/>
          <w:b/>
          <w:bCs/>
          <w:sz w:val="28"/>
          <w:szCs w:val="28"/>
        </w:rPr>
        <w:t xml:space="preserve">Hero section</w:t>
      </w:r>
    </w:p>
    <w:p>
      <w:pPr>
        <w:spacing w:after="60" w:before="200"/>
      </w:pPr>
      <w:r>
        <w:rPr>
          <w:rFonts w:ascii="Arial" w:cs="Arial" w:eastAsia="Arial" w:hAnsi="Arial"/>
          <w:i/>
          <w:iCs/>
          <w:color w:val="666666"/>
          <w:sz w:val="18"/>
          <w:szCs w:val="18"/>
        </w:rPr>
        <w:t xml:space="preserve">Eyebrow (small label above headline)</w:t>
      </w:r>
    </w:p>
    <w:p>
      <w:pPr>
        <w:pBdr>
          <w:left w:val="single" w:color="5A6B00" w:sz="16" w:space="8"/>
        </w:pBdr>
        <w:spacing w:after="120" w:before="0"/>
        <w:ind w:left="240"/>
      </w:pPr>
      <w:r>
        <w:rPr>
          <w:rFonts w:ascii="Arial" w:cs="Arial" w:eastAsia="Arial" w:hAnsi="Arial"/>
          <w:sz w:val="22"/>
          <w:szCs w:val="22"/>
        </w:rPr>
        <w:t xml:space="preserve">OTC Claims Desk · Established 2018</w:t>
      </w:r>
    </w:p>
    <w:p>
      <w:pPr>
        <w:spacing w:after="60" w:before="200"/>
      </w:pPr>
      <w:r>
        <w:rPr>
          <w:rFonts w:ascii="Arial" w:cs="Arial" w:eastAsia="Arial" w:hAnsi="Arial"/>
          <w:i/>
          <w:iCs/>
          <w:color w:val="666666"/>
          <w:sz w:val="18"/>
          <w:szCs w:val="18"/>
        </w:rPr>
        <w:t xml:space="preserve">Main headline (H1) — accent word in neon green</w:t>
      </w:r>
    </w:p>
    <w:p>
      <w:pPr>
        <w:pBdr>
          <w:left w:val="single" w:color="5A6B00" w:sz="16" w:space="8"/>
        </w:pBdr>
        <w:spacing w:after="120" w:before="0"/>
        <w:ind w:left="240"/>
      </w:pPr>
      <w:r>
        <w:rPr>
          <w:rFonts w:ascii="Arial" w:cs="Arial" w:eastAsia="Arial" w:hAnsi="Arial"/>
          <w:sz w:val="22"/>
          <w:szCs w:val="22"/>
        </w:rPr>
        <w:t xml:space="preserve">The OTC desk for rights holders.  [the words 'rights holders.' render in neon green]</w:t>
      </w:r>
    </w:p>
    <w:p>
      <w:pPr>
        <w:spacing w:after="60" w:before="200"/>
      </w:pPr>
      <w:r>
        <w:rPr>
          <w:rFonts w:ascii="Arial" w:cs="Arial" w:eastAsia="Arial" w:hAnsi="Arial"/>
          <w:i/>
          <w:iCs/>
          <w:color w:val="666666"/>
          <w:sz w:val="18"/>
          <w:szCs w:val="18"/>
        </w:rPr>
        <w:t xml:space="preserve">Subheadline</w:t>
      </w:r>
    </w:p>
    <w:p>
      <w:pPr>
        <w:pBdr>
          <w:left w:val="single" w:color="5A6B00" w:sz="16" w:space="8"/>
        </w:pBdr>
        <w:spacing w:after="120" w:before="0"/>
        <w:ind w:left="240"/>
      </w:pPr>
      <w:r>
        <w:rPr>
          <w:rFonts w:ascii="Arial" w:cs="Arial" w:eastAsia="Arial" w:hAnsi="Arial"/>
          <w:sz w:val="22"/>
          <w:szCs w:val="22"/>
        </w:rPr>
        <w:t xml:space="preserve">Capital and advisory for individuals and institutions with claims to compensation — across the largest class actions, bankruptcies, and complex litigation in the world.</w:t>
      </w:r>
    </w:p>
    <w:p>
      <w:pPr>
        <w:spacing w:after="60" w:before="200"/>
      </w:pPr>
      <w:r>
        <w:rPr>
          <w:rFonts w:ascii="Arial" w:cs="Arial" w:eastAsia="Arial" w:hAnsi="Arial"/>
          <w:i/>
          <w:iCs/>
          <w:color w:val="666666"/>
          <w:sz w:val="18"/>
          <w:szCs w:val="18"/>
        </w:rPr>
        <w:t xml:space="preserve">Primary CTA button (left)</w:t>
      </w:r>
    </w:p>
    <w:p>
      <w:pPr>
        <w:pBdr>
          <w:left w:val="single" w:color="5A6B00" w:sz="16" w:space="8"/>
        </w:pBdr>
        <w:spacing w:after="120" w:before="0"/>
        <w:ind w:left="240"/>
      </w:pPr>
      <w:r>
        <w:rPr>
          <w:rFonts w:ascii="Arial" w:cs="Arial" w:eastAsia="Arial" w:hAnsi="Arial"/>
          <w:sz w:val="22"/>
          <w:szCs w:val="22"/>
        </w:rPr>
        <w:t xml:space="preserve">Explore AI Copyright →</w:t>
      </w:r>
    </w:p>
    <w:p>
      <w:pPr>
        <w:spacing w:after="60" w:before="200"/>
      </w:pPr>
      <w:r>
        <w:rPr>
          <w:rFonts w:ascii="Arial" w:cs="Arial" w:eastAsia="Arial" w:hAnsi="Arial"/>
          <w:i/>
          <w:iCs/>
          <w:color w:val="666666"/>
          <w:sz w:val="18"/>
          <w:szCs w:val="18"/>
        </w:rPr>
        <w:t xml:space="preserve">Secondary CTA button (right)</w:t>
      </w:r>
    </w:p>
    <w:p>
      <w:pPr>
        <w:pBdr>
          <w:left w:val="single" w:color="5A6B00" w:sz="16" w:space="8"/>
        </w:pBdr>
        <w:spacing w:after="120" w:before="0"/>
        <w:ind w:left="240"/>
      </w:pPr>
      <w:r>
        <w:rPr>
          <w:rFonts w:ascii="Arial" w:cs="Arial" w:eastAsia="Arial" w:hAnsi="Arial"/>
          <w:sz w:val="22"/>
          <w:szCs w:val="22"/>
        </w:rPr>
        <w:t xml:space="preserve">Explore Crypto Claims</w:t>
      </w:r>
    </w:p>
    <w:p>
      <w:pPr>
        <w:pStyle w:val="Heading2"/>
        <w:spacing w:after="140" w:before="320"/>
      </w:pPr>
      <w:r>
        <w:rPr>
          <w:rFonts w:ascii="Arial" w:cs="Arial" w:eastAsia="Arial" w:hAnsi="Arial"/>
          <w:b/>
          <w:bCs/>
          <w:sz w:val="28"/>
          <w:szCs w:val="28"/>
        </w:rPr>
        <w:t xml:space="preserve">Track Record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Track Record</w:t>
      </w:r>
    </w:p>
    <w:p>
      <w:pPr>
        <w:spacing w:after="60" w:before="200"/>
      </w:pPr>
      <w:r>
        <w:rPr>
          <w:rFonts w:ascii="Arial" w:cs="Arial" w:eastAsia="Arial" w:hAnsi="Arial"/>
          <w:i/>
          <w:iCs/>
          <w:color w:val="666666"/>
          <w:sz w:val="18"/>
          <w:szCs w:val="18"/>
        </w:rPr>
        <w:t xml:space="preserve">H2 — accent phrase in neon green</w:t>
      </w:r>
    </w:p>
    <w:p>
      <w:pPr>
        <w:pBdr>
          <w:left w:val="single" w:color="5A6B00" w:sz="16" w:space="8"/>
        </w:pBdr>
        <w:spacing w:after="120" w:before="0"/>
        <w:ind w:left="240"/>
      </w:pPr>
      <w:r>
        <w:rPr>
          <w:rFonts w:ascii="Arial" w:cs="Arial" w:eastAsia="Arial" w:hAnsi="Arial"/>
          <w:sz w:val="22"/>
          <w:szCs w:val="22"/>
        </w:rPr>
        <w:t xml:space="preserve">Built for the moments when liquidity matters most.  [the words 'liquidity matters most.' render in neon green]</w:t>
      </w:r>
    </w:p>
    <w:p>
      <w:pPr>
        <w:pStyle w:val="Heading3"/>
        <w:spacing w:after="100" w:before="240"/>
      </w:pPr>
      <w:r>
        <w:rPr>
          <w:rFonts w:ascii="Arial" w:cs="Arial" w:eastAsia="Arial" w:hAnsi="Arial"/>
          <w:b/>
          <w:bCs/>
          <w:color w:val="404040"/>
          <w:sz w:val="24"/>
          <w:szCs w:val="24"/>
        </w:rPr>
        <w:t xml:space="preserve">Stat 1</w:t>
      </w:r>
    </w:p>
    <w:p>
      <w:pPr>
        <w:spacing w:after="60" w:before="200"/>
      </w:pPr>
      <w:r>
        <w:rPr>
          <w:rFonts w:ascii="Arial" w:cs="Arial" w:eastAsia="Arial" w:hAnsi="Arial"/>
          <w:i/>
          <w:iCs/>
          <w:color w:val="666666"/>
          <w:sz w:val="18"/>
          <w:szCs w:val="18"/>
        </w:rPr>
        <w:t xml:space="preserve">Number (large neon green)</w:t>
      </w:r>
    </w:p>
    <w:p>
      <w:pPr>
        <w:pBdr>
          <w:left w:val="single" w:color="5A6B00" w:sz="16" w:space="8"/>
        </w:pBdr>
        <w:spacing w:after="120" w:before="0"/>
        <w:ind w:left="240"/>
      </w:pPr>
      <w:r>
        <w:rPr>
          <w:rFonts w:ascii="Arial" w:cs="Arial" w:eastAsia="Arial" w:hAnsi="Arial"/>
          <w:sz w:val="22"/>
          <w:szCs w:val="22"/>
        </w:rPr>
        <w:t xml:space="preserve">$1B+</w:t>
      </w:r>
    </w:p>
    <w:p>
      <w:pPr>
        <w:spacing w:after="60" w:before="200"/>
      </w:pPr>
      <w:r>
        <w:rPr>
          <w:rFonts w:ascii="Arial" w:cs="Arial" w:eastAsia="Arial" w:hAnsi="Arial"/>
          <w:i/>
          <w:iCs/>
          <w:color w:val="666666"/>
          <w:sz w:val="18"/>
          <w:szCs w:val="18"/>
        </w:rPr>
        <w:t xml:space="preserve">Label (under number)</w:t>
      </w:r>
    </w:p>
    <w:p>
      <w:pPr>
        <w:pBdr>
          <w:left w:val="single" w:color="5A6B00" w:sz="16" w:space="8"/>
        </w:pBdr>
        <w:spacing w:after="120" w:before="0"/>
        <w:ind w:left="240"/>
      </w:pPr>
      <w:r>
        <w:rPr>
          <w:rFonts w:ascii="Arial" w:cs="Arial" w:eastAsia="Arial" w:hAnsi="Arial"/>
          <w:sz w:val="22"/>
          <w:szCs w:val="22"/>
        </w:rPr>
        <w:t xml:space="preserve">In claims liquidated across class actions, bankruptcies, and complex litigation</w:t>
      </w:r>
    </w:p>
    <w:p>
      <w:pPr>
        <w:pStyle w:val="Heading3"/>
        <w:spacing w:after="100" w:before="240"/>
      </w:pPr>
      <w:r>
        <w:rPr>
          <w:rFonts w:ascii="Arial" w:cs="Arial" w:eastAsia="Arial" w:hAnsi="Arial"/>
          <w:b/>
          <w:bCs/>
          <w:color w:val="404040"/>
          <w:sz w:val="24"/>
          <w:szCs w:val="24"/>
        </w:rPr>
        <w:t xml:space="preserve">Stat 2</w:t>
      </w:r>
    </w:p>
    <w:p>
      <w:pPr>
        <w:spacing w:after="60" w:before="200"/>
      </w:pPr>
      <w:r>
        <w:rPr>
          <w:rFonts w:ascii="Arial" w:cs="Arial" w:eastAsia="Arial" w:hAnsi="Arial"/>
          <w:i/>
          <w:iCs/>
          <w:color w:val="666666"/>
          <w:sz w:val="18"/>
          <w:szCs w:val="18"/>
        </w:rPr>
        <w:t xml:space="preserve">Number (large neon green)</w:t>
      </w:r>
    </w:p>
    <w:p>
      <w:pPr>
        <w:pBdr>
          <w:left w:val="single" w:color="5A6B00" w:sz="16" w:space="8"/>
        </w:pBdr>
        <w:spacing w:after="120" w:before="0"/>
        <w:ind w:left="240"/>
      </w:pPr>
      <w:r>
        <w:rPr>
          <w:rFonts w:ascii="Arial" w:cs="Arial" w:eastAsia="Arial" w:hAnsi="Arial"/>
          <w:sz w:val="22"/>
          <w:szCs w:val="22"/>
        </w:rPr>
        <w:t xml:space="preserve">500+</w:t>
      </w:r>
    </w:p>
    <w:p>
      <w:pPr>
        <w:spacing w:after="60" w:before="200"/>
      </w:pPr>
      <w:r>
        <w:rPr>
          <w:rFonts w:ascii="Arial" w:cs="Arial" w:eastAsia="Arial" w:hAnsi="Arial"/>
          <w:i/>
          <w:iCs/>
          <w:color w:val="666666"/>
          <w:sz w:val="18"/>
          <w:szCs w:val="18"/>
        </w:rPr>
        <w:t xml:space="preserve">Label (under number)</w:t>
      </w:r>
    </w:p>
    <w:p>
      <w:pPr>
        <w:pBdr>
          <w:left w:val="single" w:color="5A6B00" w:sz="16" w:space="8"/>
        </w:pBdr>
        <w:spacing w:after="120" w:before="0"/>
        <w:ind w:left="240"/>
      </w:pPr>
      <w:r>
        <w:rPr>
          <w:rFonts w:ascii="Arial" w:cs="Arial" w:eastAsia="Arial" w:hAnsi="Arial"/>
          <w:sz w:val="22"/>
          <w:szCs w:val="22"/>
        </w:rPr>
        <w:t xml:space="preserve">Financial institutions on speed dial — competitive bids, shorter timelines</w:t>
      </w:r>
    </w:p>
    <w:p>
      <w:pPr>
        <w:pStyle w:val="Heading3"/>
        <w:spacing w:after="100" w:before="240"/>
      </w:pPr>
      <w:r>
        <w:rPr>
          <w:rFonts w:ascii="Arial" w:cs="Arial" w:eastAsia="Arial" w:hAnsi="Arial"/>
          <w:b/>
          <w:bCs/>
          <w:color w:val="404040"/>
          <w:sz w:val="24"/>
          <w:szCs w:val="24"/>
        </w:rPr>
        <w:t xml:space="preserve">Stat 3</w:t>
      </w:r>
    </w:p>
    <w:p>
      <w:pPr>
        <w:spacing w:after="60" w:before="200"/>
      </w:pPr>
      <w:r>
        <w:rPr>
          <w:rFonts w:ascii="Arial" w:cs="Arial" w:eastAsia="Arial" w:hAnsi="Arial"/>
          <w:i/>
          <w:iCs/>
          <w:color w:val="666666"/>
          <w:sz w:val="18"/>
          <w:szCs w:val="18"/>
        </w:rPr>
        <w:t xml:space="preserve">Number (large neon green)</w:t>
      </w:r>
    </w:p>
    <w:p>
      <w:pPr>
        <w:pBdr>
          <w:left w:val="single" w:color="5A6B00" w:sz="16" w:space="8"/>
        </w:pBdr>
        <w:spacing w:after="120" w:before="0"/>
        <w:ind w:left="240"/>
      </w:pPr>
      <w:r>
        <w:rPr>
          <w:rFonts w:ascii="Arial" w:cs="Arial" w:eastAsia="Arial" w:hAnsi="Arial"/>
          <w:sz w:val="22"/>
          <w:szCs w:val="22"/>
        </w:rPr>
        <w:t xml:space="preserve">2018</w:t>
      </w:r>
    </w:p>
    <w:p>
      <w:pPr>
        <w:spacing w:after="60" w:before="200"/>
      </w:pPr>
      <w:r>
        <w:rPr>
          <w:rFonts w:ascii="Arial" w:cs="Arial" w:eastAsia="Arial" w:hAnsi="Arial"/>
          <w:i/>
          <w:iCs/>
          <w:color w:val="666666"/>
          <w:sz w:val="18"/>
          <w:szCs w:val="18"/>
        </w:rPr>
        <w:t xml:space="preserve">Label (under number)</w:t>
      </w:r>
    </w:p>
    <w:p>
      <w:pPr>
        <w:pBdr>
          <w:left w:val="single" w:color="5A6B00" w:sz="16" w:space="8"/>
        </w:pBdr>
        <w:spacing w:after="120" w:before="0"/>
        <w:ind w:left="240"/>
      </w:pPr>
      <w:r>
        <w:rPr>
          <w:rFonts w:ascii="Arial" w:cs="Arial" w:eastAsia="Arial" w:hAnsi="Arial"/>
          <w:sz w:val="22"/>
          <w:szCs w:val="22"/>
        </w:rPr>
        <w:t xml:space="preserve">Founded to serve rights holders the traditional capital markets overlook</w:t>
      </w:r>
    </w:p>
    <w:p>
      <w:pPr>
        <w:spacing w:after="60" w:before="200"/>
      </w:pPr>
      <w:r>
        <w:rPr>
          <w:rFonts w:ascii="Arial" w:cs="Arial" w:eastAsia="Arial" w:hAnsi="Arial"/>
          <w:i/>
          <w:iCs/>
          <w:color w:val="666666"/>
          <w:sz w:val="18"/>
          <w:szCs w:val="18"/>
        </w:rPr>
        <w:t xml:space="preserve">Body paragraph (below stats)</w:t>
      </w:r>
    </w:p>
    <w:p>
      <w:pPr>
        <w:pBdr>
          <w:left w:val="single" w:color="5A6B00" w:sz="16" w:space="8"/>
        </w:pBdr>
        <w:spacing w:after="120" w:before="0"/>
        <w:ind w:left="240"/>
      </w:pPr>
      <w:r>
        <w:rPr>
          <w:rFonts w:ascii="Arial" w:cs="Arial" w:eastAsia="Arial" w:hAnsi="Arial"/>
          <w:sz w:val="22"/>
          <w:szCs w:val="22"/>
        </w:rPr>
        <w:t xml:space="preserve">Our experts have helped customers, creditors, and other claimants liquidate over $1 billion in claims. We partner with leading asset managers to offer competitive rates and frictionless solutions, saving you the countless hours of identifying the right counterparty.</w:t>
      </w:r>
    </w:p>
    <w:p>
      <w:pPr>
        <w:pStyle w:val="Heading2"/>
        <w:spacing w:after="140" w:before="320"/>
      </w:pPr>
      <w:r>
        <w:rPr>
          <w:rFonts w:ascii="Arial" w:cs="Arial" w:eastAsia="Arial" w:hAnsi="Arial"/>
          <w:b/>
          <w:bCs/>
          <w:sz w:val="28"/>
          <w:szCs w:val="28"/>
        </w:rPr>
        <w:t xml:space="preserve">Sub-brand cards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Where We Work</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One desk, every claim type.</w:t>
      </w:r>
    </w:p>
    <w:p>
      <w:pPr>
        <w:pStyle w:val="Heading3"/>
        <w:spacing w:after="100" w:before="240"/>
      </w:pPr>
      <w:r>
        <w:rPr>
          <w:rFonts w:ascii="Arial" w:cs="Arial" w:eastAsia="Arial" w:hAnsi="Arial"/>
          <w:b/>
          <w:bCs/>
          <w:color w:val="404040"/>
          <w:sz w:val="24"/>
          <w:szCs w:val="24"/>
        </w:rPr>
        <w:t xml:space="preserve">Card 1 — AI Copyright</w:t>
      </w:r>
    </w:p>
    <w:p>
      <w:pPr>
        <w:spacing w:after="60" w:before="200"/>
      </w:pPr>
      <w:r>
        <w:rPr>
          <w:rFonts w:ascii="Arial" w:cs="Arial" w:eastAsia="Arial" w:hAnsi="Arial"/>
          <w:i/>
          <w:iCs/>
          <w:color w:val="666666"/>
          <w:sz w:val="18"/>
          <w:szCs w:val="18"/>
        </w:rPr>
        <w:t xml:space="preserve">Tag (top of card)</w:t>
      </w:r>
    </w:p>
    <w:p>
      <w:pPr>
        <w:pBdr>
          <w:left w:val="single" w:color="5A6B00" w:sz="16" w:space="8"/>
        </w:pBdr>
        <w:spacing w:after="120" w:before="0"/>
        <w:ind w:left="240"/>
      </w:pPr>
      <w:r>
        <w:rPr>
          <w:rFonts w:ascii="Arial" w:cs="Arial" w:eastAsia="Arial" w:hAnsi="Arial"/>
          <w:sz w:val="22"/>
          <w:szCs w:val="22"/>
        </w:rPr>
        <w:t xml:space="preserve">Featured</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AI Copyright</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Capital and advisory for authors, music publishers, and other rights holders with claims against generative AI companies. Bartz, the OpenAI MDL, Concord, Getty — we cover the docket.</w:t>
      </w:r>
    </w:p>
    <w:p>
      <w:pPr>
        <w:spacing w:after="60" w:before="200"/>
      </w:pPr>
      <w:r>
        <w:rPr>
          <w:rFonts w:ascii="Arial" w:cs="Arial" w:eastAsia="Arial" w:hAnsi="Arial"/>
          <w:i/>
          <w:iCs/>
          <w:color w:val="666666"/>
          <w:sz w:val="18"/>
          <w:szCs w:val="18"/>
        </w:rPr>
        <w:t xml:space="preserve">Card CTA</w:t>
      </w:r>
    </w:p>
    <w:p>
      <w:pPr>
        <w:pBdr>
          <w:left w:val="single" w:color="5A6B00" w:sz="16" w:space="8"/>
        </w:pBdr>
        <w:spacing w:after="120" w:before="0"/>
        <w:ind w:left="240"/>
      </w:pPr>
      <w:r>
        <w:rPr>
          <w:rFonts w:ascii="Arial" w:cs="Arial" w:eastAsia="Arial" w:hAnsi="Arial"/>
          <w:sz w:val="22"/>
          <w:szCs w:val="22"/>
        </w:rPr>
        <w:t xml:space="preserve">Explore AI Copyright →</w:t>
      </w:r>
    </w:p>
    <w:p>
      <w:pPr>
        <w:pStyle w:val="Heading3"/>
        <w:spacing w:after="100" w:before="240"/>
      </w:pPr>
      <w:r>
        <w:rPr>
          <w:rFonts w:ascii="Arial" w:cs="Arial" w:eastAsia="Arial" w:hAnsi="Arial"/>
          <w:b/>
          <w:bCs/>
          <w:color w:val="404040"/>
          <w:sz w:val="24"/>
          <w:szCs w:val="24"/>
        </w:rPr>
        <w:t xml:space="preserve">Card 2 — Crypto Claims</w:t>
      </w:r>
    </w:p>
    <w:p>
      <w:pPr>
        <w:spacing w:after="60" w:before="200"/>
      </w:pPr>
      <w:r>
        <w:rPr>
          <w:rFonts w:ascii="Arial" w:cs="Arial" w:eastAsia="Arial" w:hAnsi="Arial"/>
          <w:i/>
          <w:iCs/>
          <w:color w:val="666666"/>
          <w:sz w:val="18"/>
          <w:szCs w:val="18"/>
        </w:rPr>
        <w:t xml:space="preserve">Tag</w:t>
      </w:r>
    </w:p>
    <w:p>
      <w:pPr>
        <w:pBdr>
          <w:left w:val="single" w:color="5A6B00" w:sz="16" w:space="8"/>
        </w:pBdr>
        <w:spacing w:after="120" w:before="0"/>
        <w:ind w:left="240"/>
      </w:pPr>
      <w:r>
        <w:rPr>
          <w:rFonts w:ascii="Arial" w:cs="Arial" w:eastAsia="Arial" w:hAnsi="Arial"/>
          <w:sz w:val="22"/>
          <w:szCs w:val="22"/>
        </w:rPr>
        <w:t xml:space="preserve">Live</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Crypto Claims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Liquidity for creditors holding claims in major crypto bankruptcies. From FTX and Celsius to BlockFi and beyond — we make the secondary market work for you.</w:t>
      </w:r>
    </w:p>
    <w:p>
      <w:pPr>
        <w:spacing w:after="60" w:before="200"/>
      </w:pPr>
      <w:r>
        <w:rPr>
          <w:rFonts w:ascii="Arial" w:cs="Arial" w:eastAsia="Arial" w:hAnsi="Arial"/>
          <w:i/>
          <w:iCs/>
          <w:color w:val="666666"/>
          <w:sz w:val="18"/>
          <w:szCs w:val="18"/>
        </w:rPr>
        <w:t xml:space="preserve">Card CTA</w:t>
      </w:r>
    </w:p>
    <w:p>
      <w:pPr>
        <w:pBdr>
          <w:left w:val="single" w:color="5A6B00" w:sz="16" w:space="8"/>
        </w:pBdr>
        <w:spacing w:after="120" w:before="0"/>
        <w:ind w:left="240"/>
      </w:pPr>
      <w:r>
        <w:rPr>
          <w:rFonts w:ascii="Arial" w:cs="Arial" w:eastAsia="Arial" w:hAnsi="Arial"/>
          <w:sz w:val="22"/>
          <w:szCs w:val="22"/>
        </w:rPr>
        <w:t xml:space="preserve">Explore Crypto Claims →</w:t>
      </w:r>
    </w:p>
    <w:p>
      <w:pPr>
        <w:pStyle w:val="Heading3"/>
        <w:spacing w:after="100" w:before="240"/>
      </w:pPr>
      <w:r>
        <w:rPr>
          <w:rFonts w:ascii="Arial" w:cs="Arial" w:eastAsia="Arial" w:hAnsi="Arial"/>
          <w:b/>
          <w:bCs/>
          <w:color w:val="404040"/>
          <w:sz w:val="24"/>
          <w:szCs w:val="24"/>
        </w:rPr>
        <w:t xml:space="preserve">Card 3 — Bankruptcy &amp; Complex Litigation</w:t>
      </w:r>
    </w:p>
    <w:p>
      <w:pPr>
        <w:spacing w:after="60" w:before="200"/>
      </w:pPr>
      <w:r>
        <w:rPr>
          <w:rFonts w:ascii="Arial" w:cs="Arial" w:eastAsia="Arial" w:hAnsi="Arial"/>
          <w:i/>
          <w:iCs/>
          <w:color w:val="666666"/>
          <w:sz w:val="18"/>
          <w:szCs w:val="18"/>
        </w:rPr>
        <w:t xml:space="preserve">Tag</w:t>
      </w:r>
    </w:p>
    <w:p>
      <w:pPr>
        <w:pBdr>
          <w:left w:val="single" w:color="5A6B00" w:sz="16" w:space="8"/>
        </w:pBdr>
        <w:spacing w:after="120" w:before="0"/>
        <w:ind w:left="240"/>
      </w:pPr>
      <w:r>
        <w:rPr>
          <w:rFonts w:ascii="Arial" w:cs="Arial" w:eastAsia="Arial" w:hAnsi="Arial"/>
          <w:sz w:val="22"/>
          <w:szCs w:val="22"/>
        </w:rPr>
        <w:t xml:space="preserve">Coming Soon</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Bankruptcy &amp; Complex Litigation</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The original Turnpage book of business. From Chapter 11 trade claims to mass-tort settlements — speak with a partner about your specific matter.</w:t>
      </w:r>
    </w:p>
    <w:p>
      <w:pPr>
        <w:spacing w:after="60" w:before="200"/>
      </w:pPr>
      <w:r>
        <w:rPr>
          <w:rFonts w:ascii="Arial" w:cs="Arial" w:eastAsia="Arial" w:hAnsi="Arial"/>
          <w:i/>
          <w:iCs/>
          <w:color w:val="666666"/>
          <w:sz w:val="18"/>
          <w:szCs w:val="18"/>
        </w:rPr>
        <w:t xml:space="preserve">Card CTA</w:t>
      </w:r>
    </w:p>
    <w:p>
      <w:pPr>
        <w:pBdr>
          <w:left w:val="single" w:color="5A6B00" w:sz="16" w:space="8"/>
        </w:pBdr>
        <w:spacing w:after="120" w:before="0"/>
        <w:ind w:left="240"/>
      </w:pPr>
      <w:r>
        <w:rPr>
          <w:rFonts w:ascii="Arial" w:cs="Arial" w:eastAsia="Arial" w:hAnsi="Arial"/>
          <w:sz w:val="22"/>
          <w:szCs w:val="22"/>
        </w:rPr>
        <w:t xml:space="preserve">Speak to a partner →</w:t>
      </w:r>
    </w:p>
    <w:p>
      <w:pPr>
        <w:pStyle w:val="Heading2"/>
        <w:spacing w:after="140" w:before="320"/>
      </w:pPr>
      <w:r>
        <w:rPr>
          <w:rFonts w:ascii="Arial" w:cs="Arial" w:eastAsia="Arial" w:hAnsi="Arial"/>
          <w:b/>
          <w:bCs/>
          <w:sz w:val="28"/>
          <w:szCs w:val="28"/>
        </w:rPr>
        <w:t xml:space="preserve">How It Works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How It Works</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Three steps, days — not years.</w:t>
      </w:r>
    </w:p>
    <w:p>
      <w:pPr>
        <w:pStyle w:val="Heading3"/>
        <w:spacing w:after="100" w:before="240"/>
      </w:pPr>
      <w:r>
        <w:rPr>
          <w:rFonts w:ascii="Arial" w:cs="Arial" w:eastAsia="Arial" w:hAnsi="Arial"/>
          <w:b/>
          <w:bCs/>
          <w:color w:val="404040"/>
          <w:sz w:val="24"/>
          <w:szCs w:val="24"/>
        </w:rPr>
        <w:t xml:space="preserve">Step 01</w:t>
      </w:r>
    </w:p>
    <w:p>
      <w:pPr>
        <w:spacing w:after="60" w:before="200"/>
      </w:pPr>
      <w:r>
        <w:rPr>
          <w:rFonts w:ascii="Arial" w:cs="Arial" w:eastAsia="Arial" w:hAnsi="Arial"/>
          <w:i/>
          <w:iCs/>
          <w:color w:val="666666"/>
          <w:sz w:val="18"/>
          <w:szCs w:val="18"/>
        </w:rPr>
        <w:t xml:space="preserve">Step number</w:t>
      </w:r>
    </w:p>
    <w:p>
      <w:pPr>
        <w:pBdr>
          <w:left w:val="single" w:color="5A6B00" w:sz="16" w:space="8"/>
        </w:pBdr>
        <w:spacing w:after="120" w:before="0"/>
        <w:ind w:left="240"/>
      </w:pPr>
      <w:r>
        <w:rPr>
          <w:rFonts w:ascii="Arial" w:cs="Arial" w:eastAsia="Arial" w:hAnsi="Arial"/>
          <w:sz w:val="22"/>
          <w:szCs w:val="22"/>
        </w:rPr>
        <w:t xml:space="preserve">01</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Tell us about your claim</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Share the basics — what type of claim, against whom, what stage. We sign an NDA and start the diligence work.</w:t>
      </w:r>
    </w:p>
    <w:p>
      <w:pPr>
        <w:pStyle w:val="Heading3"/>
        <w:spacing w:after="100" w:before="240"/>
      </w:pPr>
      <w:r>
        <w:rPr>
          <w:rFonts w:ascii="Arial" w:cs="Arial" w:eastAsia="Arial" w:hAnsi="Arial"/>
          <w:b/>
          <w:bCs/>
          <w:color w:val="404040"/>
          <w:sz w:val="24"/>
          <w:szCs w:val="24"/>
        </w:rPr>
        <w:t xml:space="preserve">Step 02</w:t>
      </w:r>
    </w:p>
    <w:p>
      <w:pPr>
        <w:spacing w:after="60" w:before="200"/>
      </w:pPr>
      <w:r>
        <w:rPr>
          <w:rFonts w:ascii="Arial" w:cs="Arial" w:eastAsia="Arial" w:hAnsi="Arial"/>
          <w:i/>
          <w:iCs/>
          <w:color w:val="666666"/>
          <w:sz w:val="18"/>
          <w:szCs w:val="18"/>
        </w:rPr>
        <w:t xml:space="preserve">Step number</w:t>
      </w:r>
    </w:p>
    <w:p>
      <w:pPr>
        <w:pBdr>
          <w:left w:val="single" w:color="5A6B00" w:sz="16" w:space="8"/>
        </w:pBdr>
        <w:spacing w:after="120" w:before="0"/>
        <w:ind w:left="240"/>
      </w:pPr>
      <w:r>
        <w:rPr>
          <w:rFonts w:ascii="Arial" w:cs="Arial" w:eastAsia="Arial" w:hAnsi="Arial"/>
          <w:sz w:val="22"/>
          <w:szCs w:val="22"/>
        </w:rPr>
        <w:t xml:space="preserve">02</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We assess and structure a bid</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We tap our 500+ institutional buyers for competitive pricing and structure terms that fit your timeline and tax posture.</w:t>
      </w:r>
    </w:p>
    <w:p>
      <w:pPr>
        <w:pStyle w:val="Heading3"/>
        <w:spacing w:after="100" w:before="240"/>
      </w:pPr>
      <w:r>
        <w:rPr>
          <w:rFonts w:ascii="Arial" w:cs="Arial" w:eastAsia="Arial" w:hAnsi="Arial"/>
          <w:b/>
          <w:bCs/>
          <w:color w:val="404040"/>
          <w:sz w:val="24"/>
          <w:szCs w:val="24"/>
        </w:rPr>
        <w:t xml:space="preserve">Step 03</w:t>
      </w:r>
    </w:p>
    <w:p>
      <w:pPr>
        <w:spacing w:after="60" w:before="200"/>
      </w:pPr>
      <w:r>
        <w:rPr>
          <w:rFonts w:ascii="Arial" w:cs="Arial" w:eastAsia="Arial" w:hAnsi="Arial"/>
          <w:i/>
          <w:iCs/>
          <w:color w:val="666666"/>
          <w:sz w:val="18"/>
          <w:szCs w:val="18"/>
        </w:rPr>
        <w:t xml:space="preserve">Step number</w:t>
      </w:r>
    </w:p>
    <w:p>
      <w:pPr>
        <w:pBdr>
          <w:left w:val="single" w:color="5A6B00" w:sz="16" w:space="8"/>
        </w:pBdr>
        <w:spacing w:after="120" w:before="0"/>
        <w:ind w:left="240"/>
      </w:pPr>
      <w:r>
        <w:rPr>
          <w:rFonts w:ascii="Arial" w:cs="Arial" w:eastAsia="Arial" w:hAnsi="Arial"/>
          <w:sz w:val="22"/>
          <w:szCs w:val="22"/>
        </w:rPr>
        <w:t xml:space="preserve">03</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We close</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Documentation, transfer mechanics, settlement — handled end-to-end. Most claims close in days, not the years you'd otherwise wait.</w:t>
      </w:r>
    </w:p>
    <w:p>
      <w:pPr>
        <w:pStyle w:val="Heading2"/>
        <w:spacing w:after="140" w:before="320"/>
      </w:pPr>
      <w:r>
        <w:rPr>
          <w:rFonts w:ascii="Arial" w:cs="Arial" w:eastAsia="Arial" w:hAnsi="Arial"/>
          <w:b/>
          <w:bCs/>
          <w:sz w:val="28"/>
          <w:szCs w:val="28"/>
        </w:rPr>
        <w:t xml:space="preserve">Closing CTA section</w:t>
      </w:r>
    </w:p>
    <w:p>
      <w:pPr>
        <w:spacing w:after="60" w:before="200"/>
      </w:pPr>
      <w:r>
        <w:rPr>
          <w:rFonts w:ascii="Arial" w:cs="Arial" w:eastAsia="Arial" w:hAnsi="Arial"/>
          <w:i/>
          <w:iCs/>
          <w:color w:val="666666"/>
          <w:sz w:val="18"/>
          <w:szCs w:val="18"/>
        </w:rPr>
        <w:t xml:space="preserve">H2 — accent phrase in neon green</w:t>
      </w:r>
    </w:p>
    <w:p>
      <w:pPr>
        <w:pBdr>
          <w:left w:val="single" w:color="5A6B00" w:sz="16" w:space="8"/>
        </w:pBdr>
        <w:spacing w:after="120" w:before="0"/>
        <w:ind w:left="240"/>
      </w:pPr>
      <w:r>
        <w:rPr>
          <w:rFonts w:ascii="Arial" w:cs="Arial" w:eastAsia="Arial" w:hAnsi="Arial"/>
          <w:sz w:val="22"/>
          <w:szCs w:val="22"/>
        </w:rPr>
        <w:t xml:space="preserve">Hold a claim? Talk to us.  [the words 'Talk to us.' render in neon green]</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We respond to every inquiry within 48 hours. Confidentiality assured.</w:t>
      </w:r>
    </w:p>
    <w:p>
      <w:pPr>
        <w:spacing w:after="60" w:before="200"/>
      </w:pPr>
      <w:r>
        <w:rPr>
          <w:rFonts w:ascii="Arial" w:cs="Arial" w:eastAsia="Arial" w:hAnsi="Arial"/>
          <w:i/>
          <w:iCs/>
          <w:color w:val="666666"/>
          <w:sz w:val="18"/>
          <w:szCs w:val="18"/>
        </w:rPr>
        <w:t xml:space="preserve">Button</w:t>
      </w:r>
    </w:p>
    <w:p>
      <w:pPr>
        <w:pBdr>
          <w:left w:val="single" w:color="5A6B00" w:sz="16" w:space="8"/>
        </w:pBdr>
        <w:spacing w:after="120" w:before="0"/>
        <w:ind w:left="240"/>
      </w:pPr>
      <w:r>
        <w:rPr>
          <w:rFonts w:ascii="Arial" w:cs="Arial" w:eastAsia="Arial" w:hAnsi="Arial"/>
          <w:sz w:val="22"/>
          <w:szCs w:val="22"/>
        </w:rPr>
        <w:t xml:space="preserve">Get in Touch</w:t>
      </w:r>
    </w:p>
    <w:p>
      <w:pPr>
        <w:pStyle w:val="Heading1"/>
        <w:pageBreakBefore/>
        <w:spacing w:after="200" w:before="480"/>
      </w:pPr>
      <w:r>
        <w:rPr>
          <w:rFonts w:ascii="Arial" w:cs="Arial" w:eastAsia="Arial" w:hAnsi="Arial"/>
          <w:b/>
          <w:bCs/>
          <w:sz w:val="36"/>
          <w:szCs w:val="36"/>
        </w:rPr>
        <w:t xml:space="preserve">AI Copyright Page (turnpagedigital.com/#/ai-copyright)</w:t>
      </w:r>
    </w:p>
    <w:p>
      <w:pPr>
        <w:pStyle w:val="Heading2"/>
        <w:spacing w:after="140" w:before="320"/>
      </w:pPr>
      <w:r>
        <w:rPr>
          <w:rFonts w:ascii="Arial" w:cs="Arial" w:eastAsia="Arial" w:hAnsi="Arial"/>
          <w:b/>
          <w:bCs/>
          <w:sz w:val="28"/>
          <w:szCs w:val="28"/>
        </w:rPr>
        <w:t xml:space="preserve">Hero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AI Copyright</w:t>
      </w:r>
    </w:p>
    <w:p>
      <w:pPr>
        <w:spacing w:after="60" w:before="200"/>
      </w:pPr>
      <w:r>
        <w:rPr>
          <w:rFonts w:ascii="Arial" w:cs="Arial" w:eastAsia="Arial" w:hAnsi="Arial"/>
          <w:i/>
          <w:iCs/>
          <w:color w:val="666666"/>
          <w:sz w:val="18"/>
          <w:szCs w:val="18"/>
        </w:rPr>
        <w:t xml:space="preserve">H1 — first part</w:t>
      </w:r>
    </w:p>
    <w:p>
      <w:pPr>
        <w:pBdr>
          <w:left w:val="single" w:color="5A6B00" w:sz="16" w:space="8"/>
        </w:pBdr>
        <w:spacing w:after="120" w:before="0"/>
        <w:ind w:left="240"/>
      </w:pPr>
      <w:r>
        <w:rPr>
          <w:rFonts w:ascii="Arial" w:cs="Arial" w:eastAsia="Arial" w:hAnsi="Arial"/>
          <w:sz w:val="22"/>
          <w:szCs w:val="22"/>
        </w:rPr>
        <w:t xml:space="preserve">The largest copyright settlement in U.S. history is</w:t>
      </w:r>
    </w:p>
    <w:p>
      <w:pPr>
        <w:spacing w:after="60" w:before="200"/>
      </w:pPr>
      <w:r>
        <w:rPr>
          <w:rFonts w:ascii="Arial" w:cs="Arial" w:eastAsia="Arial" w:hAnsi="Arial"/>
          <w:i/>
          <w:iCs/>
          <w:color w:val="666666"/>
          <w:sz w:val="18"/>
          <w:szCs w:val="18"/>
        </w:rPr>
        <w:t xml:space="preserve">H1 — accent (renders in neon green, on its own visual line)</w:t>
      </w:r>
    </w:p>
    <w:p>
      <w:pPr>
        <w:pBdr>
          <w:left w:val="single" w:color="5A6B00" w:sz="16" w:space="8"/>
        </w:pBdr>
        <w:spacing w:after="120" w:before="0"/>
        <w:ind w:left="240"/>
      </w:pPr>
      <w:r>
        <w:rPr>
          <w:rFonts w:ascii="Arial" w:cs="Arial" w:eastAsia="Arial" w:hAnsi="Arial"/>
          <w:sz w:val="22"/>
          <w:szCs w:val="22"/>
        </w:rPr>
        <w:t xml:space="preserve">just the beginning.</w:t>
      </w:r>
    </w:p>
    <w:p>
      <w:pPr>
        <w:spacing w:after="60" w:before="200"/>
      </w:pPr>
      <w:r>
        <w:rPr>
          <w:rFonts w:ascii="Arial" w:cs="Arial" w:eastAsia="Arial" w:hAnsi="Arial"/>
          <w:i/>
          <w:iCs/>
          <w:color w:val="666666"/>
          <w:sz w:val="18"/>
          <w:szCs w:val="18"/>
        </w:rPr>
        <w:t xml:space="preserve">Subheadline</w:t>
      </w:r>
    </w:p>
    <w:p>
      <w:pPr>
        <w:pBdr>
          <w:left w:val="single" w:color="5A6B00" w:sz="16" w:space="8"/>
        </w:pBdr>
        <w:spacing w:after="120" w:before="0"/>
        <w:ind w:left="240"/>
      </w:pPr>
      <w:r>
        <w:rPr>
          <w:rFonts w:ascii="Arial" w:cs="Arial" w:eastAsia="Arial" w:hAnsi="Arial"/>
          <w:sz w:val="22"/>
          <w:szCs w:val="22"/>
        </w:rPr>
        <w:t xml:space="preserve">Bartz v. Anthropic. The OpenAI MDL. Concord Music v. Anthropic. Getty v. Stability. We help authors, music publishers, and other rights holders navigate this landscape — with capital today and advisory across the lifecycle of every claim.</w:t>
      </w:r>
    </w:p>
    <w:p>
      <w:pPr>
        <w:spacing w:after="60" w:before="200"/>
      </w:pPr>
      <w:r>
        <w:rPr>
          <w:rFonts w:ascii="Arial" w:cs="Arial" w:eastAsia="Arial" w:hAnsi="Arial"/>
          <w:i/>
          <w:iCs/>
          <w:color w:val="666666"/>
          <w:sz w:val="18"/>
          <w:szCs w:val="18"/>
        </w:rPr>
        <w:t xml:space="preserve">Primary CTA</w:t>
      </w:r>
    </w:p>
    <w:p>
      <w:pPr>
        <w:pBdr>
          <w:left w:val="single" w:color="5A6B00" w:sz="16" w:space="8"/>
        </w:pBdr>
        <w:spacing w:after="120" w:before="0"/>
        <w:ind w:left="240"/>
      </w:pPr>
      <w:r>
        <w:rPr>
          <w:rFonts w:ascii="Arial" w:cs="Arial" w:eastAsia="Arial" w:hAnsi="Arial"/>
          <w:sz w:val="22"/>
          <w:szCs w:val="22"/>
        </w:rPr>
        <w:t xml:space="preserve">Get in Touch</w:t>
      </w:r>
    </w:p>
    <w:p>
      <w:pPr>
        <w:spacing w:after="60" w:before="200"/>
      </w:pPr>
      <w:r>
        <w:rPr>
          <w:rFonts w:ascii="Arial" w:cs="Arial" w:eastAsia="Arial" w:hAnsi="Arial"/>
          <w:i/>
          <w:iCs/>
          <w:color w:val="666666"/>
          <w:sz w:val="18"/>
          <w:szCs w:val="18"/>
        </w:rPr>
        <w:t xml:space="preserve">Secondary CTA (anchors down to cases)</w:t>
      </w:r>
    </w:p>
    <w:p>
      <w:pPr>
        <w:pBdr>
          <w:left w:val="single" w:color="5A6B00" w:sz="16" w:space="8"/>
        </w:pBdr>
        <w:spacing w:after="120" w:before="0"/>
        <w:ind w:left="240"/>
      </w:pPr>
      <w:r>
        <w:rPr>
          <w:rFonts w:ascii="Arial" w:cs="Arial" w:eastAsia="Arial" w:hAnsi="Arial"/>
          <w:sz w:val="22"/>
          <w:szCs w:val="22"/>
        </w:rPr>
        <w:t xml:space="preserve">See active cases</w:t>
      </w:r>
    </w:p>
    <w:p>
      <w:pPr>
        <w:pStyle w:val="Heading2"/>
        <w:spacing w:after="140" w:before="320"/>
      </w:pPr>
      <w:r>
        <w:rPr>
          <w:rFonts w:ascii="Arial" w:cs="Arial" w:eastAsia="Arial" w:hAnsi="Arial"/>
          <w:b/>
          <w:bCs/>
          <w:sz w:val="28"/>
          <w:szCs w:val="28"/>
        </w:rPr>
        <w:t xml:space="preserve">Why Now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Why Now</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The AI copyright docket is bigger than any single case.</w:t>
      </w:r>
    </w:p>
    <w:p>
      <w:pPr>
        <w:spacing w:after="60" w:before="200"/>
      </w:pPr>
      <w:r>
        <w:rPr>
          <w:rFonts w:ascii="Arial" w:cs="Arial" w:eastAsia="Arial" w:hAnsi="Arial"/>
          <w:i/>
          <w:iCs/>
          <w:color w:val="666666"/>
          <w:sz w:val="18"/>
          <w:szCs w:val="18"/>
        </w:rPr>
        <w:t xml:space="preserve">Intro paragraph</w:t>
      </w:r>
    </w:p>
    <w:p>
      <w:pPr>
        <w:pBdr>
          <w:left w:val="single" w:color="5A6B00" w:sz="16" w:space="8"/>
        </w:pBdr>
        <w:spacing w:after="120" w:before="0"/>
        <w:ind w:left="240"/>
      </w:pPr>
      <w:r>
        <w:rPr>
          <w:rFonts w:ascii="Arial" w:cs="Arial" w:eastAsia="Arial" w:hAnsi="Arial"/>
          <w:sz w:val="22"/>
          <w:szCs w:val="22"/>
        </w:rPr>
        <w:t xml:space="preserve">Seventy-plus federal lawsuits. Two confirmed settlements at and above the billion-dollar line. A 91% claim rate in the Bartz class — more than nine times the typical class-action take-up. Rights holders are at an inflection point: the legal infrastructure for compensation is finally being built, and the question is no longer whether to act but how, when, and with what counterparties.</w:t>
      </w:r>
    </w:p>
    <w:p>
      <w:pPr>
        <w:pStyle w:val="Heading3"/>
        <w:spacing w:after="100" w:before="240"/>
      </w:pPr>
      <w:r>
        <w:rPr>
          <w:rFonts w:ascii="Arial" w:cs="Arial" w:eastAsia="Arial" w:hAnsi="Arial"/>
          <w:b/>
          <w:bCs/>
          <w:color w:val="404040"/>
          <w:sz w:val="24"/>
          <w:szCs w:val="24"/>
        </w:rPr>
        <w:t xml:space="preserve">Stat 1</w:t>
      </w:r>
    </w:p>
    <w:p>
      <w:pPr>
        <w:spacing w:after="60" w:before="200"/>
      </w:pPr>
      <w:r>
        <w:rPr>
          <w:rFonts w:ascii="Arial" w:cs="Arial" w:eastAsia="Arial" w:hAnsi="Arial"/>
          <w:i/>
          <w:iCs/>
          <w:color w:val="666666"/>
          <w:sz w:val="18"/>
          <w:szCs w:val="18"/>
        </w:rPr>
        <w:t xml:space="preserve">Number</w:t>
      </w:r>
    </w:p>
    <w:p>
      <w:pPr>
        <w:pBdr>
          <w:left w:val="single" w:color="5A6B00" w:sz="16" w:space="8"/>
        </w:pBdr>
        <w:spacing w:after="120" w:before="0"/>
        <w:ind w:left="240"/>
      </w:pPr>
      <w:r>
        <w:rPr>
          <w:rFonts w:ascii="Arial" w:cs="Arial" w:eastAsia="Arial" w:hAnsi="Arial"/>
          <w:sz w:val="22"/>
          <w:szCs w:val="22"/>
        </w:rPr>
        <w:t xml:space="preserve">$1.5B</w:t>
      </w:r>
    </w:p>
    <w:p>
      <w:pPr>
        <w:spacing w:after="60" w:before="200"/>
      </w:pPr>
      <w:r>
        <w:rPr>
          <w:rFonts w:ascii="Arial" w:cs="Arial" w:eastAsia="Arial" w:hAnsi="Arial"/>
          <w:i/>
          <w:iCs/>
          <w:color w:val="666666"/>
          <w:sz w:val="18"/>
          <w:szCs w:val="18"/>
        </w:rPr>
        <w:t xml:space="preserve">Label</w:t>
      </w:r>
    </w:p>
    <w:p>
      <w:pPr>
        <w:pBdr>
          <w:left w:val="single" w:color="5A6B00" w:sz="16" w:space="8"/>
        </w:pBdr>
        <w:spacing w:after="120" w:before="0"/>
        <w:ind w:left="240"/>
      </w:pPr>
      <w:r>
        <w:rPr>
          <w:rFonts w:ascii="Arial" w:cs="Arial" w:eastAsia="Arial" w:hAnsi="Arial"/>
          <w:sz w:val="22"/>
          <w:szCs w:val="22"/>
        </w:rPr>
        <w:t xml:space="preserve">Bartz v. Anthropic — the largest copyright settlement in U.S. history</w:t>
      </w:r>
    </w:p>
    <w:p>
      <w:pPr>
        <w:pStyle w:val="Heading3"/>
        <w:spacing w:after="100" w:before="240"/>
      </w:pPr>
      <w:r>
        <w:rPr>
          <w:rFonts w:ascii="Arial" w:cs="Arial" w:eastAsia="Arial" w:hAnsi="Arial"/>
          <w:b/>
          <w:bCs/>
          <w:color w:val="404040"/>
          <w:sz w:val="24"/>
          <w:szCs w:val="24"/>
        </w:rPr>
        <w:t xml:space="preserve">Stat 2</w:t>
      </w:r>
    </w:p>
    <w:p>
      <w:pPr>
        <w:spacing w:after="60" w:before="200"/>
      </w:pPr>
      <w:r>
        <w:rPr>
          <w:rFonts w:ascii="Arial" w:cs="Arial" w:eastAsia="Arial" w:hAnsi="Arial"/>
          <w:i/>
          <w:iCs/>
          <w:color w:val="666666"/>
          <w:sz w:val="18"/>
          <w:szCs w:val="18"/>
        </w:rPr>
        <w:t xml:space="preserve">Number</w:t>
      </w:r>
    </w:p>
    <w:p>
      <w:pPr>
        <w:pBdr>
          <w:left w:val="single" w:color="5A6B00" w:sz="16" w:space="8"/>
        </w:pBdr>
        <w:spacing w:after="120" w:before="0"/>
        <w:ind w:left="240"/>
      </w:pPr>
      <w:r>
        <w:rPr>
          <w:rFonts w:ascii="Arial" w:cs="Arial" w:eastAsia="Arial" w:hAnsi="Arial"/>
          <w:sz w:val="22"/>
          <w:szCs w:val="22"/>
        </w:rPr>
        <w:t xml:space="preserve">70+</w:t>
      </w:r>
    </w:p>
    <w:p>
      <w:pPr>
        <w:spacing w:after="60" w:before="200"/>
      </w:pPr>
      <w:r>
        <w:rPr>
          <w:rFonts w:ascii="Arial" w:cs="Arial" w:eastAsia="Arial" w:hAnsi="Arial"/>
          <w:i/>
          <w:iCs/>
          <w:color w:val="666666"/>
          <w:sz w:val="18"/>
          <w:szCs w:val="18"/>
        </w:rPr>
        <w:t xml:space="preserve">Label</w:t>
      </w:r>
    </w:p>
    <w:p>
      <w:pPr>
        <w:pBdr>
          <w:left w:val="single" w:color="5A6B00" w:sz="16" w:space="8"/>
        </w:pBdr>
        <w:spacing w:after="120" w:before="0"/>
        <w:ind w:left="240"/>
      </w:pPr>
      <w:r>
        <w:rPr>
          <w:rFonts w:ascii="Arial" w:cs="Arial" w:eastAsia="Arial" w:hAnsi="Arial"/>
          <w:sz w:val="22"/>
          <w:szCs w:val="22"/>
        </w:rPr>
        <w:t xml:space="preserve">Federal AI copyright lawsuits filed in U.S. courts</w:t>
      </w:r>
    </w:p>
    <w:p>
      <w:pPr>
        <w:pStyle w:val="Heading3"/>
        <w:spacing w:after="100" w:before="240"/>
      </w:pPr>
      <w:r>
        <w:rPr>
          <w:rFonts w:ascii="Arial" w:cs="Arial" w:eastAsia="Arial" w:hAnsi="Arial"/>
          <w:b/>
          <w:bCs/>
          <w:color w:val="404040"/>
          <w:sz w:val="24"/>
          <w:szCs w:val="24"/>
        </w:rPr>
        <w:t xml:space="preserve">Stat 3</w:t>
      </w:r>
    </w:p>
    <w:p>
      <w:pPr>
        <w:spacing w:after="60" w:before="200"/>
      </w:pPr>
      <w:r>
        <w:rPr>
          <w:rFonts w:ascii="Arial" w:cs="Arial" w:eastAsia="Arial" w:hAnsi="Arial"/>
          <w:i/>
          <w:iCs/>
          <w:color w:val="666666"/>
          <w:sz w:val="18"/>
          <w:szCs w:val="18"/>
        </w:rPr>
        <w:t xml:space="preserve">Number</w:t>
      </w:r>
    </w:p>
    <w:p>
      <w:pPr>
        <w:pBdr>
          <w:left w:val="single" w:color="5A6B00" w:sz="16" w:space="8"/>
        </w:pBdr>
        <w:spacing w:after="120" w:before="0"/>
        <w:ind w:left="240"/>
      </w:pPr>
      <w:r>
        <w:rPr>
          <w:rFonts w:ascii="Arial" w:cs="Arial" w:eastAsia="Arial" w:hAnsi="Arial"/>
          <w:sz w:val="22"/>
          <w:szCs w:val="22"/>
        </w:rPr>
        <w:t xml:space="preserve">$3.1B</w:t>
      </w:r>
    </w:p>
    <w:p>
      <w:pPr>
        <w:spacing w:after="60" w:before="200"/>
      </w:pPr>
      <w:r>
        <w:rPr>
          <w:rFonts w:ascii="Arial" w:cs="Arial" w:eastAsia="Arial" w:hAnsi="Arial"/>
          <w:i/>
          <w:iCs/>
          <w:color w:val="666666"/>
          <w:sz w:val="18"/>
          <w:szCs w:val="18"/>
        </w:rPr>
        <w:t xml:space="preserve">Label</w:t>
      </w:r>
    </w:p>
    <w:p>
      <w:pPr>
        <w:pBdr>
          <w:left w:val="single" w:color="5A6B00" w:sz="16" w:space="8"/>
        </w:pBdr>
        <w:spacing w:after="120" w:before="0"/>
        <w:ind w:left="240"/>
      </w:pPr>
      <w:r>
        <w:rPr>
          <w:rFonts w:ascii="Arial" w:cs="Arial" w:eastAsia="Arial" w:hAnsi="Arial"/>
          <w:sz w:val="22"/>
          <w:szCs w:val="22"/>
        </w:rPr>
        <w:t xml:space="preserve">Statutory ceiling in the new Concord II music-publisher complaint</w:t>
      </w:r>
    </w:p>
    <w:p>
      <w:pPr>
        <w:pStyle w:val="Heading2"/>
        <w:spacing w:after="140" w:before="320"/>
      </w:pPr>
      <w:r>
        <w:rPr>
          <w:rFonts w:ascii="Arial" w:cs="Arial" w:eastAsia="Arial" w:hAnsi="Arial"/>
          <w:b/>
          <w:bCs/>
          <w:sz w:val="28"/>
          <w:szCs w:val="28"/>
        </w:rPr>
        <w:t xml:space="preserve">Who We Help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Who We Help</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From individual authors to global music groups.</w:t>
      </w:r>
    </w:p>
    <w:p>
      <w:pPr>
        <w:pStyle w:val="Heading3"/>
        <w:spacing w:after="100" w:before="240"/>
      </w:pPr>
      <w:r>
        <w:rPr>
          <w:rFonts w:ascii="Arial" w:cs="Arial" w:eastAsia="Arial" w:hAnsi="Arial"/>
          <w:b/>
          <w:bCs/>
          <w:color w:val="404040"/>
          <w:sz w:val="24"/>
          <w:szCs w:val="24"/>
        </w:rPr>
        <w:t xml:space="preserve">Primary card 1 — Authors &amp; Writers</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Authors &amp; Writers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Class members in Bartz v. Anthropic. Plaintiffs and putative class members in the OpenAI MDL (Authors Guild, Grisham, Martin, Baldacci, et al.) and Kadrey v. Meta. Whether you're holding a claim or considering opting out for an independent action, we structure capital and advise on strategy.</w:t>
      </w:r>
    </w:p>
    <w:p>
      <w:pPr>
        <w:spacing w:after="60" w:before="200"/>
      </w:pPr>
      <w:r>
        <w:rPr>
          <w:rFonts w:ascii="Arial" w:cs="Arial" w:eastAsia="Arial" w:hAnsi="Arial"/>
          <w:i/>
          <w:iCs/>
          <w:color w:val="666666"/>
          <w:sz w:val="18"/>
          <w:szCs w:val="18"/>
        </w:rPr>
        <w:t xml:space="preserve">Audience tag (small, neon green)</w:t>
      </w:r>
    </w:p>
    <w:p>
      <w:pPr>
        <w:pBdr>
          <w:left w:val="single" w:color="5A6B00" w:sz="16" w:space="8"/>
        </w:pBdr>
        <w:spacing w:after="120" w:before="0"/>
        <w:ind w:left="240"/>
      </w:pPr>
      <w:r>
        <w:rPr>
          <w:rFonts w:ascii="Arial" w:cs="Arial" w:eastAsia="Arial" w:hAnsi="Arial"/>
          <w:sz w:val="22"/>
          <w:szCs w:val="22"/>
        </w:rPr>
        <w:t xml:space="preserve">Class members · Plaintiffs · Pre-litigation rights holders</w:t>
      </w:r>
    </w:p>
    <w:p>
      <w:pPr>
        <w:pStyle w:val="Heading3"/>
        <w:spacing w:after="100" w:before="240"/>
      </w:pPr>
      <w:r>
        <w:rPr>
          <w:rFonts w:ascii="Arial" w:cs="Arial" w:eastAsia="Arial" w:hAnsi="Arial"/>
          <w:b/>
          <w:bCs/>
          <w:color w:val="404040"/>
          <w:sz w:val="24"/>
          <w:szCs w:val="24"/>
        </w:rPr>
        <w:t xml:space="preserve">Primary card 2 — Music Publishers &amp; Labels</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Music Publishers &amp; Labels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Plaintiffs in Concord Music v. Anthropic, UMG v. Suno, UMG v. Udio, and the new $3.1B Concord II complaint. RIAA-coordinated claimants and individual publishers alike — we underwrite claims and advise on settlement architecture as the music docket matures.</w:t>
      </w:r>
    </w:p>
    <w:p>
      <w:pPr>
        <w:spacing w:after="60" w:before="200"/>
      </w:pPr>
      <w:r>
        <w:rPr>
          <w:rFonts w:ascii="Arial" w:cs="Arial" w:eastAsia="Arial" w:hAnsi="Arial"/>
          <w:i/>
          <w:iCs/>
          <w:color w:val="666666"/>
          <w:sz w:val="18"/>
          <w:szCs w:val="18"/>
        </w:rPr>
        <w:t xml:space="preserve">Audience tag</w:t>
      </w:r>
    </w:p>
    <w:p>
      <w:pPr>
        <w:pBdr>
          <w:left w:val="single" w:color="5A6B00" w:sz="16" w:space="8"/>
        </w:pBdr>
        <w:spacing w:after="120" w:before="0"/>
        <w:ind w:left="240"/>
      </w:pPr>
      <w:r>
        <w:rPr>
          <w:rFonts w:ascii="Arial" w:cs="Arial" w:eastAsia="Arial" w:hAnsi="Arial"/>
          <w:sz w:val="22"/>
          <w:szCs w:val="22"/>
        </w:rPr>
        <w:t xml:space="preserve">Major labels · Independent publishers · Rights societies</w:t>
      </w:r>
    </w:p>
    <w:p>
      <w:pPr>
        <w:pStyle w:val="Heading3"/>
        <w:spacing w:after="100" w:before="240"/>
      </w:pPr>
      <w:r>
        <w:rPr>
          <w:rFonts w:ascii="Arial" w:cs="Arial" w:eastAsia="Arial" w:hAnsi="Arial"/>
          <w:b/>
          <w:bCs/>
          <w:color w:val="404040"/>
          <w:sz w:val="24"/>
          <w:szCs w:val="24"/>
        </w:rPr>
        <w:t xml:space="preserve">Secondary card 1 — News Organizations</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News Organizations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Plaintiffs in NYT v. OpenAI, Advance Local v. Cohere, and the consolidated MDL. We've tracked the substitutive-summaries doctrine since the Cohere MTD denial.</w:t>
      </w:r>
    </w:p>
    <w:p>
      <w:pPr>
        <w:spacing w:after="60" w:before="200"/>
      </w:pPr>
      <w:r>
        <w:rPr>
          <w:rFonts w:ascii="Arial" w:cs="Arial" w:eastAsia="Arial" w:hAnsi="Arial"/>
          <w:i/>
          <w:iCs/>
          <w:color w:val="666666"/>
          <w:sz w:val="18"/>
          <w:szCs w:val="18"/>
        </w:rPr>
        <w:t xml:space="preserve">Audience tag</w:t>
      </w:r>
    </w:p>
    <w:p>
      <w:pPr>
        <w:pBdr>
          <w:left w:val="single" w:color="5A6B00" w:sz="16" w:space="8"/>
        </w:pBdr>
        <w:spacing w:after="120" w:before="0"/>
        <w:ind w:left="240"/>
      </w:pPr>
      <w:r>
        <w:rPr>
          <w:rFonts w:ascii="Arial" w:cs="Arial" w:eastAsia="Arial" w:hAnsi="Arial"/>
          <w:sz w:val="22"/>
          <w:szCs w:val="22"/>
        </w:rPr>
        <w:t xml:space="preserve">Newsroom plaintiffs · Publisher coalitions</w:t>
      </w:r>
    </w:p>
    <w:p>
      <w:pPr>
        <w:pStyle w:val="Heading3"/>
        <w:spacing w:after="100" w:before="240"/>
      </w:pPr>
      <w:r>
        <w:rPr>
          <w:rFonts w:ascii="Arial" w:cs="Arial" w:eastAsia="Arial" w:hAnsi="Arial"/>
          <w:b/>
          <w:bCs/>
          <w:color w:val="404040"/>
          <w:sz w:val="24"/>
          <w:szCs w:val="24"/>
        </w:rPr>
        <w:t xml:space="preserve">Secondary card 2 — Visual Artists &amp; Stock Libraries</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Visual Artists &amp; Stock Libraries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Class members in Andersen v. Stability AI; plaintiffs in Getty v. Stability (US and UK). We work with photographers, illustrators, and stock libraries on both classed and direct claims.</w:t>
      </w:r>
    </w:p>
    <w:p>
      <w:pPr>
        <w:spacing w:after="60" w:before="200"/>
      </w:pPr>
      <w:r>
        <w:rPr>
          <w:rFonts w:ascii="Arial" w:cs="Arial" w:eastAsia="Arial" w:hAnsi="Arial"/>
          <w:i/>
          <w:iCs/>
          <w:color w:val="666666"/>
          <w:sz w:val="18"/>
          <w:szCs w:val="18"/>
        </w:rPr>
        <w:t xml:space="preserve">Audience tag</w:t>
      </w:r>
    </w:p>
    <w:p>
      <w:pPr>
        <w:pBdr>
          <w:left w:val="single" w:color="5A6B00" w:sz="16" w:space="8"/>
        </w:pBdr>
        <w:spacing w:after="120" w:before="0"/>
        <w:ind w:left="240"/>
      </w:pPr>
      <w:r>
        <w:rPr>
          <w:rFonts w:ascii="Arial" w:cs="Arial" w:eastAsia="Arial" w:hAnsi="Arial"/>
          <w:sz w:val="22"/>
          <w:szCs w:val="22"/>
        </w:rPr>
        <w:t xml:space="preserve">Image-training claimants · DMCA plaintiffs</w:t>
      </w:r>
    </w:p>
    <w:p>
      <w:pPr>
        <w:pStyle w:val="Heading3"/>
        <w:spacing w:after="100" w:before="240"/>
      </w:pPr>
      <w:r>
        <w:rPr>
          <w:rFonts w:ascii="Arial" w:cs="Arial" w:eastAsia="Arial" w:hAnsi="Arial"/>
          <w:b/>
          <w:bCs/>
          <w:color w:val="404040"/>
          <w:sz w:val="24"/>
          <w:szCs w:val="24"/>
        </w:rPr>
        <w:t xml:space="preserve">Secondary card 3 — Pre-litigation Rights Holders</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Rights Holders Considering Action</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Holding a copyrighted catalogue but not yet in court? We can advise on registration posture, statutory-damages exposure analysis, and counsel introductions before you file.</w:t>
      </w:r>
    </w:p>
    <w:p>
      <w:pPr>
        <w:spacing w:after="60" w:before="200"/>
      </w:pPr>
      <w:r>
        <w:rPr>
          <w:rFonts w:ascii="Arial" w:cs="Arial" w:eastAsia="Arial" w:hAnsi="Arial"/>
          <w:i/>
          <w:iCs/>
          <w:color w:val="666666"/>
          <w:sz w:val="18"/>
          <w:szCs w:val="18"/>
        </w:rPr>
        <w:t xml:space="preserve">Audience tag</w:t>
      </w:r>
    </w:p>
    <w:p>
      <w:pPr>
        <w:pBdr>
          <w:left w:val="single" w:color="5A6B00" w:sz="16" w:space="8"/>
        </w:pBdr>
        <w:spacing w:after="120" w:before="0"/>
        <w:ind w:left="240"/>
      </w:pPr>
      <w:r>
        <w:rPr>
          <w:rFonts w:ascii="Arial" w:cs="Arial" w:eastAsia="Arial" w:hAnsi="Arial"/>
          <w:sz w:val="22"/>
          <w:szCs w:val="22"/>
        </w:rPr>
        <w:t xml:space="preserve">Pre-litigation strategy</w:t>
      </w:r>
    </w:p>
    <w:p>
      <w:pPr>
        <w:pStyle w:val="Heading2"/>
        <w:spacing w:after="140" w:before="320"/>
      </w:pPr>
      <w:r>
        <w:rPr>
          <w:rFonts w:ascii="Arial" w:cs="Arial" w:eastAsia="Arial" w:hAnsi="Arial"/>
          <w:b/>
          <w:bCs/>
          <w:sz w:val="28"/>
          <w:szCs w:val="28"/>
        </w:rPr>
        <w:t xml:space="preserve">What We Offer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What We Offer</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Capital today. Advisory across the lifecycle.</w:t>
      </w:r>
    </w:p>
    <w:p>
      <w:pPr>
        <w:pStyle w:val="Heading3"/>
        <w:spacing w:after="100" w:before="240"/>
      </w:pPr>
      <w:r>
        <w:rPr>
          <w:rFonts w:ascii="Arial" w:cs="Arial" w:eastAsia="Arial" w:hAnsi="Arial"/>
          <w:b/>
          <w:bCs/>
          <w:color w:val="404040"/>
          <w:sz w:val="24"/>
          <w:szCs w:val="24"/>
        </w:rPr>
        <w:t xml:space="preserve">Capital Solutions block</w:t>
      </w:r>
    </w:p>
    <w:p>
      <w:pPr>
        <w:spacing w:after="60" w:before="200"/>
      </w:pPr>
      <w:r>
        <w:rPr>
          <w:rFonts w:ascii="Arial" w:cs="Arial" w:eastAsia="Arial" w:hAnsi="Arial"/>
          <w:i/>
          <w:iCs/>
          <w:color w:val="666666"/>
          <w:sz w:val="18"/>
          <w:szCs w:val="18"/>
        </w:rPr>
        <w:t xml:space="preserve">Title (neon green)</w:t>
      </w:r>
    </w:p>
    <w:p>
      <w:pPr>
        <w:pBdr>
          <w:left w:val="single" w:color="5A6B00" w:sz="16" w:space="8"/>
        </w:pBdr>
        <w:spacing w:after="120" w:before="0"/>
        <w:ind w:left="240"/>
      </w:pPr>
      <w:r>
        <w:rPr>
          <w:rFonts w:ascii="Arial" w:cs="Arial" w:eastAsia="Arial" w:hAnsi="Arial"/>
          <w:sz w:val="22"/>
          <w:szCs w:val="22"/>
        </w:rPr>
        <w:t xml:space="preserve">Capital Solutions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A competitive cash bid for your claim, sourced from our network of 500+ institutional buyers. Exit the timeline. Convert a contingent recovery into immediate liquidity. Use the proceeds to fund operations, distribute to authors, or simply de-risk.</w:t>
      </w:r>
    </w:p>
    <w:p>
      <w:pPr>
        <w:spacing w:after="60" w:before="200"/>
      </w:pPr>
      <w:r>
        <w:rPr>
          <w:rFonts w:ascii="Arial" w:cs="Arial" w:eastAsia="Arial" w:hAnsi="Arial"/>
          <w:i/>
          <w:iCs/>
          <w:color w:val="666666"/>
          <w:sz w:val="18"/>
          <w:szCs w:val="18"/>
        </w:rPr>
        <w:t xml:space="preserve">Bullet 1</w:t>
      </w:r>
    </w:p>
    <w:p>
      <w:pPr>
        <w:pBdr>
          <w:left w:val="single" w:color="5A6B00" w:sz="16" w:space="8"/>
        </w:pBdr>
        <w:spacing w:after="120" w:before="0"/>
        <w:ind w:left="240"/>
      </w:pPr>
      <w:r>
        <w:rPr>
          <w:rFonts w:ascii="Arial" w:cs="Arial" w:eastAsia="Arial" w:hAnsi="Arial"/>
          <w:sz w:val="22"/>
          <w:szCs w:val="22"/>
        </w:rPr>
        <w:t xml:space="preserve">Class-member claim purchases (Bartz, Concord, OpenAI MDL)</w:t>
      </w:r>
    </w:p>
    <w:p>
      <w:pPr>
        <w:spacing w:after="60" w:before="200"/>
      </w:pPr>
      <w:r>
        <w:rPr>
          <w:rFonts w:ascii="Arial" w:cs="Arial" w:eastAsia="Arial" w:hAnsi="Arial"/>
          <w:i/>
          <w:iCs/>
          <w:color w:val="666666"/>
          <w:sz w:val="18"/>
          <w:szCs w:val="18"/>
        </w:rPr>
        <w:t xml:space="preserve">Bullet 2</w:t>
      </w:r>
    </w:p>
    <w:p>
      <w:pPr>
        <w:pBdr>
          <w:left w:val="single" w:color="5A6B00" w:sz="16" w:space="8"/>
        </w:pBdr>
        <w:spacing w:after="120" w:before="0"/>
        <w:ind w:left="240"/>
      </w:pPr>
      <w:r>
        <w:rPr>
          <w:rFonts w:ascii="Arial" w:cs="Arial" w:eastAsia="Arial" w:hAnsi="Arial"/>
          <w:sz w:val="22"/>
          <w:szCs w:val="22"/>
        </w:rPr>
        <w:t xml:space="preserve">Direct claim purchases for opt-outs and independent actions</w:t>
      </w:r>
    </w:p>
    <w:p>
      <w:pPr>
        <w:spacing w:after="60" w:before="200"/>
      </w:pPr>
      <w:r>
        <w:rPr>
          <w:rFonts w:ascii="Arial" w:cs="Arial" w:eastAsia="Arial" w:hAnsi="Arial"/>
          <w:i/>
          <w:iCs/>
          <w:color w:val="666666"/>
          <w:sz w:val="18"/>
          <w:szCs w:val="18"/>
        </w:rPr>
        <w:t xml:space="preserve">Bullet 3</w:t>
      </w:r>
    </w:p>
    <w:p>
      <w:pPr>
        <w:pBdr>
          <w:left w:val="single" w:color="5A6B00" w:sz="16" w:space="8"/>
        </w:pBdr>
        <w:spacing w:after="120" w:before="0"/>
        <w:ind w:left="240"/>
      </w:pPr>
      <w:r>
        <w:rPr>
          <w:rFonts w:ascii="Arial" w:cs="Arial" w:eastAsia="Arial" w:hAnsi="Arial"/>
          <w:sz w:val="22"/>
          <w:szCs w:val="22"/>
        </w:rPr>
        <w:t xml:space="preserve">Bulk catalogue acquisitions for publishers and societies</w:t>
      </w:r>
    </w:p>
    <w:p>
      <w:pPr>
        <w:spacing w:after="60" w:before="200"/>
      </w:pPr>
      <w:r>
        <w:rPr>
          <w:rFonts w:ascii="Arial" w:cs="Arial" w:eastAsia="Arial" w:hAnsi="Arial"/>
          <w:i/>
          <w:iCs/>
          <w:color w:val="666666"/>
          <w:sz w:val="18"/>
          <w:szCs w:val="18"/>
        </w:rPr>
        <w:t xml:space="preserve">Bullet 4</w:t>
      </w:r>
    </w:p>
    <w:p>
      <w:pPr>
        <w:pBdr>
          <w:left w:val="single" w:color="5A6B00" w:sz="16" w:space="8"/>
        </w:pBdr>
        <w:spacing w:after="120" w:before="0"/>
        <w:ind w:left="240"/>
      </w:pPr>
      <w:r>
        <w:rPr>
          <w:rFonts w:ascii="Arial" w:cs="Arial" w:eastAsia="Arial" w:hAnsi="Arial"/>
          <w:sz w:val="22"/>
          <w:szCs w:val="22"/>
        </w:rPr>
        <w:t xml:space="preserve">Days to close, not years to wait for distributions</w:t>
      </w:r>
    </w:p>
    <w:p>
      <w:pPr>
        <w:pStyle w:val="Heading3"/>
        <w:spacing w:after="100" w:before="240"/>
      </w:pPr>
      <w:r>
        <w:rPr>
          <w:rFonts w:ascii="Arial" w:cs="Arial" w:eastAsia="Arial" w:hAnsi="Arial"/>
          <w:b/>
          <w:bCs/>
          <w:color w:val="404040"/>
          <w:sz w:val="24"/>
          <w:szCs w:val="24"/>
        </w:rPr>
        <w:t xml:space="preserve">Advisory block</w:t>
      </w:r>
    </w:p>
    <w:p>
      <w:pPr>
        <w:spacing w:after="60" w:before="200"/>
      </w:pPr>
      <w:r>
        <w:rPr>
          <w:rFonts w:ascii="Arial" w:cs="Arial" w:eastAsia="Arial" w:hAnsi="Arial"/>
          <w:i/>
          <w:iCs/>
          <w:color w:val="666666"/>
          <w:sz w:val="18"/>
          <w:szCs w:val="18"/>
        </w:rPr>
        <w:t xml:space="preserve">Title (neon green)</w:t>
      </w:r>
    </w:p>
    <w:p>
      <w:pPr>
        <w:pBdr>
          <w:left w:val="single" w:color="5A6B00" w:sz="16" w:space="8"/>
        </w:pBdr>
        <w:spacing w:after="120" w:before="0"/>
        <w:ind w:left="240"/>
      </w:pPr>
      <w:r>
        <w:rPr>
          <w:rFonts w:ascii="Arial" w:cs="Arial" w:eastAsia="Arial" w:hAnsi="Arial"/>
          <w:sz w:val="22"/>
          <w:szCs w:val="22"/>
        </w:rPr>
        <w:t xml:space="preserve">Advisory</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Settlement strategy when the playbook is being written in real time. Opt-in vs. opt-out analysis. Claim valuation against the statutory damages ceiling. Counsel introductions across the U.S., UK, EU, and beyond.</w:t>
      </w:r>
    </w:p>
    <w:p>
      <w:pPr>
        <w:spacing w:after="60" w:before="200"/>
      </w:pPr>
      <w:r>
        <w:rPr>
          <w:rFonts w:ascii="Arial" w:cs="Arial" w:eastAsia="Arial" w:hAnsi="Arial"/>
          <w:i/>
          <w:iCs/>
          <w:color w:val="666666"/>
          <w:sz w:val="18"/>
          <w:szCs w:val="18"/>
        </w:rPr>
        <w:t xml:space="preserve">Bullet 1</w:t>
      </w:r>
    </w:p>
    <w:p>
      <w:pPr>
        <w:pBdr>
          <w:left w:val="single" w:color="5A6B00" w:sz="16" w:space="8"/>
        </w:pBdr>
        <w:spacing w:after="120" w:before="0"/>
        <w:ind w:left="240"/>
      </w:pPr>
      <w:r>
        <w:rPr>
          <w:rFonts w:ascii="Arial" w:cs="Arial" w:eastAsia="Arial" w:hAnsi="Arial"/>
          <w:sz w:val="22"/>
          <w:szCs w:val="22"/>
        </w:rPr>
        <w:t xml:space="preserve">Settlement architecture and fairness-hearing positioning</w:t>
      </w:r>
    </w:p>
    <w:p>
      <w:pPr>
        <w:spacing w:after="60" w:before="200"/>
      </w:pPr>
      <w:r>
        <w:rPr>
          <w:rFonts w:ascii="Arial" w:cs="Arial" w:eastAsia="Arial" w:hAnsi="Arial"/>
          <w:i/>
          <w:iCs/>
          <w:color w:val="666666"/>
          <w:sz w:val="18"/>
          <w:szCs w:val="18"/>
        </w:rPr>
        <w:t xml:space="preserve">Bullet 2</w:t>
      </w:r>
    </w:p>
    <w:p>
      <w:pPr>
        <w:pBdr>
          <w:left w:val="single" w:color="5A6B00" w:sz="16" w:space="8"/>
        </w:pBdr>
        <w:spacing w:after="120" w:before="0"/>
        <w:ind w:left="240"/>
      </w:pPr>
      <w:r>
        <w:rPr>
          <w:rFonts w:ascii="Arial" w:cs="Arial" w:eastAsia="Arial" w:hAnsi="Arial"/>
          <w:sz w:val="22"/>
          <w:szCs w:val="22"/>
        </w:rPr>
        <w:t xml:space="preserve">Statutory damages exposure modeling ($150K/work scenarios)</w:t>
      </w:r>
    </w:p>
    <w:p>
      <w:pPr>
        <w:spacing w:after="60" w:before="200"/>
      </w:pPr>
      <w:r>
        <w:rPr>
          <w:rFonts w:ascii="Arial" w:cs="Arial" w:eastAsia="Arial" w:hAnsi="Arial"/>
          <w:i/>
          <w:iCs/>
          <w:color w:val="666666"/>
          <w:sz w:val="18"/>
          <w:szCs w:val="18"/>
        </w:rPr>
        <w:t xml:space="preserve">Bullet 3</w:t>
      </w:r>
    </w:p>
    <w:p>
      <w:pPr>
        <w:pBdr>
          <w:left w:val="single" w:color="5A6B00" w:sz="16" w:space="8"/>
        </w:pBdr>
        <w:spacing w:after="120" w:before="0"/>
        <w:ind w:left="240"/>
      </w:pPr>
      <w:r>
        <w:rPr>
          <w:rFonts w:ascii="Arial" w:cs="Arial" w:eastAsia="Arial" w:hAnsi="Arial"/>
          <w:sz w:val="22"/>
          <w:szCs w:val="22"/>
        </w:rPr>
        <w:t xml:space="preserve">Opt-out economics and independent-action feasibility</w:t>
      </w:r>
    </w:p>
    <w:p>
      <w:pPr>
        <w:spacing w:after="60" w:before="200"/>
      </w:pPr>
      <w:r>
        <w:rPr>
          <w:rFonts w:ascii="Arial" w:cs="Arial" w:eastAsia="Arial" w:hAnsi="Arial"/>
          <w:i/>
          <w:iCs/>
          <w:color w:val="666666"/>
          <w:sz w:val="18"/>
          <w:szCs w:val="18"/>
        </w:rPr>
        <w:t xml:space="preserve">Bullet 4</w:t>
      </w:r>
    </w:p>
    <w:p>
      <w:pPr>
        <w:pBdr>
          <w:left w:val="single" w:color="5A6B00" w:sz="16" w:space="8"/>
        </w:pBdr>
        <w:spacing w:after="120" w:before="0"/>
        <w:ind w:left="240"/>
      </w:pPr>
      <w:r>
        <w:rPr>
          <w:rFonts w:ascii="Arial" w:cs="Arial" w:eastAsia="Arial" w:hAnsi="Arial"/>
          <w:sz w:val="22"/>
          <w:szCs w:val="22"/>
        </w:rPr>
        <w:t xml:space="preserve">Cross-jurisdictional coordination (CJEU, UK, U.S.)</w:t>
      </w:r>
    </w:p>
    <w:p>
      <w:pPr>
        <w:pStyle w:val="Heading2"/>
        <w:spacing w:after="140" w:before="320"/>
      </w:pPr>
      <w:r>
        <w:rPr>
          <w:rFonts w:ascii="Arial" w:cs="Arial" w:eastAsia="Arial" w:hAnsi="Arial"/>
          <w:b/>
          <w:bCs/>
          <w:sz w:val="28"/>
          <w:szCs w:val="28"/>
        </w:rPr>
        <w:t xml:space="preserve">Top 12 Cases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Active Docket</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The top 12 cases we track.</w:t>
      </w:r>
    </w:p>
    <w:p>
      <w:pPr>
        <w:spacing w:after="60" w:before="200"/>
      </w:pPr>
      <w:r>
        <w:rPr>
          <w:rFonts w:ascii="Arial" w:cs="Arial" w:eastAsia="Arial" w:hAnsi="Arial"/>
          <w:i/>
          <w:iCs/>
          <w:color w:val="666666"/>
          <w:sz w:val="18"/>
          <w:szCs w:val="18"/>
        </w:rPr>
        <w:t xml:space="preserve">Subhead</w:t>
      </w:r>
    </w:p>
    <w:p>
      <w:pPr>
        <w:pBdr>
          <w:left w:val="single" w:color="5A6B00" w:sz="16" w:space="8"/>
        </w:pBdr>
        <w:spacing w:after="120" w:before="0"/>
        <w:ind w:left="240"/>
      </w:pPr>
      <w:r>
        <w:rPr>
          <w:rFonts w:ascii="Arial" w:cs="Arial" w:eastAsia="Arial" w:hAnsi="Arial"/>
          <w:sz w:val="22"/>
          <w:szCs w:val="22"/>
        </w:rPr>
        <w:t xml:space="preserve">Ranked by alleged damages. Click through to our briefings for ongoing analysis.</w:t>
      </w:r>
    </w:p>
    <w:p>
      <w:pPr>
        <w:pStyle w:val="Heading3"/>
        <w:spacing w:after="100" w:before="240"/>
      </w:pPr>
      <w:r>
        <w:rPr>
          <w:rFonts w:ascii="Arial" w:cs="Arial" w:eastAsia="Arial" w:hAnsi="Arial"/>
          <w:b/>
          <w:bCs/>
          <w:color w:val="404040"/>
          <w:sz w:val="24"/>
          <w:szCs w:val="24"/>
        </w:rPr>
        <w:t xml:space="preserve">New for 2026 callout</w:t>
      </w:r>
    </w:p>
    <w:p>
      <w:pPr>
        <w:spacing w:after="60" w:before="200"/>
      </w:pPr>
      <w:r>
        <w:rPr>
          <w:rFonts w:ascii="Arial" w:cs="Arial" w:eastAsia="Arial" w:hAnsi="Arial"/>
          <w:i/>
          <w:iCs/>
          <w:color w:val="666666"/>
          <w:sz w:val="18"/>
          <w:szCs w:val="18"/>
        </w:rPr>
        <w:t xml:space="preserve">Tag</w:t>
      </w:r>
    </w:p>
    <w:p>
      <w:pPr>
        <w:pBdr>
          <w:left w:val="single" w:color="5A6B00" w:sz="16" w:space="8"/>
        </w:pBdr>
        <w:spacing w:after="120" w:before="0"/>
        <w:ind w:left="240"/>
      </w:pPr>
      <w:r>
        <w:rPr>
          <w:rFonts w:ascii="Arial" w:cs="Arial" w:eastAsia="Arial" w:hAnsi="Arial"/>
          <w:sz w:val="22"/>
          <w:szCs w:val="22"/>
        </w:rPr>
        <w:t xml:space="preserve">New for 2026</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Concord/UMG v. Anthropic II</w:t>
      </w:r>
    </w:p>
    <w:p>
      <w:pPr>
        <w:spacing w:after="60" w:before="200"/>
      </w:pPr>
      <w:r>
        <w:rPr>
          <w:rFonts w:ascii="Arial" w:cs="Arial" w:eastAsia="Arial" w:hAnsi="Arial"/>
          <w:i/>
          <w:iCs/>
          <w:color w:val="666666"/>
          <w:sz w:val="18"/>
          <w:szCs w:val="18"/>
        </w:rPr>
        <w:t xml:space="preserve">Citation</w:t>
      </w:r>
    </w:p>
    <w:p>
      <w:pPr>
        <w:pBdr>
          <w:left w:val="single" w:color="5A6B00" w:sz="16" w:space="8"/>
        </w:pBdr>
        <w:spacing w:after="120" w:before="0"/>
        <w:ind w:left="240"/>
      </w:pPr>
      <w:r>
        <w:rPr>
          <w:rFonts w:ascii="Arial" w:cs="Arial" w:eastAsia="Arial" w:hAnsi="Arial"/>
          <w:sz w:val="22"/>
          <w:szCs w:val="22"/>
        </w:rPr>
        <w:t xml:space="preserve">N.D. Cal., filed January 2026</w:t>
      </w:r>
    </w:p>
    <w:p>
      <w:pPr>
        <w:spacing w:after="60" w:before="200"/>
      </w:pPr>
      <w:r>
        <w:rPr>
          <w:rFonts w:ascii="Arial" w:cs="Arial" w:eastAsia="Arial" w:hAnsi="Arial"/>
          <w:i/>
          <w:iCs/>
          <w:color w:val="666666"/>
          <w:sz w:val="18"/>
          <w:szCs w:val="18"/>
        </w:rPr>
        <w:t xml:space="preserve">Damages headline</w:t>
      </w:r>
    </w:p>
    <w:p>
      <w:pPr>
        <w:pBdr>
          <w:left w:val="single" w:color="5A6B00" w:sz="16" w:space="8"/>
        </w:pBdr>
        <w:spacing w:after="120" w:before="0"/>
        <w:ind w:left="240"/>
      </w:pPr>
      <w:r>
        <w:rPr>
          <w:rFonts w:ascii="Arial" w:cs="Arial" w:eastAsia="Arial" w:hAnsi="Arial"/>
          <w:sz w:val="22"/>
          <w:szCs w:val="22"/>
        </w:rPr>
        <w:t xml:space="preserve">$3.1B statutory ceiling (20,517 works × $150K)</w:t>
      </w:r>
    </w:p>
    <w:p>
      <w:pPr>
        <w:spacing w:after="60" w:before="200"/>
      </w:pPr>
      <w:r>
        <w:rPr>
          <w:rFonts w:ascii="Arial" w:cs="Arial" w:eastAsia="Arial" w:hAnsi="Arial"/>
          <w:i/>
          <w:iCs/>
          <w:color w:val="666666"/>
          <w:sz w:val="18"/>
          <w:szCs w:val="18"/>
        </w:rPr>
        <w:t xml:space="preserve">Summary</w:t>
      </w:r>
    </w:p>
    <w:p>
      <w:pPr>
        <w:pBdr>
          <w:left w:val="single" w:color="5A6B00" w:sz="16" w:space="8"/>
        </w:pBdr>
        <w:spacing w:after="120" w:before="0"/>
        <w:ind w:left="240"/>
      </w:pPr>
      <w:r>
        <w:rPr>
          <w:rFonts w:ascii="Arial" w:cs="Arial" w:eastAsia="Arial" w:hAnsi="Arial"/>
          <w:sz w:val="22"/>
          <w:szCs w:val="22"/>
        </w:rPr>
        <w:t xml:space="preserve">Second music-publisher complaint against Anthropic, focused on alleged BitTorrent piracy of 20,517+ musical compositions from shadow libraries. Adds Dario Amodei and Benjamin Mann as individual defendants.</w:t>
      </w:r>
    </w:p>
    <w:p>
      <w:pPr>
        <w:pStyle w:val="Heading2"/>
        <w:spacing w:after="140" w:before="320"/>
      </w:pPr>
      <w:r>
        <w:rPr>
          <w:rFonts w:ascii="Arial" w:cs="Arial" w:eastAsia="Arial" w:hAnsi="Arial"/>
          <w:b/>
          <w:bCs/>
          <w:sz w:val="28"/>
          <w:szCs w:val="28"/>
        </w:rPr>
        <w:t xml:space="preserve">AI Copyright closing CTA</w:t>
      </w:r>
    </w:p>
    <w:p>
      <w:pPr>
        <w:spacing w:after="60" w:before="200"/>
      </w:pPr>
      <w:r>
        <w:rPr>
          <w:rFonts w:ascii="Arial" w:cs="Arial" w:eastAsia="Arial" w:hAnsi="Arial"/>
          <w:i/>
          <w:iCs/>
          <w:color w:val="666666"/>
          <w:sz w:val="18"/>
          <w:szCs w:val="18"/>
        </w:rPr>
        <w:t xml:space="preserve">H2 — accent phrase in neon green</w:t>
      </w:r>
    </w:p>
    <w:p>
      <w:pPr>
        <w:pBdr>
          <w:left w:val="single" w:color="5A6B00" w:sz="16" w:space="8"/>
        </w:pBdr>
        <w:spacing w:after="120" w:before="0"/>
        <w:ind w:left="240"/>
      </w:pPr>
      <w:r>
        <w:rPr>
          <w:rFonts w:ascii="Arial" w:cs="Arial" w:eastAsia="Arial" w:hAnsi="Arial"/>
          <w:sz w:val="22"/>
          <w:szCs w:val="22"/>
        </w:rPr>
        <w:t xml:space="preserve">Hold a claim — or considering action? Talk to us.  [the words 'Talk to us.' render in neon green]</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Confidentiality assured. We respond to every inquiry within 48 hours.</w:t>
      </w:r>
    </w:p>
    <w:p>
      <w:pPr>
        <w:spacing w:after="60" w:before="200"/>
      </w:pPr>
      <w:r>
        <w:rPr>
          <w:rFonts w:ascii="Arial" w:cs="Arial" w:eastAsia="Arial" w:hAnsi="Arial"/>
          <w:i/>
          <w:iCs/>
          <w:color w:val="666666"/>
          <w:sz w:val="18"/>
          <w:szCs w:val="18"/>
        </w:rPr>
        <w:t xml:space="preserve">Button</w:t>
      </w:r>
    </w:p>
    <w:p>
      <w:pPr>
        <w:pBdr>
          <w:left w:val="single" w:color="5A6B00" w:sz="16" w:space="8"/>
        </w:pBdr>
        <w:spacing w:after="120" w:before="0"/>
        <w:ind w:left="240"/>
      </w:pPr>
      <w:r>
        <w:rPr>
          <w:rFonts w:ascii="Arial" w:cs="Arial" w:eastAsia="Arial" w:hAnsi="Arial"/>
          <w:sz w:val="22"/>
          <w:szCs w:val="22"/>
        </w:rPr>
        <w:t xml:space="preserve">Get in Touch</w:t>
      </w:r>
    </w:p>
    <w:p>
      <w:pPr>
        <w:pStyle w:val="Heading1"/>
        <w:pageBreakBefore/>
        <w:spacing w:after="200" w:before="480"/>
      </w:pPr>
      <w:r>
        <w:rPr>
          <w:rFonts w:ascii="Arial" w:cs="Arial" w:eastAsia="Arial" w:hAnsi="Arial"/>
          <w:b/>
          <w:bCs/>
          <w:sz w:val="36"/>
          <w:szCs w:val="36"/>
        </w:rPr>
        <w:t xml:space="preserve">Crypto Claims Page (turnpagedigital.com/#/crypto)</w:t>
      </w:r>
    </w:p>
    <w:p>
      <w:pPr>
        <w:spacing w:after="120"/>
      </w:pPr>
      <w:r>
        <w:rPr>
          <w:rFonts w:ascii="Arial" w:cs="Arial" w:eastAsia="Arial" w:hAnsi="Arial"/>
          <w:i/>
          <w:iCs/>
          <w:color w:val="666666"/>
          <w:sz w:val="22"/>
          <w:szCs w:val="22"/>
        </w:rPr>
        <w:t xml:space="preserve">Currently placeholder copy. Replace with content lifted from the turnpage-crypto site, or rewrite directly here.</w:t>
      </w:r>
    </w:p>
    <w:p>
      <w:pPr>
        <w:pStyle w:val="Heading2"/>
        <w:spacing w:after="140" w:before="320"/>
      </w:pPr>
      <w:r>
        <w:rPr>
          <w:rFonts w:ascii="Arial" w:cs="Arial" w:eastAsia="Arial" w:hAnsi="Arial"/>
          <w:b/>
          <w:bCs/>
          <w:sz w:val="28"/>
          <w:szCs w:val="28"/>
        </w:rPr>
        <w:t xml:space="preserve">Hero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Crypto Claims</w:t>
      </w:r>
    </w:p>
    <w:p>
      <w:pPr>
        <w:spacing w:after="60" w:before="200"/>
      </w:pPr>
      <w:r>
        <w:rPr>
          <w:rFonts w:ascii="Arial" w:cs="Arial" w:eastAsia="Arial" w:hAnsi="Arial"/>
          <w:i/>
          <w:iCs/>
          <w:color w:val="666666"/>
          <w:sz w:val="18"/>
          <w:szCs w:val="18"/>
        </w:rPr>
        <w:t xml:space="preserve">H1 — first part</w:t>
      </w:r>
    </w:p>
    <w:p>
      <w:pPr>
        <w:pBdr>
          <w:left w:val="single" w:color="5A6B00" w:sz="16" w:space="8"/>
        </w:pBdr>
        <w:spacing w:after="120" w:before="0"/>
        <w:ind w:left="240"/>
      </w:pPr>
      <w:r>
        <w:rPr>
          <w:rFonts w:ascii="Arial" w:cs="Arial" w:eastAsia="Arial" w:hAnsi="Arial"/>
          <w:sz w:val="22"/>
          <w:szCs w:val="22"/>
        </w:rPr>
        <w:t xml:space="preserve">Liquidity for crypto creditors</w:t>
      </w:r>
    </w:p>
    <w:p>
      <w:pPr>
        <w:spacing w:after="60" w:before="200"/>
      </w:pPr>
      <w:r>
        <w:rPr>
          <w:rFonts w:ascii="Arial" w:cs="Arial" w:eastAsia="Arial" w:hAnsi="Arial"/>
          <w:i/>
          <w:iCs/>
          <w:color w:val="666666"/>
          <w:sz w:val="18"/>
          <w:szCs w:val="18"/>
        </w:rPr>
        <w:t xml:space="preserve">H1 — accent (neon green)</w:t>
      </w:r>
    </w:p>
    <w:p>
      <w:pPr>
        <w:pBdr>
          <w:left w:val="single" w:color="5A6B00" w:sz="16" w:space="8"/>
        </w:pBdr>
        <w:spacing w:after="120" w:before="0"/>
        <w:ind w:left="240"/>
      </w:pPr>
      <w:r>
        <w:rPr>
          <w:rFonts w:ascii="Arial" w:cs="Arial" w:eastAsia="Arial" w:hAnsi="Arial"/>
          <w:sz w:val="22"/>
          <w:szCs w:val="22"/>
        </w:rPr>
        <w:t xml:space="preserve">when the docket says wait.</w:t>
      </w:r>
    </w:p>
    <w:p>
      <w:pPr>
        <w:spacing w:after="60" w:before="200"/>
      </w:pPr>
      <w:r>
        <w:rPr>
          <w:rFonts w:ascii="Arial" w:cs="Arial" w:eastAsia="Arial" w:hAnsi="Arial"/>
          <w:i/>
          <w:iCs/>
          <w:color w:val="666666"/>
          <w:sz w:val="18"/>
          <w:szCs w:val="18"/>
        </w:rPr>
        <w:t xml:space="preserve">Subheadline</w:t>
      </w:r>
    </w:p>
    <w:p>
      <w:pPr>
        <w:pBdr>
          <w:left w:val="single" w:color="5A6B00" w:sz="16" w:space="8"/>
        </w:pBdr>
        <w:spacing w:after="120" w:before="0"/>
        <w:ind w:left="240"/>
      </w:pPr>
      <w:r>
        <w:rPr>
          <w:rFonts w:ascii="Arial" w:cs="Arial" w:eastAsia="Arial" w:hAnsi="Arial"/>
          <w:sz w:val="22"/>
          <w:szCs w:val="22"/>
        </w:rPr>
        <w:t xml:space="preserve">FTX. Celsius. BlockFi. Voyager. We make the secondary market for crypto bankruptcy claims work for you — competitive bids from institutional buyers, fast close, no surprises.</w:t>
      </w:r>
    </w:p>
    <w:p>
      <w:pPr>
        <w:spacing w:after="60" w:before="200"/>
      </w:pPr>
      <w:r>
        <w:rPr>
          <w:rFonts w:ascii="Arial" w:cs="Arial" w:eastAsia="Arial" w:hAnsi="Arial"/>
          <w:i/>
          <w:iCs/>
          <w:color w:val="666666"/>
          <w:sz w:val="18"/>
          <w:szCs w:val="18"/>
        </w:rPr>
        <w:t xml:space="preserve">Primary CTA</w:t>
      </w:r>
    </w:p>
    <w:p>
      <w:pPr>
        <w:pBdr>
          <w:left w:val="single" w:color="5A6B00" w:sz="16" w:space="8"/>
        </w:pBdr>
        <w:spacing w:after="120" w:before="0"/>
        <w:ind w:left="240"/>
      </w:pPr>
      <w:r>
        <w:rPr>
          <w:rFonts w:ascii="Arial" w:cs="Arial" w:eastAsia="Arial" w:hAnsi="Arial"/>
          <w:sz w:val="22"/>
          <w:szCs w:val="22"/>
        </w:rPr>
        <w:t xml:space="preserve">Get a Quote</w:t>
      </w:r>
    </w:p>
    <w:p>
      <w:pPr>
        <w:spacing w:after="60" w:before="200"/>
      </w:pPr>
      <w:r>
        <w:rPr>
          <w:rFonts w:ascii="Arial" w:cs="Arial" w:eastAsia="Arial" w:hAnsi="Arial"/>
          <w:i/>
          <w:iCs/>
          <w:color w:val="666666"/>
          <w:sz w:val="18"/>
          <w:szCs w:val="18"/>
        </w:rPr>
        <w:t xml:space="preserve">Secondary CTA</w:t>
      </w:r>
    </w:p>
    <w:p>
      <w:pPr>
        <w:pBdr>
          <w:left w:val="single" w:color="5A6B00" w:sz="16" w:space="8"/>
        </w:pBdr>
        <w:spacing w:after="120" w:before="0"/>
        <w:ind w:left="240"/>
      </w:pPr>
      <w:r>
        <w:rPr>
          <w:rFonts w:ascii="Arial" w:cs="Arial" w:eastAsia="Arial" w:hAnsi="Arial"/>
          <w:sz w:val="22"/>
          <w:szCs w:val="22"/>
        </w:rPr>
        <w:t xml:space="preserve">How it works</w:t>
      </w:r>
    </w:p>
    <w:p>
      <w:pPr>
        <w:pStyle w:val="Heading2"/>
        <w:spacing w:after="140" w:before="320"/>
      </w:pPr>
      <w:r>
        <w:rPr>
          <w:rFonts w:ascii="Arial" w:cs="Arial" w:eastAsia="Arial" w:hAnsi="Arial"/>
          <w:b/>
          <w:bCs/>
          <w:sz w:val="28"/>
          <w:szCs w:val="28"/>
        </w:rPr>
        <w:t xml:space="preserve">Why Now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Why Now</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The biggest bankruptcies in crypto history are still working through the courts.</w:t>
      </w:r>
    </w:p>
    <w:p>
      <w:pPr>
        <w:spacing w:after="60" w:before="200"/>
      </w:pPr>
      <w:r>
        <w:rPr>
          <w:rFonts w:ascii="Arial" w:cs="Arial" w:eastAsia="Arial" w:hAnsi="Arial"/>
          <w:i/>
          <w:iCs/>
          <w:color w:val="666666"/>
          <w:sz w:val="18"/>
          <w:szCs w:val="18"/>
        </w:rPr>
        <w:t xml:space="preserve">Body paragraph</w:t>
      </w:r>
    </w:p>
    <w:p>
      <w:pPr>
        <w:pBdr>
          <w:left w:val="single" w:color="5A6B00" w:sz="16" w:space="8"/>
        </w:pBdr>
        <w:spacing w:after="120" w:before="0"/>
        <w:ind w:left="240"/>
      </w:pPr>
      <w:r>
        <w:rPr>
          <w:rFonts w:ascii="Arial" w:cs="Arial" w:eastAsia="Arial" w:hAnsi="Arial"/>
          <w:sz w:val="22"/>
          <w:szCs w:val="22"/>
        </w:rPr>
        <w:t xml:space="preserve">Tens of billions of dollars in creditor claims remain unresolved, with distributions stretching across multi-year timelines and complex token-versus-USD valuation disputes. You don't have to wait. Turnpage's institutional buyers are pricing crypto claims daily — and we structure transactions that fit your tax posture, fund obligations, and risk tolerance.</w:t>
      </w:r>
    </w:p>
    <w:p>
      <w:pPr>
        <w:pStyle w:val="Heading2"/>
        <w:spacing w:after="140" w:before="320"/>
      </w:pPr>
      <w:r>
        <w:rPr>
          <w:rFonts w:ascii="Arial" w:cs="Arial" w:eastAsia="Arial" w:hAnsi="Arial"/>
          <w:b/>
          <w:bCs/>
          <w:sz w:val="28"/>
          <w:szCs w:val="28"/>
        </w:rPr>
        <w:t xml:space="preserve">Who We Help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Who We Help</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From single creditors to institutional fund holders.</w:t>
      </w:r>
    </w:p>
    <w:p>
      <w:pPr>
        <w:pStyle w:val="Heading3"/>
        <w:spacing w:after="100" w:before="240"/>
      </w:pPr>
      <w:r>
        <w:rPr>
          <w:rFonts w:ascii="Arial" w:cs="Arial" w:eastAsia="Arial" w:hAnsi="Arial"/>
          <w:b/>
          <w:bCs/>
          <w:color w:val="404040"/>
          <w:sz w:val="24"/>
          <w:szCs w:val="24"/>
        </w:rPr>
        <w:t xml:space="preserve">Card 1 — Individual Creditors</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Individual Creditors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If you held assets on FTX, Celsius, BlockFi, Voyager, or another crypto platform that filed for bankruptcy, you can sell your claim to a Turnpage counterparty and exit the proceeding.</w:t>
      </w:r>
    </w:p>
    <w:p>
      <w:pPr>
        <w:pStyle w:val="Heading3"/>
        <w:spacing w:after="100" w:before="240"/>
      </w:pPr>
      <w:r>
        <w:rPr>
          <w:rFonts w:ascii="Arial" w:cs="Arial" w:eastAsia="Arial" w:hAnsi="Arial"/>
          <w:b/>
          <w:bCs/>
          <w:color w:val="404040"/>
          <w:sz w:val="24"/>
          <w:szCs w:val="24"/>
        </w:rPr>
        <w:t xml:space="preserve">Card 2 — Funds &amp; Institutional Holders</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Funds &amp; Institutional Holders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Bulk dispositions, side-pocket cleanups, and time-pressured liquidations. We move size discreetly and price competitively against the broader claims market.</w:t>
      </w:r>
    </w:p>
    <w:p>
      <w:pPr>
        <w:pStyle w:val="Heading3"/>
        <w:spacing w:after="100" w:before="240"/>
      </w:pPr>
      <w:r>
        <w:rPr>
          <w:rFonts w:ascii="Arial" w:cs="Arial" w:eastAsia="Arial" w:hAnsi="Arial"/>
          <w:b/>
          <w:bCs/>
          <w:color w:val="404040"/>
          <w:sz w:val="24"/>
          <w:szCs w:val="24"/>
        </w:rPr>
        <w:t xml:space="preserve">Card 3 — Estates &amp; Trustees</w:t>
      </w:r>
    </w:p>
    <w:p>
      <w:pPr>
        <w:spacing w:after="60" w:before="200"/>
      </w:pPr>
      <w:r>
        <w:rPr>
          <w:rFonts w:ascii="Arial" w:cs="Arial" w:eastAsia="Arial" w:hAnsi="Arial"/>
          <w:i/>
          <w:iCs/>
          <w:color w:val="666666"/>
          <w:sz w:val="18"/>
          <w:szCs w:val="18"/>
        </w:rPr>
        <w:t xml:space="preserve">Title</w:t>
      </w:r>
    </w:p>
    <w:p>
      <w:pPr>
        <w:pBdr>
          <w:left w:val="single" w:color="5A6B00" w:sz="16" w:space="8"/>
        </w:pBdr>
        <w:spacing w:after="120" w:before="0"/>
        <w:ind w:left="240"/>
      </w:pPr>
      <w:r>
        <w:rPr>
          <w:rFonts w:ascii="Arial" w:cs="Arial" w:eastAsia="Arial" w:hAnsi="Arial"/>
          <w:sz w:val="22"/>
          <w:szCs w:val="22"/>
        </w:rPr>
        <w:t xml:space="preserve">Estates &amp; Trustees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If you're administering an estate or a trust that holds crypto bankruptcy claims, we can quote the entire position and close end-to-end.</w:t>
      </w:r>
    </w:p>
    <w:p>
      <w:pPr>
        <w:pStyle w:val="Heading2"/>
        <w:spacing w:after="140" w:before="320"/>
      </w:pPr>
      <w:r>
        <w:rPr>
          <w:rFonts w:ascii="Arial" w:cs="Arial" w:eastAsia="Arial" w:hAnsi="Arial"/>
          <w:b/>
          <w:bCs/>
          <w:sz w:val="28"/>
          <w:szCs w:val="28"/>
        </w:rPr>
        <w:t xml:space="preserve">What We Offer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What We Offer</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Capital first. Mechanics handled.</w:t>
      </w:r>
    </w:p>
    <w:p>
      <w:pPr>
        <w:pStyle w:val="Heading3"/>
        <w:spacing w:after="100" w:before="240"/>
      </w:pPr>
      <w:r>
        <w:rPr>
          <w:rFonts w:ascii="Arial" w:cs="Arial" w:eastAsia="Arial" w:hAnsi="Arial"/>
          <w:b/>
          <w:bCs/>
          <w:color w:val="404040"/>
          <w:sz w:val="24"/>
          <w:szCs w:val="24"/>
        </w:rPr>
        <w:t xml:space="preserve">Capital Solutions block</w:t>
      </w:r>
    </w:p>
    <w:p>
      <w:pPr>
        <w:spacing w:after="60" w:before="200"/>
      </w:pPr>
      <w:r>
        <w:rPr>
          <w:rFonts w:ascii="Arial" w:cs="Arial" w:eastAsia="Arial" w:hAnsi="Arial"/>
          <w:i/>
          <w:iCs/>
          <w:color w:val="666666"/>
          <w:sz w:val="18"/>
          <w:szCs w:val="18"/>
        </w:rPr>
        <w:t xml:space="preserve">Title (neon green)</w:t>
      </w:r>
    </w:p>
    <w:p>
      <w:pPr>
        <w:pBdr>
          <w:left w:val="single" w:color="5A6B00" w:sz="16" w:space="8"/>
        </w:pBdr>
        <w:spacing w:after="120" w:before="0"/>
        <w:ind w:left="240"/>
      </w:pPr>
      <w:r>
        <w:rPr>
          <w:rFonts w:ascii="Arial" w:cs="Arial" w:eastAsia="Arial" w:hAnsi="Arial"/>
          <w:sz w:val="22"/>
          <w:szCs w:val="22"/>
        </w:rPr>
        <w:t xml:space="preserve">Capital Solutions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A competitive cash bid for your claim, sourced from our network of 500+ institutional buyers. We quote in fiat, settle in fiat, and handle the assignment paperwork.</w:t>
      </w:r>
    </w:p>
    <w:p>
      <w:pPr>
        <w:spacing w:after="60" w:before="200"/>
      </w:pPr>
      <w:r>
        <w:rPr>
          <w:rFonts w:ascii="Arial" w:cs="Arial" w:eastAsia="Arial" w:hAnsi="Arial"/>
          <w:i/>
          <w:iCs/>
          <w:color w:val="666666"/>
          <w:sz w:val="18"/>
          <w:szCs w:val="18"/>
        </w:rPr>
        <w:t xml:space="preserve">Bullet 1</w:t>
      </w:r>
    </w:p>
    <w:p>
      <w:pPr>
        <w:pBdr>
          <w:left w:val="single" w:color="5A6B00" w:sz="16" w:space="8"/>
        </w:pBdr>
        <w:spacing w:after="120" w:before="0"/>
        <w:ind w:left="240"/>
      </w:pPr>
      <w:r>
        <w:rPr>
          <w:rFonts w:ascii="Arial" w:cs="Arial" w:eastAsia="Arial" w:hAnsi="Arial"/>
          <w:sz w:val="22"/>
          <w:szCs w:val="22"/>
        </w:rPr>
        <w:t xml:space="preserve">Single-creditor and bulk-fund claim purchases</w:t>
      </w:r>
    </w:p>
    <w:p>
      <w:pPr>
        <w:spacing w:after="60" w:before="200"/>
      </w:pPr>
      <w:r>
        <w:rPr>
          <w:rFonts w:ascii="Arial" w:cs="Arial" w:eastAsia="Arial" w:hAnsi="Arial"/>
          <w:i/>
          <w:iCs/>
          <w:color w:val="666666"/>
          <w:sz w:val="18"/>
          <w:szCs w:val="18"/>
        </w:rPr>
        <w:t xml:space="preserve">Bullet 2</w:t>
      </w:r>
    </w:p>
    <w:p>
      <w:pPr>
        <w:pBdr>
          <w:left w:val="single" w:color="5A6B00" w:sz="16" w:space="8"/>
        </w:pBdr>
        <w:spacing w:after="120" w:before="0"/>
        <w:ind w:left="240"/>
      </w:pPr>
      <w:r>
        <w:rPr>
          <w:rFonts w:ascii="Arial" w:cs="Arial" w:eastAsia="Arial" w:hAnsi="Arial"/>
          <w:sz w:val="22"/>
          <w:szCs w:val="22"/>
        </w:rPr>
        <w:t xml:space="preserve">Quotes turned around in days, not weeks</w:t>
      </w:r>
    </w:p>
    <w:p>
      <w:pPr>
        <w:spacing w:after="60" w:before="200"/>
      </w:pPr>
      <w:r>
        <w:rPr>
          <w:rFonts w:ascii="Arial" w:cs="Arial" w:eastAsia="Arial" w:hAnsi="Arial"/>
          <w:i/>
          <w:iCs/>
          <w:color w:val="666666"/>
          <w:sz w:val="18"/>
          <w:szCs w:val="18"/>
        </w:rPr>
        <w:t xml:space="preserve">Bullet 3</w:t>
      </w:r>
    </w:p>
    <w:p>
      <w:pPr>
        <w:pBdr>
          <w:left w:val="single" w:color="5A6B00" w:sz="16" w:space="8"/>
        </w:pBdr>
        <w:spacing w:after="120" w:before="0"/>
        <w:ind w:left="240"/>
      </w:pPr>
      <w:r>
        <w:rPr>
          <w:rFonts w:ascii="Arial" w:cs="Arial" w:eastAsia="Arial" w:hAnsi="Arial"/>
          <w:sz w:val="22"/>
          <w:szCs w:val="22"/>
        </w:rPr>
        <w:t xml:space="preserve">All-cash close — no contingent payouts</w:t>
      </w:r>
    </w:p>
    <w:p>
      <w:pPr>
        <w:spacing w:after="60" w:before="200"/>
      </w:pPr>
      <w:r>
        <w:rPr>
          <w:rFonts w:ascii="Arial" w:cs="Arial" w:eastAsia="Arial" w:hAnsi="Arial"/>
          <w:i/>
          <w:iCs/>
          <w:color w:val="666666"/>
          <w:sz w:val="18"/>
          <w:szCs w:val="18"/>
        </w:rPr>
        <w:t xml:space="preserve">Bullet 4</w:t>
      </w:r>
    </w:p>
    <w:p>
      <w:pPr>
        <w:pBdr>
          <w:left w:val="single" w:color="5A6B00" w:sz="16" w:space="8"/>
        </w:pBdr>
        <w:spacing w:after="120" w:before="0"/>
        <w:ind w:left="240"/>
      </w:pPr>
      <w:r>
        <w:rPr>
          <w:rFonts w:ascii="Arial" w:cs="Arial" w:eastAsia="Arial" w:hAnsi="Arial"/>
          <w:sz w:val="22"/>
          <w:szCs w:val="22"/>
        </w:rPr>
        <w:t xml:space="preserve">Transparent pricing benchmarked against the broader market</w:t>
      </w:r>
    </w:p>
    <w:p>
      <w:pPr>
        <w:pStyle w:val="Heading3"/>
        <w:spacing w:after="100" w:before="240"/>
      </w:pPr>
      <w:r>
        <w:rPr>
          <w:rFonts w:ascii="Arial" w:cs="Arial" w:eastAsia="Arial" w:hAnsi="Arial"/>
          <w:b/>
          <w:bCs/>
          <w:color w:val="404040"/>
          <w:sz w:val="24"/>
          <w:szCs w:val="24"/>
        </w:rPr>
        <w:t xml:space="preserve">Advisory block</w:t>
      </w:r>
    </w:p>
    <w:p>
      <w:pPr>
        <w:spacing w:after="60" w:before="200"/>
      </w:pPr>
      <w:r>
        <w:rPr>
          <w:rFonts w:ascii="Arial" w:cs="Arial" w:eastAsia="Arial" w:hAnsi="Arial"/>
          <w:i/>
          <w:iCs/>
          <w:color w:val="666666"/>
          <w:sz w:val="18"/>
          <w:szCs w:val="18"/>
        </w:rPr>
        <w:t xml:space="preserve">Title (neon green)</w:t>
      </w:r>
    </w:p>
    <w:p>
      <w:pPr>
        <w:pBdr>
          <w:left w:val="single" w:color="5A6B00" w:sz="16" w:space="8"/>
        </w:pBdr>
        <w:spacing w:after="120" w:before="0"/>
        <w:ind w:left="240"/>
      </w:pPr>
      <w:r>
        <w:rPr>
          <w:rFonts w:ascii="Arial" w:cs="Arial" w:eastAsia="Arial" w:hAnsi="Arial"/>
          <w:sz w:val="22"/>
          <w:szCs w:val="22"/>
        </w:rPr>
        <w:t xml:space="preserve">Advisory</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Distribution waterfalls. Token-vs-fiat valuation disputes. Tax basis preservation. The plan-of-reorganization landscape is messy — we navigate it with you and bring counsel introductions when needed.</w:t>
      </w:r>
    </w:p>
    <w:p>
      <w:pPr>
        <w:spacing w:after="60" w:before="200"/>
      </w:pPr>
      <w:r>
        <w:rPr>
          <w:rFonts w:ascii="Arial" w:cs="Arial" w:eastAsia="Arial" w:hAnsi="Arial"/>
          <w:i/>
          <w:iCs/>
          <w:color w:val="666666"/>
          <w:sz w:val="18"/>
          <w:szCs w:val="18"/>
        </w:rPr>
        <w:t xml:space="preserve">Bullet 1</w:t>
      </w:r>
    </w:p>
    <w:p>
      <w:pPr>
        <w:pBdr>
          <w:left w:val="single" w:color="5A6B00" w:sz="16" w:space="8"/>
        </w:pBdr>
        <w:spacing w:after="120" w:before="0"/>
        <w:ind w:left="240"/>
      </w:pPr>
      <w:r>
        <w:rPr>
          <w:rFonts w:ascii="Arial" w:cs="Arial" w:eastAsia="Arial" w:hAnsi="Arial"/>
          <w:sz w:val="22"/>
          <w:szCs w:val="22"/>
        </w:rPr>
        <w:t xml:space="preserve">Plan of reorganization analysis</w:t>
      </w:r>
    </w:p>
    <w:p>
      <w:pPr>
        <w:spacing w:after="60" w:before="200"/>
      </w:pPr>
      <w:r>
        <w:rPr>
          <w:rFonts w:ascii="Arial" w:cs="Arial" w:eastAsia="Arial" w:hAnsi="Arial"/>
          <w:i/>
          <w:iCs/>
          <w:color w:val="666666"/>
          <w:sz w:val="18"/>
          <w:szCs w:val="18"/>
        </w:rPr>
        <w:t xml:space="preserve">Bullet 2</w:t>
      </w:r>
    </w:p>
    <w:p>
      <w:pPr>
        <w:pBdr>
          <w:left w:val="single" w:color="5A6B00" w:sz="16" w:space="8"/>
        </w:pBdr>
        <w:spacing w:after="120" w:before="0"/>
        <w:ind w:left="240"/>
      </w:pPr>
      <w:r>
        <w:rPr>
          <w:rFonts w:ascii="Arial" w:cs="Arial" w:eastAsia="Arial" w:hAnsi="Arial"/>
          <w:sz w:val="22"/>
          <w:szCs w:val="22"/>
        </w:rPr>
        <w:t xml:space="preserve">Token-vs-fiat valuation strategy</w:t>
      </w:r>
    </w:p>
    <w:p>
      <w:pPr>
        <w:spacing w:after="60" w:before="200"/>
      </w:pPr>
      <w:r>
        <w:rPr>
          <w:rFonts w:ascii="Arial" w:cs="Arial" w:eastAsia="Arial" w:hAnsi="Arial"/>
          <w:i/>
          <w:iCs/>
          <w:color w:val="666666"/>
          <w:sz w:val="18"/>
          <w:szCs w:val="18"/>
        </w:rPr>
        <w:t xml:space="preserve">Bullet 3</w:t>
      </w:r>
    </w:p>
    <w:p>
      <w:pPr>
        <w:pBdr>
          <w:left w:val="single" w:color="5A6B00" w:sz="16" w:space="8"/>
        </w:pBdr>
        <w:spacing w:after="120" w:before="0"/>
        <w:ind w:left="240"/>
      </w:pPr>
      <w:r>
        <w:rPr>
          <w:rFonts w:ascii="Arial" w:cs="Arial" w:eastAsia="Arial" w:hAnsi="Arial"/>
          <w:sz w:val="22"/>
          <w:szCs w:val="22"/>
        </w:rPr>
        <w:t xml:space="preserve">Tax-basis-aware structuring</w:t>
      </w:r>
    </w:p>
    <w:p>
      <w:pPr>
        <w:spacing w:after="60" w:before="200"/>
      </w:pPr>
      <w:r>
        <w:rPr>
          <w:rFonts w:ascii="Arial" w:cs="Arial" w:eastAsia="Arial" w:hAnsi="Arial"/>
          <w:i/>
          <w:iCs/>
          <w:color w:val="666666"/>
          <w:sz w:val="18"/>
          <w:szCs w:val="18"/>
        </w:rPr>
        <w:t xml:space="preserve">Bullet 4</w:t>
      </w:r>
    </w:p>
    <w:p>
      <w:pPr>
        <w:pBdr>
          <w:left w:val="single" w:color="5A6B00" w:sz="16" w:space="8"/>
        </w:pBdr>
        <w:spacing w:after="120" w:before="0"/>
        <w:ind w:left="240"/>
      </w:pPr>
      <w:r>
        <w:rPr>
          <w:rFonts w:ascii="Arial" w:cs="Arial" w:eastAsia="Arial" w:hAnsi="Arial"/>
          <w:sz w:val="22"/>
          <w:szCs w:val="22"/>
        </w:rPr>
        <w:t xml:space="preserve">Counsel introductions for complex matters</w:t>
      </w:r>
    </w:p>
    <w:p>
      <w:pPr>
        <w:pStyle w:val="Heading2"/>
        <w:spacing w:after="140" w:before="320"/>
      </w:pPr>
      <w:r>
        <w:rPr>
          <w:rFonts w:ascii="Arial" w:cs="Arial" w:eastAsia="Arial" w:hAnsi="Arial"/>
          <w:b/>
          <w:bCs/>
          <w:sz w:val="28"/>
          <w:szCs w:val="28"/>
        </w:rPr>
        <w:t xml:space="preserve">Closing CTA</w:t>
      </w:r>
    </w:p>
    <w:p>
      <w:pPr>
        <w:spacing w:after="60" w:before="200"/>
      </w:pPr>
      <w:r>
        <w:rPr>
          <w:rFonts w:ascii="Arial" w:cs="Arial" w:eastAsia="Arial" w:hAnsi="Arial"/>
          <w:i/>
          <w:iCs/>
          <w:color w:val="666666"/>
          <w:sz w:val="18"/>
          <w:szCs w:val="18"/>
        </w:rPr>
        <w:t xml:space="preserve">H2 (accent phrase neon green)</w:t>
      </w:r>
    </w:p>
    <w:p>
      <w:pPr>
        <w:pBdr>
          <w:left w:val="single" w:color="5A6B00" w:sz="16" w:space="8"/>
        </w:pBdr>
        <w:spacing w:after="120" w:before="0"/>
        <w:ind w:left="240"/>
      </w:pPr>
      <w:r>
        <w:rPr>
          <w:rFonts w:ascii="Arial" w:cs="Arial" w:eastAsia="Arial" w:hAnsi="Arial"/>
          <w:sz w:val="22"/>
          <w:szCs w:val="22"/>
        </w:rPr>
        <w:t xml:space="preserve">Ready to liquidate? Get a quote.  [the words 'Get a quote.' render in neon green]</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Send us the basics and we'll come back with a competitive bid within 48 hours.</w:t>
      </w:r>
    </w:p>
    <w:p>
      <w:pPr>
        <w:spacing w:after="60" w:before="200"/>
      </w:pPr>
      <w:r>
        <w:rPr>
          <w:rFonts w:ascii="Arial" w:cs="Arial" w:eastAsia="Arial" w:hAnsi="Arial"/>
          <w:i/>
          <w:iCs/>
          <w:color w:val="666666"/>
          <w:sz w:val="18"/>
          <w:szCs w:val="18"/>
        </w:rPr>
        <w:t xml:space="preserve">Button</w:t>
      </w:r>
    </w:p>
    <w:p>
      <w:pPr>
        <w:pBdr>
          <w:left w:val="single" w:color="5A6B00" w:sz="16" w:space="8"/>
        </w:pBdr>
        <w:spacing w:after="120" w:before="0"/>
        <w:ind w:left="240"/>
      </w:pPr>
      <w:r>
        <w:rPr>
          <w:rFonts w:ascii="Arial" w:cs="Arial" w:eastAsia="Arial" w:hAnsi="Arial"/>
          <w:sz w:val="22"/>
          <w:szCs w:val="22"/>
        </w:rPr>
        <w:t xml:space="preserve">Get a Quote</w:t>
      </w:r>
    </w:p>
    <w:p>
      <w:pPr>
        <w:pStyle w:val="Heading1"/>
        <w:pageBreakBefore/>
        <w:spacing w:after="200" w:before="480"/>
      </w:pPr>
      <w:r>
        <w:rPr>
          <w:rFonts w:ascii="Arial" w:cs="Arial" w:eastAsia="Arial" w:hAnsi="Arial"/>
          <w:b/>
          <w:bCs/>
          <w:sz w:val="36"/>
          <w:szCs w:val="36"/>
        </w:rPr>
        <w:t xml:space="preserve">Briefings Page (turnpagedigital.com/#/briefings)</w:t>
      </w:r>
    </w:p>
    <w:p>
      <w:pPr>
        <w:spacing w:after="120"/>
      </w:pPr>
      <w:r>
        <w:rPr>
          <w:rFonts w:ascii="Arial" w:cs="Arial" w:eastAsia="Arial" w:hAnsi="Arial"/>
          <w:i/>
          <w:iCs/>
          <w:color w:val="666666"/>
          <w:sz w:val="22"/>
          <w:szCs w:val="22"/>
        </w:rPr>
        <w:t xml:space="preserve">This is the public-facing blog. The hero copy below is what shows above the list of briefings. The briefings themselves live as separate markdown files; their titles and summaries are edited in public/briefings/index.json (not in this doc).</w:t>
      </w:r>
    </w:p>
    <w:p>
      <w:pPr>
        <w:pStyle w:val="Heading2"/>
        <w:spacing w:after="140" w:before="320"/>
      </w:pPr>
      <w:r>
        <w:rPr>
          <w:rFonts w:ascii="Arial" w:cs="Arial" w:eastAsia="Arial" w:hAnsi="Arial"/>
          <w:b/>
          <w:bCs/>
          <w:sz w:val="28"/>
          <w:szCs w:val="28"/>
        </w:rPr>
        <w:t xml:space="preserve">Hero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Briefings</w:t>
      </w:r>
    </w:p>
    <w:p>
      <w:pPr>
        <w:spacing w:after="60" w:before="200"/>
      </w:pPr>
      <w:r>
        <w:rPr>
          <w:rFonts w:ascii="Arial" w:cs="Arial" w:eastAsia="Arial" w:hAnsi="Arial"/>
          <w:i/>
          <w:iCs/>
          <w:color w:val="666666"/>
          <w:sz w:val="18"/>
          <w:szCs w:val="18"/>
        </w:rPr>
        <w:t xml:space="preserve">H1 — first part</w:t>
      </w:r>
    </w:p>
    <w:p>
      <w:pPr>
        <w:pBdr>
          <w:left w:val="single" w:color="5A6B00" w:sz="16" w:space="8"/>
        </w:pBdr>
        <w:spacing w:after="120" w:before="0"/>
        <w:ind w:left="240"/>
      </w:pPr>
      <w:r>
        <w:rPr>
          <w:rFonts w:ascii="Arial" w:cs="Arial" w:eastAsia="Arial" w:hAnsi="Arial"/>
          <w:sz w:val="22"/>
          <w:szCs w:val="22"/>
        </w:rPr>
        <w:t xml:space="preserve">Analysis from the AI copyright</w:t>
      </w:r>
    </w:p>
    <w:p>
      <w:pPr>
        <w:spacing w:after="60" w:before="200"/>
      </w:pPr>
      <w:r>
        <w:rPr>
          <w:rFonts w:ascii="Arial" w:cs="Arial" w:eastAsia="Arial" w:hAnsi="Arial"/>
          <w:i/>
          <w:iCs/>
          <w:color w:val="666666"/>
          <w:sz w:val="18"/>
          <w:szCs w:val="18"/>
        </w:rPr>
        <w:t xml:space="preserve">H1 — accent (neon green)</w:t>
      </w:r>
    </w:p>
    <w:p>
      <w:pPr>
        <w:pBdr>
          <w:left w:val="single" w:color="5A6B00" w:sz="16" w:space="8"/>
        </w:pBdr>
        <w:spacing w:after="120" w:before="0"/>
        <w:ind w:left="240"/>
      </w:pPr>
      <w:r>
        <w:rPr>
          <w:rFonts w:ascii="Arial" w:cs="Arial" w:eastAsia="Arial" w:hAnsi="Arial"/>
          <w:sz w:val="22"/>
          <w:szCs w:val="22"/>
        </w:rPr>
        <w:t xml:space="preserve">frontier.</w:t>
      </w:r>
    </w:p>
    <w:p>
      <w:pPr>
        <w:spacing w:after="60" w:before="200"/>
      </w:pPr>
      <w:r>
        <w:rPr>
          <w:rFonts w:ascii="Arial" w:cs="Arial" w:eastAsia="Arial" w:hAnsi="Arial"/>
          <w:i/>
          <w:iCs/>
          <w:color w:val="666666"/>
          <w:sz w:val="18"/>
          <w:szCs w:val="18"/>
        </w:rPr>
        <w:t xml:space="preserve">Subheadline</w:t>
      </w:r>
    </w:p>
    <w:p>
      <w:pPr>
        <w:pBdr>
          <w:left w:val="single" w:color="5A6B00" w:sz="16" w:space="8"/>
        </w:pBdr>
        <w:spacing w:after="120" w:before="0"/>
        <w:ind w:left="240"/>
      </w:pPr>
      <w:r>
        <w:rPr>
          <w:rFonts w:ascii="Arial" w:cs="Arial" w:eastAsia="Arial" w:hAnsi="Arial"/>
          <w:sz w:val="22"/>
          <w:szCs w:val="22"/>
        </w:rPr>
        <w:t xml:space="preserve">Daily-grade analysis on the cases, settlements, and rulings shaping the AI copyright landscape — written for rights holders, counsel, and dealmakers.</w:t>
      </w:r>
    </w:p>
    <w:p>
      <w:pPr>
        <w:pStyle w:val="Heading1"/>
        <w:pageBreakBefore/>
        <w:spacing w:after="200" w:before="480"/>
      </w:pPr>
      <w:r>
        <w:rPr>
          <w:rFonts w:ascii="Arial" w:cs="Arial" w:eastAsia="Arial" w:hAnsi="Arial"/>
          <w:b/>
          <w:bCs/>
          <w:sz w:val="36"/>
          <w:szCs w:val="36"/>
        </w:rPr>
        <w:t xml:space="preserve">About Page (turnpagedigital.com/#/about)</w:t>
      </w:r>
    </w:p>
    <w:p>
      <w:pPr>
        <w:pStyle w:val="Heading2"/>
        <w:spacing w:after="140" w:before="320"/>
      </w:pPr>
      <w:r>
        <w:rPr>
          <w:rFonts w:ascii="Arial" w:cs="Arial" w:eastAsia="Arial" w:hAnsi="Arial"/>
          <w:b/>
          <w:bCs/>
          <w:sz w:val="28"/>
          <w:szCs w:val="28"/>
        </w:rPr>
        <w:t xml:space="preserve">Hero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About Turnpage</w:t>
      </w:r>
    </w:p>
    <w:p>
      <w:pPr>
        <w:spacing w:after="60" w:before="200"/>
      </w:pPr>
      <w:r>
        <w:rPr>
          <w:rFonts w:ascii="Arial" w:cs="Arial" w:eastAsia="Arial" w:hAnsi="Arial"/>
          <w:i/>
          <w:iCs/>
          <w:color w:val="666666"/>
          <w:sz w:val="18"/>
          <w:szCs w:val="18"/>
        </w:rPr>
        <w:t xml:space="preserve">H1 — first part</w:t>
      </w:r>
    </w:p>
    <w:p>
      <w:pPr>
        <w:pBdr>
          <w:left w:val="single" w:color="5A6B00" w:sz="16" w:space="8"/>
        </w:pBdr>
        <w:spacing w:after="120" w:before="0"/>
        <w:ind w:left="240"/>
      </w:pPr>
      <w:r>
        <w:rPr>
          <w:rFonts w:ascii="Arial" w:cs="Arial" w:eastAsia="Arial" w:hAnsi="Arial"/>
          <w:sz w:val="22"/>
          <w:szCs w:val="22"/>
        </w:rPr>
        <w:t xml:space="preserve">An OTC desk built for</w:t>
      </w:r>
    </w:p>
    <w:p>
      <w:pPr>
        <w:spacing w:after="60" w:before="200"/>
      </w:pPr>
      <w:r>
        <w:rPr>
          <w:rFonts w:ascii="Arial" w:cs="Arial" w:eastAsia="Arial" w:hAnsi="Arial"/>
          <w:i/>
          <w:iCs/>
          <w:color w:val="666666"/>
          <w:sz w:val="18"/>
          <w:szCs w:val="18"/>
        </w:rPr>
        <w:t xml:space="preserve">H1 — accent (neon green)</w:t>
      </w:r>
    </w:p>
    <w:p>
      <w:pPr>
        <w:pBdr>
          <w:left w:val="single" w:color="5A6B00" w:sz="16" w:space="8"/>
        </w:pBdr>
        <w:spacing w:after="120" w:before="0"/>
        <w:ind w:left="240"/>
      </w:pPr>
      <w:r>
        <w:rPr>
          <w:rFonts w:ascii="Arial" w:cs="Arial" w:eastAsia="Arial" w:hAnsi="Arial"/>
          <w:sz w:val="22"/>
          <w:szCs w:val="22"/>
        </w:rPr>
        <w:t xml:space="preserve">rights holders.</w:t>
      </w:r>
    </w:p>
    <w:p>
      <w:pPr>
        <w:spacing w:after="60" w:before="200"/>
      </w:pPr>
      <w:r>
        <w:rPr>
          <w:rFonts w:ascii="Arial" w:cs="Arial" w:eastAsia="Arial" w:hAnsi="Arial"/>
          <w:i/>
          <w:iCs/>
          <w:color w:val="666666"/>
          <w:sz w:val="18"/>
          <w:szCs w:val="18"/>
        </w:rPr>
        <w:t xml:space="preserve">Subheadline</w:t>
      </w:r>
    </w:p>
    <w:p>
      <w:pPr>
        <w:pBdr>
          <w:left w:val="single" w:color="5A6B00" w:sz="16" w:space="8"/>
        </w:pBdr>
        <w:spacing w:after="120" w:before="0"/>
        <w:ind w:left="240"/>
      </w:pPr>
      <w:r>
        <w:rPr>
          <w:rFonts w:ascii="Arial" w:cs="Arial" w:eastAsia="Arial" w:hAnsi="Arial"/>
          <w:sz w:val="22"/>
          <w:szCs w:val="22"/>
        </w:rPr>
        <w:t xml:space="preserve">Turnpage Digital Markets is the institutional-grade desk for individuals and institutions with claims to compensation. We bring the discipline of a trading floor to a market that, until recently, didn't have one.</w:t>
      </w:r>
    </w:p>
    <w:p>
      <w:pPr>
        <w:pStyle w:val="Heading2"/>
        <w:spacing w:after="140" w:before="320"/>
      </w:pPr>
      <w:r>
        <w:rPr>
          <w:rFonts w:ascii="Arial" w:cs="Arial" w:eastAsia="Arial" w:hAnsi="Arial"/>
          <w:b/>
          <w:bCs/>
          <w:sz w:val="28"/>
          <w:szCs w:val="28"/>
        </w:rPr>
        <w:t xml:space="preserve">Mission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Mission</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Turn legal recoveries into liquid capital.</w:t>
      </w:r>
    </w:p>
    <w:p>
      <w:pPr>
        <w:spacing w:after="60" w:before="200"/>
      </w:pPr>
      <w:r>
        <w:rPr>
          <w:rFonts w:ascii="Arial" w:cs="Arial" w:eastAsia="Arial" w:hAnsi="Arial"/>
          <w:i/>
          <w:iCs/>
          <w:color w:val="666666"/>
          <w:sz w:val="18"/>
          <w:szCs w:val="18"/>
        </w:rPr>
        <w:t xml:space="preserve">Paragraph 1</w:t>
      </w:r>
    </w:p>
    <w:p>
      <w:pPr>
        <w:pBdr>
          <w:left w:val="single" w:color="5A6B00" w:sz="16" w:space="8"/>
        </w:pBdr>
        <w:spacing w:after="120" w:before="0"/>
        <w:ind w:left="240"/>
      </w:pPr>
      <w:r>
        <w:rPr>
          <w:rFonts w:ascii="Arial" w:cs="Arial" w:eastAsia="Arial" w:hAnsi="Arial"/>
          <w:sz w:val="22"/>
          <w:szCs w:val="22"/>
        </w:rPr>
        <w:t xml:space="preserve">Most rights holders never get the chance to liquidate their claims efficiently. The counterparties are scattered. The pricing is opaque. The documentation is bespoke. Distributions take years. Turnpage exists to fix that.</w:t>
      </w:r>
    </w:p>
    <w:p>
      <w:pPr>
        <w:spacing w:after="60" w:before="200"/>
      </w:pPr>
      <w:r>
        <w:rPr>
          <w:rFonts w:ascii="Arial" w:cs="Arial" w:eastAsia="Arial" w:hAnsi="Arial"/>
          <w:i/>
          <w:iCs/>
          <w:color w:val="666666"/>
          <w:sz w:val="18"/>
          <w:szCs w:val="18"/>
        </w:rPr>
        <w:t xml:space="preserve">Paragraph 2</w:t>
      </w:r>
    </w:p>
    <w:p>
      <w:pPr>
        <w:pBdr>
          <w:left w:val="single" w:color="5A6B00" w:sz="16" w:space="8"/>
        </w:pBdr>
        <w:spacing w:after="120" w:before="0"/>
        <w:ind w:left="240"/>
      </w:pPr>
      <w:r>
        <w:rPr>
          <w:rFonts w:ascii="Arial" w:cs="Arial" w:eastAsia="Arial" w:hAnsi="Arial"/>
          <w:sz w:val="22"/>
          <w:szCs w:val="22"/>
        </w:rPr>
        <w:t xml:space="preserve">We bring institutional buyers — over 500 financial institutions and growing — into a market that traditionally only worked for the largest creditors. Whether you're an author with a single Bartz claim, a music publisher running an aggregated catalogue, or a creditor sitting on a crypto bankruptcy distribution timeline, you can transact with us the way an institutional desk would transact with another desk: fast, fair, and documented.</w:t>
      </w:r>
    </w:p>
    <w:p>
      <w:pPr>
        <w:pStyle w:val="Heading2"/>
        <w:spacing w:after="140" w:before="320"/>
      </w:pPr>
      <w:r>
        <w:rPr>
          <w:rFonts w:ascii="Arial" w:cs="Arial" w:eastAsia="Arial" w:hAnsi="Arial"/>
          <w:b/>
          <w:bCs/>
          <w:sz w:val="28"/>
          <w:szCs w:val="28"/>
        </w:rPr>
        <w:t xml:space="preserve">Track Record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Track Record</w:t>
      </w:r>
    </w:p>
    <w:p>
      <w:pPr>
        <w:spacing w:after="60" w:before="200"/>
      </w:pPr>
      <w:r>
        <w:rPr>
          <w:rFonts w:ascii="Arial" w:cs="Arial" w:eastAsia="Arial" w:hAnsi="Arial"/>
          <w:i/>
          <w:iCs/>
          <w:color w:val="666666"/>
          <w:sz w:val="18"/>
          <w:szCs w:val="18"/>
        </w:rPr>
        <w:t xml:space="preserve">H2</w:t>
      </w:r>
    </w:p>
    <w:p>
      <w:pPr>
        <w:pBdr>
          <w:left w:val="single" w:color="5A6B00" w:sz="16" w:space="8"/>
        </w:pBdr>
        <w:spacing w:after="120" w:before="0"/>
        <w:ind w:left="240"/>
      </w:pPr>
      <w:r>
        <w:rPr>
          <w:rFonts w:ascii="Arial" w:cs="Arial" w:eastAsia="Arial" w:hAnsi="Arial"/>
          <w:sz w:val="22"/>
          <w:szCs w:val="22"/>
        </w:rPr>
        <w:t xml:space="preserve">The numbers behind the desk.</w:t>
      </w:r>
    </w:p>
    <w:p>
      <w:pPr>
        <w:spacing w:after="60" w:before="200"/>
      </w:pPr>
      <w:r>
        <w:rPr>
          <w:rFonts w:ascii="Arial" w:cs="Arial" w:eastAsia="Arial" w:hAnsi="Arial"/>
          <w:i/>
          <w:iCs/>
          <w:color w:val="666666"/>
          <w:sz w:val="18"/>
          <w:szCs w:val="18"/>
        </w:rPr>
        <w:t xml:space="preserve">Stat 1 number</w:t>
      </w:r>
    </w:p>
    <w:p>
      <w:pPr>
        <w:pBdr>
          <w:left w:val="single" w:color="5A6B00" w:sz="16" w:space="8"/>
        </w:pBdr>
        <w:spacing w:after="120" w:before="0"/>
        <w:ind w:left="240"/>
      </w:pPr>
      <w:r>
        <w:rPr>
          <w:rFonts w:ascii="Arial" w:cs="Arial" w:eastAsia="Arial" w:hAnsi="Arial"/>
          <w:sz w:val="22"/>
          <w:szCs w:val="22"/>
        </w:rPr>
        <w:t xml:space="preserve">$1B+</w:t>
      </w:r>
    </w:p>
    <w:p>
      <w:pPr>
        <w:spacing w:after="60" w:before="200"/>
      </w:pPr>
      <w:r>
        <w:rPr>
          <w:rFonts w:ascii="Arial" w:cs="Arial" w:eastAsia="Arial" w:hAnsi="Arial"/>
          <w:i/>
          <w:iCs/>
          <w:color w:val="666666"/>
          <w:sz w:val="18"/>
          <w:szCs w:val="18"/>
        </w:rPr>
        <w:t xml:space="preserve">Stat 1 label</w:t>
      </w:r>
    </w:p>
    <w:p>
      <w:pPr>
        <w:pBdr>
          <w:left w:val="single" w:color="5A6B00" w:sz="16" w:space="8"/>
        </w:pBdr>
        <w:spacing w:after="120" w:before="0"/>
        <w:ind w:left="240"/>
      </w:pPr>
      <w:r>
        <w:rPr>
          <w:rFonts w:ascii="Arial" w:cs="Arial" w:eastAsia="Arial" w:hAnsi="Arial"/>
          <w:sz w:val="22"/>
          <w:szCs w:val="22"/>
        </w:rPr>
        <w:t xml:space="preserve">In claims liquidated across class actions, bankruptcies, and complex litigation</w:t>
      </w:r>
    </w:p>
    <w:p>
      <w:pPr>
        <w:spacing w:after="60" w:before="200"/>
      </w:pPr>
      <w:r>
        <w:rPr>
          <w:rFonts w:ascii="Arial" w:cs="Arial" w:eastAsia="Arial" w:hAnsi="Arial"/>
          <w:i/>
          <w:iCs/>
          <w:color w:val="666666"/>
          <w:sz w:val="18"/>
          <w:szCs w:val="18"/>
        </w:rPr>
        <w:t xml:space="preserve">Stat 2 number</w:t>
      </w:r>
    </w:p>
    <w:p>
      <w:pPr>
        <w:pBdr>
          <w:left w:val="single" w:color="5A6B00" w:sz="16" w:space="8"/>
        </w:pBdr>
        <w:spacing w:after="120" w:before="0"/>
        <w:ind w:left="240"/>
      </w:pPr>
      <w:r>
        <w:rPr>
          <w:rFonts w:ascii="Arial" w:cs="Arial" w:eastAsia="Arial" w:hAnsi="Arial"/>
          <w:sz w:val="22"/>
          <w:szCs w:val="22"/>
        </w:rPr>
        <w:t xml:space="preserve">500+</w:t>
      </w:r>
    </w:p>
    <w:p>
      <w:pPr>
        <w:spacing w:after="60" w:before="200"/>
      </w:pPr>
      <w:r>
        <w:rPr>
          <w:rFonts w:ascii="Arial" w:cs="Arial" w:eastAsia="Arial" w:hAnsi="Arial"/>
          <w:i/>
          <w:iCs/>
          <w:color w:val="666666"/>
          <w:sz w:val="18"/>
          <w:szCs w:val="18"/>
        </w:rPr>
        <w:t xml:space="preserve">Stat 2 label</w:t>
      </w:r>
    </w:p>
    <w:p>
      <w:pPr>
        <w:pBdr>
          <w:left w:val="single" w:color="5A6B00" w:sz="16" w:space="8"/>
        </w:pBdr>
        <w:spacing w:after="120" w:before="0"/>
        <w:ind w:left="240"/>
      </w:pPr>
      <w:r>
        <w:rPr>
          <w:rFonts w:ascii="Arial" w:cs="Arial" w:eastAsia="Arial" w:hAnsi="Arial"/>
          <w:sz w:val="22"/>
          <w:szCs w:val="22"/>
        </w:rPr>
        <w:t xml:space="preserve">Financial institutions on speed dial — competitive bids, shorter timelines</w:t>
      </w:r>
    </w:p>
    <w:p>
      <w:pPr>
        <w:spacing w:after="60" w:before="200"/>
      </w:pPr>
      <w:r>
        <w:rPr>
          <w:rFonts w:ascii="Arial" w:cs="Arial" w:eastAsia="Arial" w:hAnsi="Arial"/>
          <w:i/>
          <w:iCs/>
          <w:color w:val="666666"/>
          <w:sz w:val="18"/>
          <w:szCs w:val="18"/>
        </w:rPr>
        <w:t xml:space="preserve">Stat 3 number</w:t>
      </w:r>
    </w:p>
    <w:p>
      <w:pPr>
        <w:pBdr>
          <w:left w:val="single" w:color="5A6B00" w:sz="16" w:space="8"/>
        </w:pBdr>
        <w:spacing w:after="120" w:before="0"/>
        <w:ind w:left="240"/>
      </w:pPr>
      <w:r>
        <w:rPr>
          <w:rFonts w:ascii="Arial" w:cs="Arial" w:eastAsia="Arial" w:hAnsi="Arial"/>
          <w:sz w:val="22"/>
          <w:szCs w:val="22"/>
        </w:rPr>
        <w:t xml:space="preserve">2018</w:t>
      </w:r>
    </w:p>
    <w:p>
      <w:pPr>
        <w:spacing w:after="60" w:before="200"/>
      </w:pPr>
      <w:r>
        <w:rPr>
          <w:rFonts w:ascii="Arial" w:cs="Arial" w:eastAsia="Arial" w:hAnsi="Arial"/>
          <w:i/>
          <w:iCs/>
          <w:color w:val="666666"/>
          <w:sz w:val="18"/>
          <w:szCs w:val="18"/>
        </w:rPr>
        <w:t xml:space="preserve">Stat 3 label</w:t>
      </w:r>
    </w:p>
    <w:p>
      <w:pPr>
        <w:pBdr>
          <w:left w:val="single" w:color="5A6B00" w:sz="16" w:space="8"/>
        </w:pBdr>
        <w:spacing w:after="120" w:before="0"/>
        <w:ind w:left="240"/>
      </w:pPr>
      <w:r>
        <w:rPr>
          <w:rFonts w:ascii="Arial" w:cs="Arial" w:eastAsia="Arial" w:hAnsi="Arial"/>
          <w:sz w:val="22"/>
          <w:szCs w:val="22"/>
        </w:rPr>
        <w:t xml:space="preserve">Founded to serve rights holders the traditional capital markets overlook</w:t>
      </w:r>
    </w:p>
    <w:p>
      <w:pPr>
        <w:pStyle w:val="Heading2"/>
        <w:spacing w:after="140" w:before="320"/>
      </w:pPr>
      <w:r>
        <w:rPr>
          <w:rFonts w:ascii="Arial" w:cs="Arial" w:eastAsia="Arial" w:hAnsi="Arial"/>
          <w:b/>
          <w:bCs/>
          <w:sz w:val="28"/>
          <w:szCs w:val="28"/>
        </w:rPr>
        <w:t xml:space="preserve">Leadership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Leadership</w:t>
      </w:r>
    </w:p>
    <w:p>
      <w:pPr>
        <w:spacing w:after="60" w:before="200"/>
      </w:pPr>
      <w:r>
        <w:rPr>
          <w:rFonts w:ascii="Arial" w:cs="Arial" w:eastAsia="Arial" w:hAnsi="Arial"/>
          <w:i/>
          <w:iCs/>
          <w:color w:val="666666"/>
          <w:sz w:val="18"/>
          <w:szCs w:val="18"/>
        </w:rPr>
        <w:t xml:space="preserve">Founder name (H2)</w:t>
      </w:r>
    </w:p>
    <w:p>
      <w:pPr>
        <w:pBdr>
          <w:left w:val="single" w:color="5A6B00" w:sz="16" w:space="8"/>
        </w:pBdr>
        <w:spacing w:after="120" w:before="0"/>
        <w:ind w:left="240"/>
      </w:pPr>
      <w:r>
        <w:rPr>
          <w:rFonts w:ascii="Arial" w:cs="Arial" w:eastAsia="Arial" w:hAnsi="Arial"/>
          <w:sz w:val="22"/>
          <w:szCs w:val="22"/>
        </w:rPr>
        <w:t xml:space="preserve">Andrew Glantz</w:t>
      </w:r>
    </w:p>
    <w:p>
      <w:pPr>
        <w:spacing w:after="60" w:before="200"/>
      </w:pPr>
      <w:r>
        <w:rPr>
          <w:rFonts w:ascii="Arial" w:cs="Arial" w:eastAsia="Arial" w:hAnsi="Arial"/>
          <w:i/>
          <w:iCs/>
          <w:color w:val="666666"/>
          <w:sz w:val="18"/>
          <w:szCs w:val="18"/>
        </w:rPr>
        <w:t xml:space="preserve">Founder bio (3–6 sentences ideal)</w:t>
      </w:r>
    </w:p>
    <w:p>
      <w:pPr>
        <w:pBdr>
          <w:left w:val="single" w:color="5A6B00" w:sz="16" w:space="8"/>
        </w:pBdr>
        <w:spacing w:after="120" w:before="0"/>
        <w:ind w:left="240"/>
      </w:pPr>
      <w:r>
        <w:rPr>
          <w:rFonts w:ascii="Arial" w:cs="Arial" w:eastAsia="Arial" w:hAnsi="Arial"/>
          <w:sz w:val="22"/>
          <w:szCs w:val="22"/>
        </w:rPr>
        <w:t xml:space="preserve">[Founder bio — paste your bio here. 3–6 sentences ideal: background, what you've built at Turnpage, why this work matters to you. We can also pull from your LinkedIn if you send a URL.]</w:t>
      </w:r>
    </w:p>
    <w:p>
      <w:pPr>
        <w:pStyle w:val="Heading2"/>
        <w:spacing w:after="140" w:before="320"/>
      </w:pPr>
      <w:r>
        <w:rPr>
          <w:rFonts w:ascii="Arial" w:cs="Arial" w:eastAsia="Arial" w:hAnsi="Arial"/>
          <w:b/>
          <w:bCs/>
          <w:sz w:val="28"/>
          <w:szCs w:val="28"/>
        </w:rPr>
        <w:t xml:space="preserve">Closing CTA</w:t>
      </w:r>
    </w:p>
    <w:p>
      <w:pPr>
        <w:spacing w:after="60" w:before="200"/>
      </w:pPr>
      <w:r>
        <w:rPr>
          <w:rFonts w:ascii="Arial" w:cs="Arial" w:eastAsia="Arial" w:hAnsi="Arial"/>
          <w:i/>
          <w:iCs/>
          <w:color w:val="666666"/>
          <w:sz w:val="18"/>
          <w:szCs w:val="18"/>
        </w:rPr>
        <w:t xml:space="preserve">H2 (accent neon green)</w:t>
      </w:r>
    </w:p>
    <w:p>
      <w:pPr>
        <w:pBdr>
          <w:left w:val="single" w:color="5A6B00" w:sz="16" w:space="8"/>
        </w:pBdr>
        <w:spacing w:after="120" w:before="0"/>
        <w:ind w:left="240"/>
      </w:pPr>
      <w:r>
        <w:rPr>
          <w:rFonts w:ascii="Arial" w:cs="Arial" w:eastAsia="Arial" w:hAnsi="Arial"/>
          <w:sz w:val="22"/>
          <w:szCs w:val="22"/>
        </w:rPr>
        <w:t xml:space="preserve">Want to work together? Let's talk.  [the words 'Let's talk.' render in neon green]</w:t>
      </w:r>
    </w:p>
    <w:p>
      <w:pPr>
        <w:spacing w:after="60" w:before="200"/>
      </w:pPr>
      <w:r>
        <w:rPr>
          <w:rFonts w:ascii="Arial" w:cs="Arial" w:eastAsia="Arial" w:hAnsi="Arial"/>
          <w:i/>
          <w:iCs/>
          <w:color w:val="666666"/>
          <w:sz w:val="18"/>
          <w:szCs w:val="18"/>
        </w:rPr>
        <w:t xml:space="preserve">Button</w:t>
      </w:r>
    </w:p>
    <w:p>
      <w:pPr>
        <w:pBdr>
          <w:left w:val="single" w:color="5A6B00" w:sz="16" w:space="8"/>
        </w:pBdr>
        <w:spacing w:after="120" w:before="0"/>
        <w:ind w:left="240"/>
      </w:pPr>
      <w:r>
        <w:rPr>
          <w:rFonts w:ascii="Arial" w:cs="Arial" w:eastAsia="Arial" w:hAnsi="Arial"/>
          <w:sz w:val="22"/>
          <w:szCs w:val="22"/>
        </w:rPr>
        <w:t xml:space="preserve">Get in Touch</w:t>
      </w:r>
    </w:p>
    <w:p>
      <w:pPr>
        <w:pStyle w:val="Heading1"/>
        <w:pageBreakBefore/>
        <w:spacing w:after="200" w:before="480"/>
      </w:pPr>
      <w:r>
        <w:rPr>
          <w:rFonts w:ascii="Arial" w:cs="Arial" w:eastAsia="Arial" w:hAnsi="Arial"/>
          <w:b/>
          <w:bCs/>
          <w:sz w:val="36"/>
          <w:szCs w:val="36"/>
        </w:rPr>
        <w:t xml:space="preserve">Contact Page (turnpagedigital.com/#/contact)</w:t>
      </w:r>
    </w:p>
    <w:p>
      <w:pPr>
        <w:pStyle w:val="Heading2"/>
        <w:spacing w:after="140" w:before="320"/>
      </w:pPr>
      <w:r>
        <w:rPr>
          <w:rFonts w:ascii="Arial" w:cs="Arial" w:eastAsia="Arial" w:hAnsi="Arial"/>
          <w:b/>
          <w:bCs/>
          <w:sz w:val="28"/>
          <w:szCs w:val="28"/>
        </w:rPr>
        <w:t xml:space="preserve">Hero section</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Get in Touch</w:t>
      </w:r>
    </w:p>
    <w:p>
      <w:pPr>
        <w:spacing w:after="60" w:before="200"/>
      </w:pPr>
      <w:r>
        <w:rPr>
          <w:rFonts w:ascii="Arial" w:cs="Arial" w:eastAsia="Arial" w:hAnsi="Arial"/>
          <w:i/>
          <w:iCs/>
          <w:color w:val="666666"/>
          <w:sz w:val="18"/>
          <w:szCs w:val="18"/>
        </w:rPr>
        <w:t xml:space="preserve">H1 — first part</w:t>
      </w:r>
    </w:p>
    <w:p>
      <w:pPr>
        <w:pBdr>
          <w:left w:val="single" w:color="5A6B00" w:sz="16" w:space="8"/>
        </w:pBdr>
        <w:spacing w:after="120" w:before="0"/>
        <w:ind w:left="240"/>
      </w:pPr>
      <w:r>
        <w:rPr>
          <w:rFonts w:ascii="Arial" w:cs="Arial" w:eastAsia="Arial" w:hAnsi="Arial"/>
          <w:sz w:val="22"/>
          <w:szCs w:val="22"/>
        </w:rPr>
        <w:t xml:space="preserve">Tell us about</w:t>
      </w:r>
    </w:p>
    <w:p>
      <w:pPr>
        <w:spacing w:after="60" w:before="200"/>
      </w:pPr>
      <w:r>
        <w:rPr>
          <w:rFonts w:ascii="Arial" w:cs="Arial" w:eastAsia="Arial" w:hAnsi="Arial"/>
          <w:i/>
          <w:iCs/>
          <w:color w:val="666666"/>
          <w:sz w:val="18"/>
          <w:szCs w:val="18"/>
        </w:rPr>
        <w:t xml:space="preserve">H1 — accent (neon green)</w:t>
      </w:r>
    </w:p>
    <w:p>
      <w:pPr>
        <w:pBdr>
          <w:left w:val="single" w:color="5A6B00" w:sz="16" w:space="8"/>
        </w:pBdr>
        <w:spacing w:after="120" w:before="0"/>
        <w:ind w:left="240"/>
      </w:pPr>
      <w:r>
        <w:rPr>
          <w:rFonts w:ascii="Arial" w:cs="Arial" w:eastAsia="Arial" w:hAnsi="Arial"/>
          <w:sz w:val="22"/>
          <w:szCs w:val="22"/>
        </w:rPr>
        <w:t xml:space="preserve">your claim.</w:t>
      </w:r>
    </w:p>
    <w:p>
      <w:pPr>
        <w:spacing w:after="60" w:before="200"/>
      </w:pPr>
      <w:r>
        <w:rPr>
          <w:rFonts w:ascii="Arial" w:cs="Arial" w:eastAsia="Arial" w:hAnsi="Arial"/>
          <w:i/>
          <w:iCs/>
          <w:color w:val="666666"/>
          <w:sz w:val="18"/>
          <w:szCs w:val="18"/>
        </w:rPr>
        <w:t xml:space="preserve">Subheadline</w:t>
      </w:r>
    </w:p>
    <w:p>
      <w:pPr>
        <w:pBdr>
          <w:left w:val="single" w:color="5A6B00" w:sz="16" w:space="8"/>
        </w:pBdr>
        <w:spacing w:after="120" w:before="0"/>
        <w:ind w:left="240"/>
      </w:pPr>
      <w:r>
        <w:rPr>
          <w:rFonts w:ascii="Arial" w:cs="Arial" w:eastAsia="Arial" w:hAnsi="Arial"/>
          <w:sz w:val="22"/>
          <w:szCs w:val="22"/>
        </w:rPr>
        <w:t xml:space="preserve">Fill out the form and a member of our team will respond within 48 hours. Confidentiality assured.</w:t>
      </w:r>
    </w:p>
    <w:p>
      <w:pPr>
        <w:pStyle w:val="Heading2"/>
        <w:spacing w:after="140" w:before="320"/>
      </w:pPr>
      <w:r>
        <w:rPr>
          <w:rFonts w:ascii="Arial" w:cs="Arial" w:eastAsia="Arial" w:hAnsi="Arial"/>
          <w:b/>
          <w:bCs/>
          <w:sz w:val="28"/>
          <w:szCs w:val="28"/>
        </w:rPr>
        <w:t xml:space="preserve">Form labels</w:t>
      </w:r>
    </w:p>
    <w:p>
      <w:pPr>
        <w:spacing w:after="60" w:before="200"/>
      </w:pPr>
      <w:r>
        <w:rPr>
          <w:rFonts w:ascii="Arial" w:cs="Arial" w:eastAsia="Arial" w:hAnsi="Arial"/>
          <w:i/>
          <w:iCs/>
          <w:color w:val="666666"/>
          <w:sz w:val="18"/>
          <w:szCs w:val="18"/>
        </w:rPr>
        <w:t xml:space="preserve">Field 1</w:t>
      </w:r>
    </w:p>
    <w:p>
      <w:pPr>
        <w:pBdr>
          <w:left w:val="single" w:color="5A6B00" w:sz="16" w:space="8"/>
        </w:pBdr>
        <w:spacing w:after="120" w:before="0"/>
        <w:ind w:left="240"/>
      </w:pPr>
      <w:r>
        <w:rPr>
          <w:rFonts w:ascii="Arial" w:cs="Arial" w:eastAsia="Arial" w:hAnsi="Arial"/>
          <w:sz w:val="22"/>
          <w:szCs w:val="22"/>
        </w:rPr>
        <w:t xml:space="preserve">First Name</w:t>
      </w:r>
    </w:p>
    <w:p>
      <w:pPr>
        <w:spacing w:after="60" w:before="200"/>
      </w:pPr>
      <w:r>
        <w:rPr>
          <w:rFonts w:ascii="Arial" w:cs="Arial" w:eastAsia="Arial" w:hAnsi="Arial"/>
          <w:i/>
          <w:iCs/>
          <w:color w:val="666666"/>
          <w:sz w:val="18"/>
          <w:szCs w:val="18"/>
        </w:rPr>
        <w:t xml:space="preserve">Field 2</w:t>
      </w:r>
    </w:p>
    <w:p>
      <w:pPr>
        <w:pBdr>
          <w:left w:val="single" w:color="5A6B00" w:sz="16" w:space="8"/>
        </w:pBdr>
        <w:spacing w:after="120" w:before="0"/>
        <w:ind w:left="240"/>
      </w:pPr>
      <w:r>
        <w:rPr>
          <w:rFonts w:ascii="Arial" w:cs="Arial" w:eastAsia="Arial" w:hAnsi="Arial"/>
          <w:sz w:val="22"/>
          <w:szCs w:val="22"/>
        </w:rPr>
        <w:t xml:space="preserve">Last Name</w:t>
      </w:r>
    </w:p>
    <w:p>
      <w:pPr>
        <w:spacing w:after="60" w:before="200"/>
      </w:pPr>
      <w:r>
        <w:rPr>
          <w:rFonts w:ascii="Arial" w:cs="Arial" w:eastAsia="Arial" w:hAnsi="Arial"/>
          <w:i/>
          <w:iCs/>
          <w:color w:val="666666"/>
          <w:sz w:val="18"/>
          <w:szCs w:val="18"/>
        </w:rPr>
        <w:t xml:space="preserve">Field 3</w:t>
      </w:r>
    </w:p>
    <w:p>
      <w:pPr>
        <w:pBdr>
          <w:left w:val="single" w:color="5A6B00" w:sz="16" w:space="8"/>
        </w:pBdr>
        <w:spacing w:after="120" w:before="0"/>
        <w:ind w:left="240"/>
      </w:pPr>
      <w:r>
        <w:rPr>
          <w:rFonts w:ascii="Arial" w:cs="Arial" w:eastAsia="Arial" w:hAnsi="Arial"/>
          <w:sz w:val="22"/>
          <w:szCs w:val="22"/>
        </w:rPr>
        <w:t xml:space="preserve">Email</w:t>
      </w:r>
    </w:p>
    <w:p>
      <w:pPr>
        <w:spacing w:after="60" w:before="200"/>
      </w:pPr>
      <w:r>
        <w:rPr>
          <w:rFonts w:ascii="Arial" w:cs="Arial" w:eastAsia="Arial" w:hAnsi="Arial"/>
          <w:i/>
          <w:iCs/>
          <w:color w:val="666666"/>
          <w:sz w:val="18"/>
          <w:szCs w:val="18"/>
        </w:rPr>
        <w:t xml:space="preserve">Field 4</w:t>
      </w:r>
    </w:p>
    <w:p>
      <w:pPr>
        <w:pBdr>
          <w:left w:val="single" w:color="5A6B00" w:sz="16" w:space="8"/>
        </w:pBdr>
        <w:spacing w:after="120" w:before="0"/>
        <w:ind w:left="240"/>
      </w:pPr>
      <w:r>
        <w:rPr>
          <w:rFonts w:ascii="Arial" w:cs="Arial" w:eastAsia="Arial" w:hAnsi="Arial"/>
          <w:sz w:val="22"/>
          <w:szCs w:val="22"/>
        </w:rPr>
        <w:t xml:space="preserve">Phone</w:t>
      </w:r>
    </w:p>
    <w:p>
      <w:pPr>
        <w:spacing w:after="60" w:before="200"/>
      </w:pPr>
      <w:r>
        <w:rPr>
          <w:rFonts w:ascii="Arial" w:cs="Arial" w:eastAsia="Arial" w:hAnsi="Arial"/>
          <w:i/>
          <w:iCs/>
          <w:color w:val="666666"/>
          <w:sz w:val="18"/>
          <w:szCs w:val="18"/>
        </w:rPr>
        <w:t xml:space="preserve">Field 5</w:t>
      </w:r>
    </w:p>
    <w:p>
      <w:pPr>
        <w:pBdr>
          <w:left w:val="single" w:color="5A6B00" w:sz="16" w:space="8"/>
        </w:pBdr>
        <w:spacing w:after="120" w:before="0"/>
        <w:ind w:left="240"/>
      </w:pPr>
      <w:r>
        <w:rPr>
          <w:rFonts w:ascii="Arial" w:cs="Arial" w:eastAsia="Arial" w:hAnsi="Arial"/>
          <w:sz w:val="22"/>
          <w:szCs w:val="22"/>
        </w:rPr>
        <w:t xml:space="preserve">Telegram</w:t>
      </w:r>
    </w:p>
    <w:p>
      <w:pPr>
        <w:spacing w:after="60" w:before="200"/>
      </w:pPr>
      <w:r>
        <w:rPr>
          <w:rFonts w:ascii="Arial" w:cs="Arial" w:eastAsia="Arial" w:hAnsi="Arial"/>
          <w:i/>
          <w:iCs/>
          <w:color w:val="666666"/>
          <w:sz w:val="18"/>
          <w:szCs w:val="18"/>
        </w:rPr>
        <w:t xml:space="preserve">Field 6</w:t>
      </w:r>
    </w:p>
    <w:p>
      <w:pPr>
        <w:pBdr>
          <w:left w:val="single" w:color="5A6B00" w:sz="16" w:space="8"/>
        </w:pBdr>
        <w:spacing w:after="120" w:before="0"/>
        <w:ind w:left="240"/>
      </w:pPr>
      <w:r>
        <w:rPr>
          <w:rFonts w:ascii="Arial" w:cs="Arial" w:eastAsia="Arial" w:hAnsi="Arial"/>
          <w:sz w:val="22"/>
          <w:szCs w:val="22"/>
        </w:rPr>
        <w:t xml:space="preserve">WhatsApp</w:t>
      </w:r>
    </w:p>
    <w:p>
      <w:pPr>
        <w:spacing w:after="60" w:before="200"/>
      </w:pPr>
      <w:r>
        <w:rPr>
          <w:rFonts w:ascii="Arial" w:cs="Arial" w:eastAsia="Arial" w:hAnsi="Arial"/>
          <w:i/>
          <w:iCs/>
          <w:color w:val="666666"/>
          <w:sz w:val="18"/>
          <w:szCs w:val="18"/>
        </w:rPr>
        <w:t xml:space="preserve">Field 7</w:t>
      </w:r>
    </w:p>
    <w:p>
      <w:pPr>
        <w:pBdr>
          <w:left w:val="single" w:color="5A6B00" w:sz="16" w:space="8"/>
        </w:pBdr>
        <w:spacing w:after="120" w:before="0"/>
        <w:ind w:left="240"/>
      </w:pPr>
      <w:r>
        <w:rPr>
          <w:rFonts w:ascii="Arial" w:cs="Arial" w:eastAsia="Arial" w:hAnsi="Arial"/>
          <w:sz w:val="22"/>
          <w:szCs w:val="22"/>
        </w:rPr>
        <w:t xml:space="preserve">Subject</w:t>
      </w:r>
    </w:p>
    <w:p>
      <w:pPr>
        <w:spacing w:after="60" w:before="200"/>
      </w:pPr>
      <w:r>
        <w:rPr>
          <w:rFonts w:ascii="Arial" w:cs="Arial" w:eastAsia="Arial" w:hAnsi="Arial"/>
          <w:i/>
          <w:iCs/>
          <w:color w:val="666666"/>
          <w:sz w:val="18"/>
          <w:szCs w:val="18"/>
        </w:rPr>
        <w:t xml:space="preserve">Field 8</w:t>
      </w:r>
    </w:p>
    <w:p>
      <w:pPr>
        <w:pBdr>
          <w:left w:val="single" w:color="5A6B00" w:sz="16" w:space="8"/>
        </w:pBdr>
        <w:spacing w:after="120" w:before="0"/>
        <w:ind w:left="240"/>
      </w:pPr>
      <w:r>
        <w:rPr>
          <w:rFonts w:ascii="Arial" w:cs="Arial" w:eastAsia="Arial" w:hAnsi="Arial"/>
          <w:sz w:val="22"/>
          <w:szCs w:val="22"/>
        </w:rPr>
        <w:t xml:space="preserve">Message</w:t>
      </w:r>
    </w:p>
    <w:p>
      <w:pPr>
        <w:spacing w:after="60" w:before="200"/>
      </w:pPr>
      <w:r>
        <w:rPr>
          <w:rFonts w:ascii="Arial" w:cs="Arial" w:eastAsia="Arial" w:hAnsi="Arial"/>
          <w:i/>
          <w:iCs/>
          <w:color w:val="666666"/>
          <w:sz w:val="18"/>
          <w:szCs w:val="18"/>
        </w:rPr>
        <w:t xml:space="preserve">Submit button</w:t>
      </w:r>
    </w:p>
    <w:p>
      <w:pPr>
        <w:pBdr>
          <w:left w:val="single" w:color="5A6B00" w:sz="16" w:space="8"/>
        </w:pBdr>
        <w:spacing w:after="120" w:before="0"/>
        <w:ind w:left="240"/>
      </w:pPr>
      <w:r>
        <w:rPr>
          <w:rFonts w:ascii="Arial" w:cs="Arial" w:eastAsia="Arial" w:hAnsi="Arial"/>
          <w:sz w:val="22"/>
          <w:szCs w:val="22"/>
        </w:rPr>
        <w:t xml:space="preserve">Send Message →</w:t>
      </w:r>
    </w:p>
    <w:p>
      <w:pPr>
        <w:spacing w:after="60" w:before="200"/>
      </w:pPr>
      <w:r>
        <w:rPr>
          <w:rFonts w:ascii="Arial" w:cs="Arial" w:eastAsia="Arial" w:hAnsi="Arial"/>
          <w:i/>
          <w:iCs/>
          <w:color w:val="666666"/>
          <w:sz w:val="18"/>
          <w:szCs w:val="18"/>
        </w:rPr>
        <w:t xml:space="preserve">Sending state (disabled button text)</w:t>
      </w:r>
    </w:p>
    <w:p>
      <w:pPr>
        <w:pBdr>
          <w:left w:val="single" w:color="5A6B00" w:sz="16" w:space="8"/>
        </w:pBdr>
        <w:spacing w:after="120" w:before="0"/>
        <w:ind w:left="240"/>
      </w:pPr>
      <w:r>
        <w:rPr>
          <w:rFonts w:ascii="Arial" w:cs="Arial" w:eastAsia="Arial" w:hAnsi="Arial"/>
          <w:sz w:val="22"/>
          <w:szCs w:val="22"/>
        </w:rPr>
        <w:t xml:space="preserve">Sending...</w:t>
      </w:r>
    </w:p>
    <w:p>
      <w:pPr>
        <w:spacing w:after="60" w:before="200"/>
      </w:pPr>
      <w:r>
        <w:rPr>
          <w:rFonts w:ascii="Arial" w:cs="Arial" w:eastAsia="Arial" w:hAnsi="Arial"/>
          <w:i/>
          <w:iCs/>
          <w:color w:val="666666"/>
          <w:sz w:val="18"/>
          <w:szCs w:val="18"/>
        </w:rPr>
        <w:t xml:space="preserve">Success state — heading</w:t>
      </w:r>
    </w:p>
    <w:p>
      <w:pPr>
        <w:pBdr>
          <w:left w:val="single" w:color="5A6B00" w:sz="16" w:space="8"/>
        </w:pBdr>
        <w:spacing w:after="120" w:before="0"/>
        <w:ind w:left="240"/>
      </w:pPr>
      <w:r>
        <w:rPr>
          <w:rFonts w:ascii="Arial" w:cs="Arial" w:eastAsia="Arial" w:hAnsi="Arial"/>
          <w:sz w:val="22"/>
          <w:szCs w:val="22"/>
        </w:rPr>
        <w:t xml:space="preserve">Message Sent</w:t>
      </w:r>
    </w:p>
    <w:p>
      <w:pPr>
        <w:spacing w:after="60" w:before="200"/>
      </w:pPr>
      <w:r>
        <w:rPr>
          <w:rFonts w:ascii="Arial" w:cs="Arial" w:eastAsia="Arial" w:hAnsi="Arial"/>
          <w:i/>
          <w:iCs/>
          <w:color w:val="666666"/>
          <w:sz w:val="18"/>
          <w:szCs w:val="18"/>
        </w:rPr>
        <w:t xml:space="preserve">Success state — body</w:t>
      </w:r>
    </w:p>
    <w:p>
      <w:pPr>
        <w:pBdr>
          <w:left w:val="single" w:color="5A6B00" w:sz="16" w:space="8"/>
        </w:pBdr>
        <w:spacing w:after="120" w:before="0"/>
        <w:ind w:left="240"/>
      </w:pPr>
      <w:r>
        <w:rPr>
          <w:rFonts w:ascii="Arial" w:cs="Arial" w:eastAsia="Arial" w:hAnsi="Arial"/>
          <w:sz w:val="22"/>
          <w:szCs w:val="22"/>
        </w:rPr>
        <w:t xml:space="preserve">We'll be in touch shortly.</w:t>
      </w:r>
    </w:p>
    <w:p>
      <w:pPr>
        <w:spacing w:after="60" w:before="200"/>
      </w:pPr>
      <w:r>
        <w:rPr>
          <w:rFonts w:ascii="Arial" w:cs="Arial" w:eastAsia="Arial" w:hAnsi="Arial"/>
          <w:i/>
          <w:iCs/>
          <w:color w:val="666666"/>
          <w:sz w:val="18"/>
          <w:szCs w:val="18"/>
        </w:rPr>
        <w:t xml:space="preserve">Default error message</w:t>
      </w:r>
    </w:p>
    <w:p>
      <w:pPr>
        <w:pBdr>
          <w:left w:val="single" w:color="5A6B00" w:sz="16" w:space="8"/>
        </w:pBdr>
        <w:spacing w:after="120" w:before="0"/>
        <w:ind w:left="240"/>
      </w:pPr>
      <w:r>
        <w:rPr>
          <w:rFonts w:ascii="Arial" w:cs="Arial" w:eastAsia="Arial" w:hAnsi="Arial"/>
          <w:sz w:val="22"/>
          <w:szCs w:val="22"/>
        </w:rPr>
        <w:t xml:space="preserve">Something went wrong. Please try again.</w:t>
      </w:r>
    </w:p>
    <w:p>
      <w:pPr>
        <w:pStyle w:val="Heading2"/>
        <w:spacing w:after="140" w:before="320"/>
      </w:pPr>
      <w:r>
        <w:rPr>
          <w:rFonts w:ascii="Arial" w:cs="Arial" w:eastAsia="Arial" w:hAnsi="Arial"/>
          <w:b/>
          <w:bCs/>
          <w:sz w:val="28"/>
          <w:szCs w:val="28"/>
        </w:rPr>
        <w:t xml:space="preserve">Subject dropdown options</w:t>
      </w:r>
    </w:p>
    <w:p>
      <w:pPr>
        <w:spacing w:after="60" w:before="200"/>
      </w:pPr>
      <w:r>
        <w:rPr>
          <w:rFonts w:ascii="Arial" w:cs="Arial" w:eastAsia="Arial" w:hAnsi="Arial"/>
          <w:i/>
          <w:iCs/>
          <w:color w:val="666666"/>
          <w:sz w:val="18"/>
          <w:szCs w:val="18"/>
        </w:rPr>
        <w:t xml:space="preserve">Placeholder (top, disabled)</w:t>
      </w:r>
    </w:p>
    <w:p>
      <w:pPr>
        <w:pBdr>
          <w:left w:val="single" w:color="5A6B00" w:sz="16" w:space="8"/>
        </w:pBdr>
        <w:spacing w:after="120" w:before="0"/>
        <w:ind w:left="240"/>
      </w:pPr>
      <w:r>
        <w:rPr>
          <w:rFonts w:ascii="Arial" w:cs="Arial" w:eastAsia="Arial" w:hAnsi="Arial"/>
          <w:sz w:val="22"/>
          <w:szCs w:val="22"/>
        </w:rPr>
        <w:t xml:space="preserve">Select a subject</w:t>
      </w:r>
    </w:p>
    <w:p>
      <w:pPr>
        <w:spacing w:after="60" w:before="200"/>
      </w:pPr>
      <w:r>
        <w:rPr>
          <w:rFonts w:ascii="Arial" w:cs="Arial" w:eastAsia="Arial" w:hAnsi="Arial"/>
          <w:i/>
          <w:iCs/>
          <w:color w:val="666666"/>
          <w:sz w:val="18"/>
          <w:szCs w:val="18"/>
        </w:rPr>
        <w:t xml:space="preserve">Option 1</w:t>
      </w:r>
    </w:p>
    <w:p>
      <w:pPr>
        <w:pBdr>
          <w:left w:val="single" w:color="5A6B00" w:sz="16" w:space="8"/>
        </w:pBdr>
        <w:spacing w:after="120" w:before="0"/>
        <w:ind w:left="240"/>
      </w:pPr>
      <w:r>
        <w:rPr>
          <w:rFonts w:ascii="Arial" w:cs="Arial" w:eastAsia="Arial" w:hAnsi="Arial"/>
          <w:sz w:val="22"/>
          <w:szCs w:val="22"/>
        </w:rPr>
        <w:t xml:space="preserve">AI Copyright Inquiry</w:t>
      </w:r>
    </w:p>
    <w:p>
      <w:pPr>
        <w:spacing w:after="60" w:before="200"/>
      </w:pPr>
      <w:r>
        <w:rPr>
          <w:rFonts w:ascii="Arial" w:cs="Arial" w:eastAsia="Arial" w:hAnsi="Arial"/>
          <w:i/>
          <w:iCs/>
          <w:color w:val="666666"/>
          <w:sz w:val="18"/>
          <w:szCs w:val="18"/>
        </w:rPr>
        <w:t xml:space="preserve">Option 2</w:t>
      </w:r>
    </w:p>
    <w:p>
      <w:pPr>
        <w:pBdr>
          <w:left w:val="single" w:color="5A6B00" w:sz="16" w:space="8"/>
        </w:pBdr>
        <w:spacing w:after="120" w:before="0"/>
        <w:ind w:left="240"/>
      </w:pPr>
      <w:r>
        <w:rPr>
          <w:rFonts w:ascii="Arial" w:cs="Arial" w:eastAsia="Arial" w:hAnsi="Arial"/>
          <w:sz w:val="22"/>
          <w:szCs w:val="22"/>
        </w:rPr>
        <w:t xml:space="preserve">Crypto Claims Inquiry</w:t>
      </w:r>
    </w:p>
    <w:p>
      <w:pPr>
        <w:spacing w:after="60" w:before="200"/>
      </w:pPr>
      <w:r>
        <w:rPr>
          <w:rFonts w:ascii="Arial" w:cs="Arial" w:eastAsia="Arial" w:hAnsi="Arial"/>
          <w:i/>
          <w:iCs/>
          <w:color w:val="666666"/>
          <w:sz w:val="18"/>
          <w:szCs w:val="18"/>
        </w:rPr>
        <w:t xml:space="preserve">Option 3</w:t>
      </w:r>
    </w:p>
    <w:p>
      <w:pPr>
        <w:pBdr>
          <w:left w:val="single" w:color="5A6B00" w:sz="16" w:space="8"/>
        </w:pBdr>
        <w:spacing w:after="120" w:before="0"/>
        <w:ind w:left="240"/>
      </w:pPr>
      <w:r>
        <w:rPr>
          <w:rFonts w:ascii="Arial" w:cs="Arial" w:eastAsia="Arial" w:hAnsi="Arial"/>
          <w:sz w:val="22"/>
          <w:szCs w:val="22"/>
        </w:rPr>
        <w:t xml:space="preserve">Request a Quote</w:t>
      </w:r>
    </w:p>
    <w:p>
      <w:pPr>
        <w:spacing w:after="60" w:before="200"/>
      </w:pPr>
      <w:r>
        <w:rPr>
          <w:rFonts w:ascii="Arial" w:cs="Arial" w:eastAsia="Arial" w:hAnsi="Arial"/>
          <w:i/>
          <w:iCs/>
          <w:color w:val="666666"/>
          <w:sz w:val="18"/>
          <w:szCs w:val="18"/>
        </w:rPr>
        <w:t xml:space="preserve">Option 4</w:t>
      </w:r>
    </w:p>
    <w:p>
      <w:pPr>
        <w:pBdr>
          <w:left w:val="single" w:color="5A6B00" w:sz="16" w:space="8"/>
        </w:pBdr>
        <w:spacing w:after="120" w:before="0"/>
        <w:ind w:left="240"/>
      </w:pPr>
      <w:r>
        <w:rPr>
          <w:rFonts w:ascii="Arial" w:cs="Arial" w:eastAsia="Arial" w:hAnsi="Arial"/>
          <w:sz w:val="22"/>
          <w:szCs w:val="22"/>
        </w:rPr>
        <w:t xml:space="preserve">General Claims Inquiry</w:t>
      </w:r>
    </w:p>
    <w:p>
      <w:pPr>
        <w:spacing w:after="60" w:before="200"/>
      </w:pPr>
      <w:r>
        <w:rPr>
          <w:rFonts w:ascii="Arial" w:cs="Arial" w:eastAsia="Arial" w:hAnsi="Arial"/>
          <w:i/>
          <w:iCs/>
          <w:color w:val="666666"/>
          <w:sz w:val="18"/>
          <w:szCs w:val="18"/>
        </w:rPr>
        <w:t xml:space="preserve">Option 5</w:t>
      </w:r>
    </w:p>
    <w:p>
      <w:pPr>
        <w:pBdr>
          <w:left w:val="single" w:color="5A6B00" w:sz="16" w:space="8"/>
        </w:pBdr>
        <w:spacing w:after="120" w:before="0"/>
        <w:ind w:left="240"/>
      </w:pPr>
      <w:r>
        <w:rPr>
          <w:rFonts w:ascii="Arial" w:cs="Arial" w:eastAsia="Arial" w:hAnsi="Arial"/>
          <w:sz w:val="22"/>
          <w:szCs w:val="22"/>
        </w:rPr>
        <w:t xml:space="preserve">Partnership</w:t>
      </w:r>
    </w:p>
    <w:p>
      <w:pPr>
        <w:spacing w:after="60" w:before="200"/>
      </w:pPr>
      <w:r>
        <w:rPr>
          <w:rFonts w:ascii="Arial" w:cs="Arial" w:eastAsia="Arial" w:hAnsi="Arial"/>
          <w:i/>
          <w:iCs/>
          <w:color w:val="666666"/>
          <w:sz w:val="18"/>
          <w:szCs w:val="18"/>
        </w:rPr>
        <w:t xml:space="preserve">Option 6</w:t>
      </w:r>
    </w:p>
    <w:p>
      <w:pPr>
        <w:pBdr>
          <w:left w:val="single" w:color="5A6B00" w:sz="16" w:space="8"/>
        </w:pBdr>
        <w:spacing w:after="120" w:before="0"/>
        <w:ind w:left="240"/>
      </w:pPr>
      <w:r>
        <w:rPr>
          <w:rFonts w:ascii="Arial" w:cs="Arial" w:eastAsia="Arial" w:hAnsi="Arial"/>
          <w:sz w:val="22"/>
          <w:szCs w:val="22"/>
        </w:rPr>
        <w:t xml:space="preserve">Other</w:t>
      </w:r>
    </w:p>
    <w:p>
      <w:pPr>
        <w:pStyle w:val="Heading2"/>
        <w:spacing w:after="140" w:before="320"/>
      </w:pPr>
      <w:r>
        <w:rPr>
          <w:rFonts w:ascii="Arial" w:cs="Arial" w:eastAsia="Arial" w:hAnsi="Arial"/>
          <w:b/>
          <w:bCs/>
          <w:sz w:val="28"/>
          <w:szCs w:val="28"/>
        </w:rPr>
        <w:t xml:space="preserve">Below the form</w:t>
      </w:r>
    </w:p>
    <w:p>
      <w:pPr>
        <w:spacing w:after="60" w:before="200"/>
      </w:pPr>
      <w:r>
        <w:rPr>
          <w:rFonts w:ascii="Arial" w:cs="Arial" w:eastAsia="Arial" w:hAnsi="Arial"/>
          <w:i/>
          <w:iCs/>
          <w:color w:val="666666"/>
          <w:sz w:val="18"/>
          <w:szCs w:val="18"/>
        </w:rPr>
        <w:t xml:space="preserve">Lead-in</w:t>
      </w:r>
    </w:p>
    <w:p>
      <w:pPr>
        <w:pBdr>
          <w:left w:val="single" w:color="5A6B00" w:sz="16" w:space="8"/>
        </w:pBdr>
        <w:spacing w:after="120" w:before="0"/>
        <w:ind w:left="240"/>
      </w:pPr>
      <w:r>
        <w:rPr>
          <w:rFonts w:ascii="Arial" w:cs="Arial" w:eastAsia="Arial" w:hAnsi="Arial"/>
          <w:sz w:val="22"/>
          <w:szCs w:val="22"/>
        </w:rPr>
        <w:t xml:space="preserve">Prefer email?</w:t>
      </w:r>
    </w:p>
    <w:p>
      <w:pPr>
        <w:spacing w:after="60" w:before="200"/>
      </w:pPr>
      <w:r>
        <w:rPr>
          <w:rFonts w:ascii="Arial" w:cs="Arial" w:eastAsia="Arial" w:hAnsi="Arial"/>
          <w:i/>
          <w:iCs/>
          <w:color w:val="666666"/>
          <w:sz w:val="18"/>
          <w:szCs w:val="18"/>
        </w:rPr>
        <w:t xml:space="preserve">Email link</w:t>
      </w:r>
    </w:p>
    <w:p>
      <w:pPr>
        <w:pBdr>
          <w:left w:val="single" w:color="5A6B00" w:sz="16" w:space="8"/>
        </w:pBdr>
        <w:spacing w:after="120" w:before="0"/>
        <w:ind w:left="240"/>
      </w:pPr>
      <w:r>
        <w:rPr>
          <w:rFonts w:ascii="Arial" w:cs="Arial" w:eastAsia="Arial" w:hAnsi="Arial"/>
          <w:sz w:val="22"/>
          <w:szCs w:val="22"/>
        </w:rPr>
        <w:t xml:space="preserve">info@turnpagedigital.com</w:t>
      </w:r>
    </w:p>
    <w:p>
      <w:pPr>
        <w:pStyle w:val="Heading1"/>
        <w:pageBreakBefore/>
        <w:spacing w:after="200" w:before="480"/>
      </w:pPr>
      <w:r>
        <w:rPr>
          <w:rFonts w:ascii="Arial" w:cs="Arial" w:eastAsia="Arial" w:hAnsi="Arial"/>
          <w:b/>
          <w:bCs/>
          <w:sz w:val="36"/>
          <w:szCs w:val="36"/>
        </w:rPr>
        <w:t xml:space="preserve">Privacy Policy (turnpagedigital.com/#/privacy)</w:t>
      </w:r>
    </w:p>
    <w:p>
      <w:pPr>
        <w:pStyle w:val="Heading2"/>
        <w:spacing w:after="140" w:before="320"/>
      </w:pPr>
      <w:r>
        <w:rPr>
          <w:rFonts w:ascii="Arial" w:cs="Arial" w:eastAsia="Arial" w:hAnsi="Arial"/>
          <w:b/>
          <w:bCs/>
          <w:sz w:val="28"/>
          <w:szCs w:val="28"/>
        </w:rPr>
        <w:t xml:space="preserve">Hero</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Privacy</w:t>
      </w:r>
    </w:p>
    <w:p>
      <w:pPr>
        <w:spacing w:after="60" w:before="200"/>
      </w:pPr>
      <w:r>
        <w:rPr>
          <w:rFonts w:ascii="Arial" w:cs="Arial" w:eastAsia="Arial" w:hAnsi="Arial"/>
          <w:i/>
          <w:iCs/>
          <w:color w:val="666666"/>
          <w:sz w:val="18"/>
          <w:szCs w:val="18"/>
        </w:rPr>
        <w:t xml:space="preserve">H1 — first part</w:t>
      </w:r>
    </w:p>
    <w:p>
      <w:pPr>
        <w:pBdr>
          <w:left w:val="single" w:color="5A6B00" w:sz="16" w:space="8"/>
        </w:pBdr>
        <w:spacing w:after="120" w:before="0"/>
        <w:ind w:left="240"/>
      </w:pPr>
      <w:r>
        <w:rPr>
          <w:rFonts w:ascii="Arial" w:cs="Arial" w:eastAsia="Arial" w:hAnsi="Arial"/>
          <w:sz w:val="22"/>
          <w:szCs w:val="22"/>
        </w:rPr>
        <w:t xml:space="preserve">Privacy</w:t>
      </w:r>
    </w:p>
    <w:p>
      <w:pPr>
        <w:spacing w:after="60" w:before="200"/>
      </w:pPr>
      <w:r>
        <w:rPr>
          <w:rFonts w:ascii="Arial" w:cs="Arial" w:eastAsia="Arial" w:hAnsi="Arial"/>
          <w:i/>
          <w:iCs/>
          <w:color w:val="666666"/>
          <w:sz w:val="18"/>
          <w:szCs w:val="18"/>
        </w:rPr>
        <w:t xml:space="preserve">H1 — accent (neon green)</w:t>
      </w:r>
    </w:p>
    <w:p>
      <w:pPr>
        <w:pBdr>
          <w:left w:val="single" w:color="5A6B00" w:sz="16" w:space="8"/>
        </w:pBdr>
        <w:spacing w:after="120" w:before="0"/>
        <w:ind w:left="240"/>
      </w:pPr>
      <w:r>
        <w:rPr>
          <w:rFonts w:ascii="Arial" w:cs="Arial" w:eastAsia="Arial" w:hAnsi="Arial"/>
          <w:sz w:val="22"/>
          <w:szCs w:val="22"/>
        </w:rPr>
        <w:t xml:space="preserve">Policy.</w:t>
      </w:r>
    </w:p>
    <w:p>
      <w:pPr>
        <w:spacing w:after="60" w:before="200"/>
      </w:pPr>
      <w:r>
        <w:rPr>
          <w:rFonts w:ascii="Arial" w:cs="Arial" w:eastAsia="Arial" w:hAnsi="Arial"/>
          <w:i/>
          <w:iCs/>
          <w:color w:val="666666"/>
          <w:sz w:val="18"/>
          <w:szCs w:val="18"/>
        </w:rPr>
        <w:t xml:space="preserve">Subheadline</w:t>
      </w:r>
    </w:p>
    <w:p>
      <w:pPr>
        <w:pBdr>
          <w:left w:val="single" w:color="5A6B00" w:sz="16" w:space="8"/>
        </w:pBdr>
        <w:spacing w:after="120" w:before="0"/>
        <w:ind w:left="240"/>
      </w:pPr>
      <w:r>
        <w:rPr>
          <w:rFonts w:ascii="Arial" w:cs="Arial" w:eastAsia="Arial" w:hAnsi="Arial"/>
          <w:sz w:val="22"/>
          <w:szCs w:val="22"/>
        </w:rPr>
        <w:t xml:space="preserve">How Turnpage Digital Markets LLC collects, uses, and protects information you share with us through this site.</w:t>
      </w:r>
    </w:p>
    <w:p>
      <w:pPr>
        <w:spacing w:after="60" w:before="200"/>
      </w:pPr>
      <w:r>
        <w:rPr>
          <w:rFonts w:ascii="Arial" w:cs="Arial" w:eastAsia="Arial" w:hAnsi="Arial"/>
          <w:i/>
          <w:iCs/>
          <w:color w:val="666666"/>
          <w:sz w:val="18"/>
          <w:szCs w:val="18"/>
        </w:rPr>
        <w:t xml:space="preserve">Last updated label</w:t>
      </w:r>
    </w:p>
    <w:p>
      <w:pPr>
        <w:pBdr>
          <w:left w:val="single" w:color="5A6B00" w:sz="16" w:space="8"/>
        </w:pBdr>
        <w:spacing w:after="120" w:before="0"/>
        <w:ind w:left="240"/>
      </w:pPr>
      <w:r>
        <w:rPr>
          <w:rFonts w:ascii="Arial" w:cs="Arial" w:eastAsia="Arial" w:hAnsi="Arial"/>
          <w:sz w:val="22"/>
          <w:szCs w:val="22"/>
        </w:rPr>
        <w:t xml:space="preserve">Last updated: April 2026</w:t>
      </w:r>
    </w:p>
    <w:p>
      <w:pPr>
        <w:pStyle w:val="Heading2"/>
        <w:spacing w:after="140" w:before="320"/>
      </w:pPr>
      <w:r>
        <w:rPr>
          <w:rFonts w:ascii="Arial" w:cs="Arial" w:eastAsia="Arial" w:hAnsi="Arial"/>
          <w:b/>
          <w:bCs/>
          <w:sz w:val="28"/>
          <w:szCs w:val="28"/>
        </w:rPr>
        <w:t xml:space="preserve">Section 1 — Information we collect</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Information we collect</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When you submit our contact form, we collect the information you provide — your name, email, phone number, optional messaging handles (Telegram, WhatsApp), the subject of your inquiry, and the contents of your message. We also receive standard server log data when you visit the site (IP address, user agent, referrer, timestamps).</w:t>
      </w:r>
    </w:p>
    <w:p>
      <w:pPr>
        <w:pStyle w:val="Heading2"/>
        <w:spacing w:after="140" w:before="320"/>
      </w:pPr>
      <w:r>
        <w:rPr>
          <w:rFonts w:ascii="Arial" w:cs="Arial" w:eastAsia="Arial" w:hAnsi="Arial"/>
          <w:b/>
          <w:bCs/>
          <w:sz w:val="28"/>
          <w:szCs w:val="28"/>
        </w:rPr>
        <w:t xml:space="preserve">Section 2 — How we use it</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How we use it</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We use the information you submit to respond to your inquiry, evaluate potential transactions, and follow up where appropriate. Server log data is used to operate, secure, and improve the site. We do not sell your information.</w:t>
      </w:r>
    </w:p>
    <w:p>
      <w:pPr>
        <w:pStyle w:val="Heading2"/>
        <w:spacing w:after="140" w:before="320"/>
      </w:pPr>
      <w:r>
        <w:rPr>
          <w:rFonts w:ascii="Arial" w:cs="Arial" w:eastAsia="Arial" w:hAnsi="Arial"/>
          <w:b/>
          <w:bCs/>
          <w:sz w:val="28"/>
          <w:szCs w:val="28"/>
        </w:rPr>
        <w:t xml:space="preserve">Section 3 — Service providers</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Service providers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We use third-party services to run this site and process your submissions, including Cloudflare (hosting and CDN), Resend (transactional email), and Google (Apps Script for submission logging). Each of these providers may process the information you submit on our behalf, subject to their own terms and security practices.</w:t>
      </w:r>
    </w:p>
    <w:p>
      <w:pPr>
        <w:pStyle w:val="Heading2"/>
        <w:spacing w:after="140" w:before="320"/>
      </w:pPr>
      <w:r>
        <w:rPr>
          <w:rFonts w:ascii="Arial" w:cs="Arial" w:eastAsia="Arial" w:hAnsi="Arial"/>
          <w:b/>
          <w:bCs/>
          <w:sz w:val="28"/>
          <w:szCs w:val="28"/>
        </w:rPr>
        <w:t xml:space="preserve">Section 4 — Retention</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Retention</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We retain submitted contact information for as long as is necessary to respond to your inquiry and maintain a record of the relationship. You may request deletion of your data by writing to info@turnpagedigital.com.</w:t>
      </w:r>
    </w:p>
    <w:p>
      <w:pPr>
        <w:pStyle w:val="Heading2"/>
        <w:spacing w:after="140" w:before="320"/>
      </w:pPr>
      <w:r>
        <w:rPr>
          <w:rFonts w:ascii="Arial" w:cs="Arial" w:eastAsia="Arial" w:hAnsi="Arial"/>
          <w:b/>
          <w:bCs/>
          <w:sz w:val="28"/>
          <w:szCs w:val="28"/>
        </w:rPr>
        <w:t xml:space="preserve">Section 5 — Cookies</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Cookies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This site does not set advertising or analytics cookies. We do not track you across other websites.</w:t>
      </w:r>
    </w:p>
    <w:p>
      <w:pPr>
        <w:pStyle w:val="Heading2"/>
        <w:spacing w:after="140" w:before="320"/>
      </w:pPr>
      <w:r>
        <w:rPr>
          <w:rFonts w:ascii="Arial" w:cs="Arial" w:eastAsia="Arial" w:hAnsi="Arial"/>
          <w:b/>
          <w:bCs/>
          <w:sz w:val="28"/>
          <w:szCs w:val="28"/>
        </w:rPr>
        <w:t xml:space="preserve">Section 6 — Updates</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Updates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We may update this policy from time to time. The current version is always available at this URL. If you have questions, write us at info@turnpagedigital.com.</w:t>
      </w:r>
    </w:p>
    <w:p>
      <w:pPr>
        <w:spacing w:after="60" w:before="200"/>
      </w:pPr>
      <w:r>
        <w:rPr>
          <w:rFonts w:ascii="Arial" w:cs="Arial" w:eastAsia="Arial" w:hAnsi="Arial"/>
          <w:i/>
          <w:iCs/>
          <w:color w:val="666666"/>
          <w:sz w:val="18"/>
          <w:szCs w:val="18"/>
        </w:rPr>
        <w:t xml:space="preserve">Footer line</w:t>
      </w:r>
    </w:p>
    <w:p>
      <w:pPr>
        <w:pBdr>
          <w:left w:val="single" w:color="5A6B00" w:sz="16" w:space="8"/>
        </w:pBdr>
        <w:spacing w:after="120" w:before="0"/>
        <w:ind w:left="240"/>
      </w:pPr>
      <w:r>
        <w:rPr>
          <w:rFonts w:ascii="Arial" w:cs="Arial" w:eastAsia="Arial" w:hAnsi="Arial"/>
          <w:sz w:val="22"/>
          <w:szCs w:val="22"/>
        </w:rPr>
        <w:t xml:space="preserve">Questions? Write to info@turnpagedigital.com.</w:t>
      </w:r>
    </w:p>
    <w:p>
      <w:pPr>
        <w:pStyle w:val="Heading1"/>
        <w:pageBreakBefore/>
        <w:spacing w:after="200" w:before="480"/>
      </w:pPr>
      <w:r>
        <w:rPr>
          <w:rFonts w:ascii="Arial" w:cs="Arial" w:eastAsia="Arial" w:hAnsi="Arial"/>
          <w:b/>
          <w:bCs/>
          <w:sz w:val="36"/>
          <w:szCs w:val="36"/>
        </w:rPr>
        <w:t xml:space="preserve">Terms of Use (turnpagedigital.com/#/terms)</w:t>
      </w:r>
    </w:p>
    <w:p>
      <w:pPr>
        <w:pStyle w:val="Heading2"/>
        <w:spacing w:after="140" w:before="320"/>
      </w:pPr>
      <w:r>
        <w:rPr>
          <w:rFonts w:ascii="Arial" w:cs="Arial" w:eastAsia="Arial" w:hAnsi="Arial"/>
          <w:b/>
          <w:bCs/>
          <w:sz w:val="28"/>
          <w:szCs w:val="28"/>
        </w:rPr>
        <w:t xml:space="preserve">Hero</w:t>
      </w:r>
    </w:p>
    <w:p>
      <w:pPr>
        <w:spacing w:after="60" w:before="200"/>
      </w:pPr>
      <w:r>
        <w:rPr>
          <w:rFonts w:ascii="Arial" w:cs="Arial" w:eastAsia="Arial" w:hAnsi="Arial"/>
          <w:i/>
          <w:iCs/>
          <w:color w:val="666666"/>
          <w:sz w:val="18"/>
          <w:szCs w:val="18"/>
        </w:rPr>
        <w:t xml:space="preserve">Eyebrow</w:t>
      </w:r>
    </w:p>
    <w:p>
      <w:pPr>
        <w:pBdr>
          <w:left w:val="single" w:color="5A6B00" w:sz="16" w:space="8"/>
        </w:pBdr>
        <w:spacing w:after="120" w:before="0"/>
        <w:ind w:left="240"/>
      </w:pPr>
      <w:r>
        <w:rPr>
          <w:rFonts w:ascii="Arial" w:cs="Arial" w:eastAsia="Arial" w:hAnsi="Arial"/>
          <w:sz w:val="22"/>
          <w:szCs w:val="22"/>
        </w:rPr>
        <w:t xml:space="preserve">Terms</w:t>
      </w:r>
    </w:p>
    <w:p>
      <w:pPr>
        <w:spacing w:after="60" w:before="200"/>
      </w:pPr>
      <w:r>
        <w:rPr>
          <w:rFonts w:ascii="Arial" w:cs="Arial" w:eastAsia="Arial" w:hAnsi="Arial"/>
          <w:i/>
          <w:iCs/>
          <w:color w:val="666666"/>
          <w:sz w:val="18"/>
          <w:szCs w:val="18"/>
        </w:rPr>
        <w:t xml:space="preserve">H1 — first part</w:t>
      </w:r>
    </w:p>
    <w:p>
      <w:pPr>
        <w:pBdr>
          <w:left w:val="single" w:color="5A6B00" w:sz="16" w:space="8"/>
        </w:pBdr>
        <w:spacing w:after="120" w:before="0"/>
        <w:ind w:left="240"/>
      </w:pPr>
      <w:r>
        <w:rPr>
          <w:rFonts w:ascii="Arial" w:cs="Arial" w:eastAsia="Arial" w:hAnsi="Arial"/>
          <w:sz w:val="22"/>
          <w:szCs w:val="22"/>
        </w:rPr>
        <w:t xml:space="preserve">Terms</w:t>
      </w:r>
    </w:p>
    <w:p>
      <w:pPr>
        <w:spacing w:after="60" w:before="200"/>
      </w:pPr>
      <w:r>
        <w:rPr>
          <w:rFonts w:ascii="Arial" w:cs="Arial" w:eastAsia="Arial" w:hAnsi="Arial"/>
          <w:i/>
          <w:iCs/>
          <w:color w:val="666666"/>
          <w:sz w:val="18"/>
          <w:szCs w:val="18"/>
        </w:rPr>
        <w:t xml:space="preserve">H1 — accent (neon green)</w:t>
      </w:r>
    </w:p>
    <w:p>
      <w:pPr>
        <w:pBdr>
          <w:left w:val="single" w:color="5A6B00" w:sz="16" w:space="8"/>
        </w:pBdr>
        <w:spacing w:after="120" w:before="0"/>
        <w:ind w:left="240"/>
      </w:pPr>
      <w:r>
        <w:rPr>
          <w:rFonts w:ascii="Arial" w:cs="Arial" w:eastAsia="Arial" w:hAnsi="Arial"/>
          <w:sz w:val="22"/>
          <w:szCs w:val="22"/>
        </w:rPr>
        <w:t xml:space="preserve">of Use.</w:t>
      </w:r>
    </w:p>
    <w:p>
      <w:pPr>
        <w:spacing w:after="60" w:before="200"/>
      </w:pPr>
      <w:r>
        <w:rPr>
          <w:rFonts w:ascii="Arial" w:cs="Arial" w:eastAsia="Arial" w:hAnsi="Arial"/>
          <w:i/>
          <w:iCs/>
          <w:color w:val="666666"/>
          <w:sz w:val="18"/>
          <w:szCs w:val="18"/>
        </w:rPr>
        <w:t xml:space="preserve">Subheadline</w:t>
      </w:r>
    </w:p>
    <w:p>
      <w:pPr>
        <w:pBdr>
          <w:left w:val="single" w:color="5A6B00" w:sz="16" w:space="8"/>
        </w:pBdr>
        <w:spacing w:after="120" w:before="0"/>
        <w:ind w:left="240"/>
      </w:pPr>
      <w:r>
        <w:rPr>
          <w:rFonts w:ascii="Arial" w:cs="Arial" w:eastAsia="Arial" w:hAnsi="Arial"/>
          <w:sz w:val="22"/>
          <w:szCs w:val="22"/>
        </w:rPr>
        <w:t xml:space="preserve">The terms governing your use of turnpagedigital.com and the information you find here.</w:t>
      </w:r>
    </w:p>
    <w:p>
      <w:pPr>
        <w:spacing w:after="60" w:before="200"/>
      </w:pPr>
      <w:r>
        <w:rPr>
          <w:rFonts w:ascii="Arial" w:cs="Arial" w:eastAsia="Arial" w:hAnsi="Arial"/>
          <w:i/>
          <w:iCs/>
          <w:color w:val="666666"/>
          <w:sz w:val="18"/>
          <w:szCs w:val="18"/>
        </w:rPr>
        <w:t xml:space="preserve">Last updated label</w:t>
      </w:r>
    </w:p>
    <w:p>
      <w:pPr>
        <w:pBdr>
          <w:left w:val="single" w:color="5A6B00" w:sz="16" w:space="8"/>
        </w:pBdr>
        <w:spacing w:after="120" w:before="0"/>
        <w:ind w:left="240"/>
      </w:pPr>
      <w:r>
        <w:rPr>
          <w:rFonts w:ascii="Arial" w:cs="Arial" w:eastAsia="Arial" w:hAnsi="Arial"/>
          <w:sz w:val="22"/>
          <w:szCs w:val="22"/>
        </w:rPr>
        <w:t xml:space="preserve">Last updated: April 2026</w:t>
      </w:r>
    </w:p>
    <w:p>
      <w:pPr>
        <w:pStyle w:val="Heading2"/>
        <w:spacing w:after="140" w:before="320"/>
      </w:pPr>
      <w:r>
        <w:rPr>
          <w:rFonts w:ascii="Arial" w:cs="Arial" w:eastAsia="Arial" w:hAnsi="Arial"/>
          <w:b/>
          <w:bCs/>
          <w:sz w:val="28"/>
          <w:szCs w:val="28"/>
        </w:rPr>
        <w:t xml:space="preserve">Section 1 — Information, not advice</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Information, not advice</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Information on this site is general in nature and is intended for informational purposes only. It is not legal, tax, or investment advice, and it is not an offer to buy or sell any security, claim, or instrument. You should consult qualified counsel before making any decision involving your claims or rights.</w:t>
      </w:r>
    </w:p>
    <w:p>
      <w:pPr>
        <w:pStyle w:val="Heading2"/>
        <w:spacing w:after="140" w:before="320"/>
      </w:pPr>
      <w:r>
        <w:rPr>
          <w:rFonts w:ascii="Arial" w:cs="Arial" w:eastAsia="Arial" w:hAnsi="Arial"/>
          <w:b/>
          <w:bCs/>
          <w:sz w:val="28"/>
          <w:szCs w:val="28"/>
        </w:rPr>
        <w:t xml:space="preserve">Section 2 — No client relationship</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No client relationship</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Use of this site or submission of the contact form does not create an attorney-client, fiduciary, advisory, or other professional relationship with Turnpage Digital Markets LLC, its principals, or its affiliates. A relationship is formed only by a separately executed written agreement.</w:t>
      </w:r>
    </w:p>
    <w:p>
      <w:pPr>
        <w:pStyle w:val="Heading2"/>
        <w:spacing w:after="140" w:before="320"/>
      </w:pPr>
      <w:r>
        <w:rPr>
          <w:rFonts w:ascii="Arial" w:cs="Arial" w:eastAsia="Arial" w:hAnsi="Arial"/>
          <w:b/>
          <w:bCs/>
          <w:sz w:val="28"/>
          <w:szCs w:val="28"/>
        </w:rPr>
        <w:t xml:space="preserve">Section 3 — Forward-looking statements</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Forward-looking statements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Some of the information on this site discusses pending litigation, settlements, regulatory matters, and market conditions. Outcomes are uncertain. Past performance is not indicative of future results, and no representation is made that any particular result can be obtained.</w:t>
      </w:r>
    </w:p>
    <w:p>
      <w:pPr>
        <w:pStyle w:val="Heading2"/>
        <w:spacing w:after="140" w:before="320"/>
      </w:pPr>
      <w:r>
        <w:rPr>
          <w:rFonts w:ascii="Arial" w:cs="Arial" w:eastAsia="Arial" w:hAnsi="Arial"/>
          <w:b/>
          <w:bCs/>
          <w:sz w:val="28"/>
          <w:szCs w:val="28"/>
        </w:rPr>
        <w:t xml:space="preserve">Section 4 — Third-party content</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Third-party content</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We may link to or reference third-party content, court filings, news reports, and other publicly available materials. We do not endorse, control, or guarantee the accuracy of any third-party content.</w:t>
      </w:r>
    </w:p>
    <w:p>
      <w:pPr>
        <w:pStyle w:val="Heading2"/>
        <w:spacing w:after="140" w:before="320"/>
      </w:pPr>
      <w:r>
        <w:rPr>
          <w:rFonts w:ascii="Arial" w:cs="Arial" w:eastAsia="Arial" w:hAnsi="Arial"/>
          <w:b/>
          <w:bCs/>
          <w:sz w:val="28"/>
          <w:szCs w:val="28"/>
        </w:rPr>
        <w:t xml:space="preserve">Section 5 — Changes</w:t>
      </w:r>
    </w:p>
    <w:p>
      <w:pPr>
        <w:spacing w:after="60" w:before="200"/>
      </w:pPr>
      <w:r>
        <w:rPr>
          <w:rFonts w:ascii="Arial" w:cs="Arial" w:eastAsia="Arial" w:hAnsi="Arial"/>
          <w:i/>
          <w:iCs/>
          <w:color w:val="666666"/>
          <w:sz w:val="18"/>
          <w:szCs w:val="18"/>
        </w:rPr>
        <w:t xml:space="preserve">Heading</w:t>
      </w:r>
    </w:p>
    <w:p>
      <w:pPr>
        <w:pBdr>
          <w:left w:val="single" w:color="5A6B00" w:sz="16" w:space="8"/>
        </w:pBdr>
        <w:spacing w:after="120" w:before="0"/>
        <w:ind w:left="240"/>
      </w:pPr>
      <w:r>
        <w:rPr>
          <w:rFonts w:ascii="Arial" w:cs="Arial" w:eastAsia="Arial" w:hAnsi="Arial"/>
          <w:sz w:val="22"/>
          <w:szCs w:val="22"/>
        </w:rPr>
        <w:t xml:space="preserve">Changes</w:t>
      </w:r>
    </w:p>
    <w:p>
      <w:pPr>
        <w:spacing w:after="60" w:before="200"/>
      </w:pPr>
      <w:r>
        <w:rPr>
          <w:rFonts w:ascii="Arial" w:cs="Arial" w:eastAsia="Arial" w:hAnsi="Arial"/>
          <w:i/>
          <w:iCs/>
          <w:color w:val="666666"/>
          <w:sz w:val="18"/>
          <w:szCs w:val="18"/>
        </w:rPr>
        <w:t xml:space="preserve">Body</w:t>
      </w:r>
    </w:p>
    <w:p>
      <w:pPr>
        <w:pBdr>
          <w:left w:val="single" w:color="5A6B00" w:sz="16" w:space="8"/>
        </w:pBdr>
        <w:spacing w:after="120" w:before="0"/>
        <w:ind w:left="240"/>
      </w:pPr>
      <w:r>
        <w:rPr>
          <w:rFonts w:ascii="Arial" w:cs="Arial" w:eastAsia="Arial" w:hAnsi="Arial"/>
          <w:sz w:val="22"/>
          <w:szCs w:val="22"/>
        </w:rPr>
        <w:t xml:space="preserve">We may update these terms from time to time. The current version is always available at this URL.</w:t>
      </w:r>
    </w:p>
    <w:p>
      <w:pPr>
        <w:spacing w:after="60" w:before="200"/>
      </w:pPr>
      <w:r>
        <w:rPr>
          <w:rFonts w:ascii="Arial" w:cs="Arial" w:eastAsia="Arial" w:hAnsi="Arial"/>
          <w:i/>
          <w:iCs/>
          <w:color w:val="666666"/>
          <w:sz w:val="18"/>
          <w:szCs w:val="18"/>
        </w:rPr>
        <w:t xml:space="preserve">Footer line</w:t>
      </w:r>
    </w:p>
    <w:p>
      <w:pPr>
        <w:pBdr>
          <w:left w:val="single" w:color="5A6B00" w:sz="16" w:space="8"/>
        </w:pBdr>
        <w:spacing w:after="120" w:before="0"/>
        <w:ind w:left="240"/>
      </w:pPr>
      <w:r>
        <w:rPr>
          <w:rFonts w:ascii="Arial" w:cs="Arial" w:eastAsia="Arial" w:hAnsi="Arial"/>
          <w:sz w:val="22"/>
          <w:szCs w:val="22"/>
        </w:rPr>
        <w:t xml:space="preserve">Questions? Write to info@turnpagedigital.com.</w:t>
      </w:r>
    </w:p>
    <w:p>
      <w:pPr>
        <w:pStyle w:val="Heading1"/>
        <w:pageBreakBefore/>
        <w:spacing w:after="200" w:before="480"/>
      </w:pPr>
      <w:r>
        <w:rPr>
          <w:rFonts w:ascii="Arial" w:cs="Arial" w:eastAsia="Arial" w:hAnsi="Arial"/>
          <w:b/>
          <w:bCs/>
          <w:sz w:val="36"/>
          <w:szCs w:val="36"/>
        </w:rPr>
        <w:t xml:space="preserve">Top 12 Cases (data behind the AI Copyright page)</w:t>
      </w:r>
    </w:p>
    <w:p>
      <w:pPr>
        <w:spacing w:after="120"/>
      </w:pPr>
      <w:r>
        <w:rPr>
          <w:rFonts w:ascii="Arial" w:cs="Arial" w:eastAsia="Arial" w:hAnsi="Arial"/>
          <w:i/>
          <w:iCs/>
          <w:color w:val="666666"/>
          <w:sz w:val="22"/>
          <w:szCs w:val="22"/>
        </w:rPr>
        <w:t xml:space="preserve">Each card on the Active Docket section uses the fields below. Rank = order shown on page. Edit any field; I'll update src/data/cases.js when you upload.</w:t>
      </w:r>
    </w:p>
    <w:p>
      <w:pPr>
        <w:pStyle w:val="Heading2"/>
        <w:spacing w:after="140" w:before="320"/>
      </w:pPr>
      <w:r>
        <w:rPr>
          <w:rFonts w:ascii="Arial" w:cs="Arial" w:eastAsia="Arial" w:hAnsi="Arial"/>
          <w:b/>
          <w:bCs/>
          <w:sz w:val="28"/>
          <w:szCs w:val="28"/>
        </w:rPr>
        <w:t xml:space="preserve">#1: In re OpenAI Copyright Infringement Litigation</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In re OpenAI Copyright Infringement Litigation</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MDL No. 3143</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OpenAI; Microsoft</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Authors Guild, NYT, Daily News, CIR, others</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S.D.N.Y. (Stein,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Active</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Statutory: trillions theoretical</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Consolidated multi-district litigation covering NYT v. OpenAI, the Authors Guild class, and a dozen other newspaper and author plaintiffs. Discovery includes the 20-million ChatGPT log production order and Books1/Books2 spoliation inquiry. Summary judgment briefing expected mid-2026.</w:t>
      </w:r>
    </w:p>
    <w:p>
      <w:pPr>
        <w:pStyle w:val="Heading2"/>
        <w:spacing w:after="140" w:before="320"/>
      </w:pPr>
      <w:r>
        <w:rPr>
          <w:rFonts w:ascii="Arial" w:cs="Arial" w:eastAsia="Arial" w:hAnsi="Arial"/>
          <w:b/>
          <w:bCs/>
          <w:sz w:val="28"/>
          <w:szCs w:val="28"/>
        </w:rPr>
        <w:t xml:space="preserve">#2: Bartz v. Anthropic PBC</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Bartz v. Anthropic PBC</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N.D. Cal.</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Anthropic</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Andrea Bartz, Charles Graeber, Kirk Wallace Johnson</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N.D. Cal. (Alsup,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Settled — $1.5B</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$1.5B class settlement; ~$3,000 per work</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The largest copyright settlement in U.S. history. 91.3% claim rate (440,490 of 482,460 eligible works). Second $300M installment due April 30, 2026. Fairness hearing May 14, 2026 at 2:00 PT (Zoom available). Establishes the training-vs-retention split on fair use.</w:t>
      </w:r>
    </w:p>
    <w:p>
      <w:pPr>
        <w:pStyle w:val="Heading2"/>
        <w:spacing w:after="140" w:before="320"/>
      </w:pPr>
      <w:r>
        <w:rPr>
          <w:rFonts w:ascii="Arial" w:cs="Arial" w:eastAsia="Arial" w:hAnsi="Arial"/>
          <w:b/>
          <w:bCs/>
          <w:sz w:val="28"/>
          <w:szCs w:val="28"/>
        </w:rPr>
        <w:t xml:space="preserve">#3: Doe 1 v. GitHub, Inc.</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Doe 1 v. GitHub, Inc.</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N.D. Cal.</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GitHub; Microsoft; OpenAI</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Anonymous software developers (proposed class)</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N.D. Cal. (Tigar,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On appeal</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$9B+ DMCA statutory estimated</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First AI-related class action (Nov 2022). DMCA §1202 claims against Copilot training. Copyright counts dismissed; DMCA and contract claims survived in part. Now on Ninth Circuit appeal. Implications for any open-source-trained model.</w:t>
      </w:r>
    </w:p>
    <w:p>
      <w:pPr>
        <w:pStyle w:val="Heading2"/>
        <w:spacing w:after="140" w:before="320"/>
      </w:pPr>
      <w:r>
        <w:rPr>
          <w:rFonts w:ascii="Arial" w:cs="Arial" w:eastAsia="Arial" w:hAnsi="Arial"/>
          <w:b/>
          <w:bCs/>
          <w:sz w:val="28"/>
          <w:szCs w:val="28"/>
        </w:rPr>
        <w:t xml:space="preserve">#4: Getty Images v. Stability AI</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Getty Images v. Stability AI</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D. Del.</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Stability AI</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Getty Images (US) Inc.</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D. Del. (Bibas,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Active</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Up to $1.7B (11,383 works × $150K)</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Stock-image plaintiff alleges 12M+ images used to train Stable Diffusion. Amended complaint specifies 11,383 registered works for statutory damages. Trademark and watermark-removal claims add layered exposure. Discovery ongoing.</w:t>
      </w:r>
    </w:p>
    <w:p>
      <w:pPr>
        <w:pStyle w:val="Heading2"/>
        <w:spacing w:after="140" w:before="320"/>
      </w:pPr>
      <w:r>
        <w:rPr>
          <w:rFonts w:ascii="Arial" w:cs="Arial" w:eastAsia="Arial" w:hAnsi="Arial"/>
          <w:b/>
          <w:bCs/>
          <w:sz w:val="28"/>
          <w:szCs w:val="28"/>
        </w:rPr>
        <w:t xml:space="preserve">#5: UMG Recordings et al. v. Suno, Inc.</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UMG Recordings et al. v. Suno, Inc.</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D. Mass.</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Suno</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Sony, UMG, Warner (RIAA-coordinated)</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D. Mass. (Saylor,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Active</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Up to $150K per sound recording</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Major-label copyright infringement suit over alleged training on millions of copyrighted sound recordings. Fair use defense expected to track the Concord v. Anthropic framework. Companion to the Udio case.</w:t>
      </w:r>
    </w:p>
    <w:p>
      <w:pPr>
        <w:pStyle w:val="Heading2"/>
        <w:spacing w:after="140" w:before="320"/>
      </w:pPr>
      <w:r>
        <w:rPr>
          <w:rFonts w:ascii="Arial" w:cs="Arial" w:eastAsia="Arial" w:hAnsi="Arial"/>
          <w:b/>
          <w:bCs/>
          <w:sz w:val="28"/>
          <w:szCs w:val="28"/>
        </w:rPr>
        <w:t xml:space="preserve">#6: UMG Recordings et al. v. Uncharted Labs (Udio)</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UMG Recordings et al. v. Uncharted Labs (Udio)</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S.D.N.Y.</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Uncharted Labs (Udio)</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Sony, UMG, Warner (RIAA-coordinated)</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S.D.N.Y. (Hellerstein,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Settled (UMG, WMG)</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Undisclosed; licensing component</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UMG settled October 2025; Warner settled November 2025 — both with licensing deals supporting Udio's new opt-in subscription. Sony case remains active. Establishes licensing-and-settlement template for AI music generators.</w:t>
      </w:r>
    </w:p>
    <w:p>
      <w:pPr>
        <w:pStyle w:val="Heading2"/>
        <w:spacing w:after="140" w:before="320"/>
      </w:pPr>
      <w:r>
        <w:rPr>
          <w:rFonts w:ascii="Arial" w:cs="Arial" w:eastAsia="Arial" w:hAnsi="Arial"/>
          <w:b/>
          <w:bCs/>
          <w:sz w:val="28"/>
          <w:szCs w:val="28"/>
        </w:rPr>
        <w:t xml:space="preserve">#7: Disney Enterprises et al. v. Midjourney</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Disney Enterprises et al. v. Midjourney</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C.D. Cal.</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Midjourney</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Disney, Marvel, Lucasfilm, 20th Century, Universal</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C.D. Cal. (Anderson,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Active</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Damages + injunction sought</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Hollywood studios target image-generation outputs that reproduce protected characters. Disney's parallel $1B OpenAI Sora deal (200+ characters licensed) sets a market comparator. Companion suits against Minimax (Hailuo) and others.</w:t>
      </w:r>
    </w:p>
    <w:p>
      <w:pPr>
        <w:pStyle w:val="Heading2"/>
        <w:spacing w:after="140" w:before="320"/>
      </w:pPr>
      <w:r>
        <w:rPr>
          <w:rFonts w:ascii="Arial" w:cs="Arial" w:eastAsia="Arial" w:hAnsi="Arial"/>
          <w:b/>
          <w:bCs/>
          <w:sz w:val="28"/>
          <w:szCs w:val="28"/>
        </w:rPr>
        <w:t xml:space="preserve">#8: Concord Music Group et al. v. Anthropic</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Concord Music Group et al. v. Anthropic</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N.D. Cal.</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Anthropic</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UMG, Concord, ABKCO, other major music publishers</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N.D. Cal. (Lee, J.); transferred from M.D. Tenn.</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Active</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Up to $150K per work; potential billions</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Music-publisher fair-use battleground. CCIA, AI Progress, and NetChoice filed amicus supporting Anthropic; RIAA and NMPA filed amicus opposing. Cross-MSJ filed April 22; hearing on May calendar. Companion January 2026 complaint adds $3.1B in statutory exposure.</w:t>
      </w:r>
    </w:p>
    <w:p>
      <w:pPr>
        <w:pStyle w:val="Heading2"/>
        <w:spacing w:after="140" w:before="320"/>
      </w:pPr>
      <w:r>
        <w:rPr>
          <w:rFonts w:ascii="Arial" w:cs="Arial" w:eastAsia="Arial" w:hAnsi="Arial"/>
          <w:b/>
          <w:bCs/>
          <w:sz w:val="28"/>
          <w:szCs w:val="28"/>
        </w:rPr>
        <w:t xml:space="preserve">#9: Advance Local Media v. Cohere</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Advance Local Media v. Cohere</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S.D.N.Y.</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Cohere</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Condé Nast, Advance Local Media, other news cos.</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S.D.N.Y. (McMahon,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Active</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Unspecified</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Publisher coalition led by Condé Nast targets RAG-style content scraping. MTD denied November 2025; the resulting 'substitutive summaries' doctrine is now being cited across the OpenAI MDL as output-side infringement precedent.</w:t>
      </w:r>
    </w:p>
    <w:p>
      <w:pPr>
        <w:pStyle w:val="Heading2"/>
        <w:spacing w:after="140" w:before="320"/>
      </w:pPr>
      <w:r>
        <w:rPr>
          <w:rFonts w:ascii="Arial" w:cs="Arial" w:eastAsia="Arial" w:hAnsi="Arial"/>
          <w:b/>
          <w:bCs/>
          <w:sz w:val="28"/>
          <w:szCs w:val="28"/>
        </w:rPr>
        <w:t xml:space="preserve">#10: Andersen v. Stability AI et al.</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Andersen v. Stability AI et al.</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N.D. Cal.</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Stability AI; Midjourney; DeviantArt; Runway AI</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Sarah Andersen, Kelly McKernan, Karla Ortiz, Greg Rutkowski, others</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N.D. Cal. (Orrick,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Active</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Up to $150K per work (class)</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Visual-artists class action. Core claims survived August 2024 motions. DMCA §1202, right of publicity, and Lanham Act claims all surviving. Discovery now in dispute — defendants' RLHF training disclosures are a live battleground.</w:t>
      </w:r>
    </w:p>
    <w:p>
      <w:pPr>
        <w:pStyle w:val="Heading2"/>
        <w:spacing w:after="140" w:before="320"/>
      </w:pPr>
      <w:r>
        <w:rPr>
          <w:rFonts w:ascii="Arial" w:cs="Arial" w:eastAsia="Arial" w:hAnsi="Arial"/>
          <w:b/>
          <w:bCs/>
          <w:sz w:val="28"/>
          <w:szCs w:val="28"/>
        </w:rPr>
        <w:t xml:space="preserve">#11: GEMA v. OpenAI</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GEMA v. OpenAI</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Germany</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OpenAI LLC; OpenAI Ireland Ltd.</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GEMA (German music rights society — 95,000+ composers)</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LG München I (Reinhardt,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Judgment for plaintiff (Nov 2025)</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Hundreds of thousands of euros + injunction</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First European AI copyright ruling on the merits. Court held that memorization plus output of song lyrics constitutes infringement; rejected the TDM exception for generative-AI training. Influential template for EU-wide enforcement.</w:t>
      </w:r>
    </w:p>
    <w:p>
      <w:pPr>
        <w:pStyle w:val="Heading2"/>
        <w:spacing w:after="140" w:before="320"/>
      </w:pPr>
      <w:r>
        <w:rPr>
          <w:rFonts w:ascii="Arial" w:cs="Arial" w:eastAsia="Arial" w:hAnsi="Arial"/>
          <w:b/>
          <w:bCs/>
          <w:sz w:val="28"/>
          <w:szCs w:val="28"/>
        </w:rPr>
        <w:t xml:space="preserve">#12: Getty Images v. Stability AI (UK)</w:t>
      </w:r>
    </w:p>
    <w:p>
      <w:pPr>
        <w:spacing w:after="60" w:before="200"/>
      </w:pPr>
      <w:r>
        <w:rPr>
          <w:rFonts w:ascii="Arial" w:cs="Arial" w:eastAsia="Arial" w:hAnsi="Arial"/>
          <w:i/>
          <w:iCs/>
          <w:color w:val="666666"/>
          <w:sz w:val="18"/>
          <w:szCs w:val="18"/>
        </w:rPr>
        <w:t xml:space="preserve">Case name</w:t>
      </w:r>
    </w:p>
    <w:p>
      <w:pPr>
        <w:pBdr>
          <w:left w:val="single" w:color="5A6B00" w:sz="16" w:space="8"/>
        </w:pBdr>
        <w:spacing w:after="120" w:before="0"/>
        <w:ind w:left="240"/>
      </w:pPr>
      <w:r>
        <w:rPr>
          <w:rFonts w:ascii="Arial" w:cs="Arial" w:eastAsia="Arial" w:hAnsi="Arial"/>
          <w:sz w:val="22"/>
          <w:szCs w:val="22"/>
        </w:rPr>
        <w:t xml:space="preserve">Getty Images v. Stability AI (UK)</w:t>
      </w:r>
    </w:p>
    <w:p>
      <w:pPr>
        <w:spacing w:after="60" w:before="200"/>
      </w:pPr>
      <w:r>
        <w:rPr>
          <w:rFonts w:ascii="Arial" w:cs="Arial" w:eastAsia="Arial" w:hAnsi="Arial"/>
          <w:i/>
          <w:iCs/>
          <w:color w:val="666666"/>
          <w:sz w:val="18"/>
          <w:szCs w:val="18"/>
        </w:rPr>
        <w:t xml:space="preserve">Citation (small label, top of card)</w:t>
      </w:r>
    </w:p>
    <w:p>
      <w:pPr>
        <w:pBdr>
          <w:left w:val="single" w:color="5A6B00" w:sz="16" w:space="8"/>
        </w:pBdr>
        <w:spacing w:after="120" w:before="0"/>
        <w:ind w:left="240"/>
      </w:pPr>
      <w:r>
        <w:rPr>
          <w:rFonts w:ascii="Arial" w:cs="Arial" w:eastAsia="Arial" w:hAnsi="Arial"/>
          <w:sz w:val="22"/>
          <w:szCs w:val="22"/>
        </w:rPr>
        <w:t xml:space="preserve">England &amp; Wales</w:t>
      </w:r>
    </w:p>
    <w:p>
      <w:pPr>
        <w:spacing w:after="60" w:before="200"/>
      </w:pPr>
      <w:r>
        <w:rPr>
          <w:rFonts w:ascii="Arial" w:cs="Arial" w:eastAsia="Arial" w:hAnsi="Arial"/>
          <w:i/>
          <w:iCs/>
          <w:color w:val="666666"/>
          <w:sz w:val="18"/>
          <w:szCs w:val="18"/>
        </w:rPr>
        <w:t xml:space="preserve">Defendants</w:t>
      </w:r>
    </w:p>
    <w:p>
      <w:pPr>
        <w:pBdr>
          <w:left w:val="single" w:color="5A6B00" w:sz="16" w:space="8"/>
        </w:pBdr>
        <w:spacing w:after="120" w:before="0"/>
        <w:ind w:left="240"/>
      </w:pPr>
      <w:r>
        <w:rPr>
          <w:rFonts w:ascii="Arial" w:cs="Arial" w:eastAsia="Arial" w:hAnsi="Arial"/>
          <w:sz w:val="22"/>
          <w:szCs w:val="22"/>
        </w:rPr>
        <w:t xml:space="preserve">Stability AI Limited</w:t>
      </w:r>
    </w:p>
    <w:p>
      <w:pPr>
        <w:spacing w:after="60" w:before="200"/>
      </w:pPr>
      <w:r>
        <w:rPr>
          <w:rFonts w:ascii="Arial" w:cs="Arial" w:eastAsia="Arial" w:hAnsi="Arial"/>
          <w:i/>
          <w:iCs/>
          <w:color w:val="666666"/>
          <w:sz w:val="18"/>
          <w:szCs w:val="18"/>
        </w:rPr>
        <w:t xml:space="preserve">Plaintiffs</w:t>
      </w:r>
    </w:p>
    <w:p>
      <w:pPr>
        <w:pBdr>
          <w:left w:val="single" w:color="5A6B00" w:sz="16" w:space="8"/>
        </w:pBdr>
        <w:spacing w:after="120" w:before="0"/>
        <w:ind w:left="240"/>
      </w:pPr>
      <w:r>
        <w:rPr>
          <w:rFonts w:ascii="Arial" w:cs="Arial" w:eastAsia="Arial" w:hAnsi="Arial"/>
          <w:sz w:val="22"/>
          <w:szCs w:val="22"/>
        </w:rPr>
        <w:t xml:space="preserve">Getty Images (US, Ireland, UK)</w:t>
      </w:r>
    </w:p>
    <w:p>
      <w:pPr>
        <w:spacing w:after="60" w:before="200"/>
      </w:pPr>
      <w:r>
        <w:rPr>
          <w:rFonts w:ascii="Arial" w:cs="Arial" w:eastAsia="Arial" w:hAnsi="Arial"/>
          <w:i/>
          <w:iCs/>
          <w:color w:val="666666"/>
          <w:sz w:val="18"/>
          <w:szCs w:val="18"/>
        </w:rPr>
        <w:t xml:space="preserve">Court</w:t>
      </w:r>
    </w:p>
    <w:p>
      <w:pPr>
        <w:pBdr>
          <w:left w:val="single" w:color="5A6B00" w:sz="16" w:space="8"/>
        </w:pBdr>
        <w:spacing w:after="120" w:before="0"/>
        <w:ind w:left="240"/>
      </w:pPr>
      <w:r>
        <w:rPr>
          <w:rFonts w:ascii="Arial" w:cs="Arial" w:eastAsia="Arial" w:hAnsi="Arial"/>
          <w:sz w:val="22"/>
          <w:szCs w:val="22"/>
        </w:rPr>
        <w:t xml:space="preserve">High Court (Smith, J.)</w:t>
      </w:r>
    </w:p>
    <w:p>
      <w:pPr>
        <w:spacing w:after="60" w:before="200"/>
      </w:pPr>
      <w:r>
        <w:rPr>
          <w:rFonts w:ascii="Arial" w:cs="Arial" w:eastAsia="Arial" w:hAnsi="Arial"/>
          <w:i/>
          <w:iCs/>
          <w:color w:val="666666"/>
          <w:sz w:val="18"/>
          <w:szCs w:val="18"/>
        </w:rPr>
        <w:t xml:space="preserve">Status badge</w:t>
      </w:r>
    </w:p>
    <w:p>
      <w:pPr>
        <w:pBdr>
          <w:left w:val="single" w:color="5A6B00" w:sz="16" w:space="8"/>
        </w:pBdr>
        <w:spacing w:after="120" w:before="0"/>
        <w:ind w:left="240"/>
      </w:pPr>
      <w:r>
        <w:rPr>
          <w:rFonts w:ascii="Arial" w:cs="Arial" w:eastAsia="Arial" w:hAnsi="Arial"/>
          <w:sz w:val="22"/>
          <w:szCs w:val="22"/>
        </w:rPr>
        <w:t xml:space="preserve">Judgment (Nov 2025)</w:t>
      </w:r>
    </w:p>
    <w:p>
      <w:pPr>
        <w:spacing w:after="60" w:before="200"/>
      </w:pPr>
      <w:r>
        <w:rPr>
          <w:rFonts w:ascii="Arial" w:cs="Arial" w:eastAsia="Arial" w:hAnsi="Arial"/>
          <w:i/>
          <w:iCs/>
          <w:color w:val="666666"/>
          <w:sz w:val="18"/>
          <w:szCs w:val="18"/>
        </w:rPr>
        <w:t xml:space="preserve">Damages</w:t>
      </w:r>
    </w:p>
    <w:p>
      <w:pPr>
        <w:pBdr>
          <w:left w:val="single" w:color="5A6B00" w:sz="16" w:space="8"/>
        </w:pBdr>
        <w:spacing w:after="120" w:before="0"/>
        <w:ind w:left="240"/>
      </w:pPr>
      <w:r>
        <w:rPr>
          <w:rFonts w:ascii="Arial" w:cs="Arial" w:eastAsia="Arial" w:hAnsi="Arial"/>
          <w:sz w:val="22"/>
          <w:szCs w:val="22"/>
        </w:rPr>
        <w:t xml:space="preserve">Reduced after claims narrowing</w:t>
      </w:r>
    </w:p>
    <w:p>
      <w:pPr>
        <w:spacing w:after="60" w:before="200"/>
      </w:pPr>
      <w:r>
        <w:rPr>
          <w:rFonts w:ascii="Arial" w:cs="Arial" w:eastAsia="Arial" w:hAnsi="Arial"/>
          <w:i/>
          <w:iCs/>
          <w:color w:val="666666"/>
          <w:sz w:val="18"/>
          <w:szCs w:val="18"/>
        </w:rPr>
        <w:t xml:space="preserve">Summary (2–3 sentence paragraph on card)</w:t>
      </w:r>
    </w:p>
    <w:p>
      <w:pPr>
        <w:pBdr>
          <w:left w:val="single" w:color="5A6B00" w:sz="16" w:space="8"/>
        </w:pBdr>
        <w:spacing w:after="120" w:before="0"/>
        <w:ind w:left="240"/>
      </w:pPr>
      <w:r>
        <w:rPr>
          <w:rFonts w:ascii="Arial" w:cs="Arial" w:eastAsia="Arial" w:hAnsi="Arial"/>
          <w:sz w:val="22"/>
          <w:szCs w:val="22"/>
        </w:rPr>
        <w:t xml:space="preserve">First UK AI copyright ruling. Held that AI model weights are not 'infringing copies' under CDPA, narrowing the primary copyright theory. Trademark and database rights claims survived. Now on appeal — outcome will frame UK and CJEU litigation alike.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5A6B00"/>
      <w:sz w:val="36"/>
      <w:szCs w:val="36"/>
    </w:rPr>
  </w:style>
  <w:style w:type="paragraph" w:styleId="Heading2">
    <w:name w:val="Heading 2"/>
    <w:basedOn w:val="Normal"/>
    <w:next w:val="Normal"/>
    <w:qFormat/>
    <w:pPr>
      <w:spacing w:after="140" w:before="32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04040"/>
      <w:sz w:val="24"/>
      <w:szCs w:val="24"/>
    </w:rPr>
  </w:style>
  <w:style w:type="paragraph" w:styleId="Title">
    <w:name w:val="Title"/>
    <w:basedOn w:val="Normal"/>
    <w:next w:val="Normal"/>
    <w:qFormat/>
    <w:pPr>
      <w:spacing w:after="320" w:before="0"/>
    </w:pPr>
    <w:rPr>
      <w:rFonts w:ascii="Arial" w:cs="Arial" w:eastAsia="Arial" w:hAnsi="Arial"/>
      <w:b/>
      <w:bCs/>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Copy — Editable Source</dc:title>
  <dc:creator>Turnpage Digital Markets</dc:creator>
  <cp:lastModifiedBy>Un-named</cp:lastModifiedBy>
  <cp:revision>1</cp:revision>
  <dcterms:created xsi:type="dcterms:W3CDTF">2026-04-29T15:55:33.031Z</dcterms:created>
  <dcterms:modified xsi:type="dcterms:W3CDTF">2026-04-29T15:55:33.031Z</dcterms:modified>
</cp:coreProperties>
</file>

<file path=docProps/custom.xml><?xml version="1.0" encoding="utf-8"?>
<Properties xmlns="http://schemas.openxmlformats.org/officeDocument/2006/custom-properties" xmlns:vt="http://schemas.openxmlformats.org/officeDocument/2006/docPropsVTypes"/>
</file>