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94"/>
        <w:ind w:left="0" w:right="0"/>
      </w:pPr>
    </w:p>
    <w:p>
      <w:pPr>
        <w:autoSpaceDN w:val="0"/>
        <w:autoSpaceDE w:val="0"/>
        <w:widowControl/>
        <w:spacing w:line="238" w:lineRule="exact" w:before="0" w:after="0"/>
        <w:ind w:left="0" w:right="3644" w:firstLine="0"/>
        <w:jc w:val="righ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>Abstract</w:t>
      </w:r>
    </w:p>
    <w:p>
      <w:pPr>
        <w:autoSpaceDN w:val="0"/>
        <w:autoSpaceDE w:val="0"/>
        <w:widowControl/>
        <w:spacing w:line="348" w:lineRule="exact" w:before="418" w:after="0"/>
        <w:ind w:left="964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This paper examines Uzbekistan’s integration into Northeast Asian production net-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works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following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2017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Mirziyoyev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reforms,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demonstrating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central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structural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asymmetry: Uzbekistan has achieved significant backward global value chain (GVC)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integration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by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absorbing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intermediate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goods,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but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has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failed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achieve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commensu-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rate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forward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integration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into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manufactured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export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markets.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This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pattern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signifies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captive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rather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than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relational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GVC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governance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structure.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Employing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Chow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structural break test, revealed comparative advantage indices, and bilateral trade de-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composition, the analysis confirms that the 2017 reforms constituted a statistically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significant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turning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point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for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manufacturing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value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added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F</w:t>
      </w:r>
      <w:r>
        <w:rPr>
          <w:rFonts w:ascii="CMR10" w:hAnsi="CMR10" w:eastAsia="CMR10"/>
          <w:b w:val="0"/>
          <w:i w:val="0"/>
          <w:color w:val="000000"/>
          <w:sz w:val="24"/>
        </w:rPr>
        <w:t>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6</w:t>
      </w:r>
      <w:r>
        <w:rPr>
          <w:rFonts w:ascii="CMMI10" w:hAnsi="CMMI10" w:eastAsia="CMMI10"/>
          <w:b w:val="0"/>
          <w:i/>
          <w:color w:val="000000"/>
          <w:sz w:val="24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937,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p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4"/>
        </w:rPr>
        <w:t>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013),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accelerating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annual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sector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growth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from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0.4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1.2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percentage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points.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Data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span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2010–2026, with 2024–2026 drawn from IMF WEO April 2025 projections.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How-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ever,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a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persistent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gap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in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foreign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direct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investment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(FDI)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intensity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remains,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partic-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ularly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compared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Vietnam’s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post-2000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trajectory.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Crucially,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type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of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capital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flowing into Uzbekistan deviates from the export-manufacturing focus predicted by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the flying geese model; the country disproportionately attracts infrastructure-linked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Chinese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FDI,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whereas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export-oriented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Japanese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South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Korean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manufacturing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FDI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remains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marginal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despite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high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intermediate-goods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trade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shares.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disserta-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tion argues that escaping this captive integration trap requires shifting from passive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openness to targeted policy intervention.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The most urgent priorities are overcoming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logistics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bottlenecks,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which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act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as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absolute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binding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constraint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on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export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com-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petitiveness, and leveraging WTO accession as an external commitment mechanism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to provide institutional lock-in for decree-based reforms.</w:t>
      </w:r>
    </w:p>
    <w:p>
      <w:pPr>
        <w:autoSpaceDN w:val="0"/>
        <w:autoSpaceDE w:val="0"/>
        <w:widowControl/>
        <w:spacing w:line="350" w:lineRule="exact" w:before="118" w:after="0"/>
        <w:ind w:left="964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24"/>
        </w:rPr>
        <w:t>Keywords: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Global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value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chains,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FDI-led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industrialisation,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Uzbekistan,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Northeast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Asia, revealed comparative advantage, economic complexity, structural break</w:t>
      </w:r>
    </w:p>
    <w:p>
      <w:pPr>
        <w:sectPr>
          <w:pgSz w:w="11906" w:h="16838"/>
          <w:pgMar w:top="616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14" w:lineRule="exact" w:before="642" w:after="630"/>
        <w:ind w:left="26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41"/>
        </w:rPr>
        <w:t>Contents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rHeight w:hRule="exact" w:val="544"/>
        </w:trPr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1</w:t>
            </w:r>
          </w:p>
        </w:tc>
        <w:tc>
          <w:tcPr>
            <w:tcW w:type="dxa" w:w="870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Introduction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5</w:t>
            </w:r>
          </w:p>
        </w:tc>
      </w:tr>
      <w:tr>
        <w:trPr>
          <w:trHeight w:hRule="exact" w:val="582"/>
        </w:trPr>
        <w:tc>
          <w:tcPr>
            <w:tcW w:type="dxa" w:w="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2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2</w:t>
            </w:r>
          </w:p>
        </w:tc>
        <w:tc>
          <w:tcPr>
            <w:tcW w:type="dxa" w:w="870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28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Literature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Review: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Re-evaluating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GVCs,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the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State,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and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Structural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50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6</w:t>
            </w:r>
          </w:p>
        </w:tc>
      </w:tr>
      <w:tr>
        <w:trPr>
          <w:trHeight w:hRule="exact" w:val="418"/>
        </w:trPr>
        <w:tc>
          <w:tcPr>
            <w:tcW w:type="dxa" w:w="1205"/>
            <w:vMerge/>
            <w:tcBorders/>
          </w:tcPr>
          <w:p/>
        </w:tc>
        <w:tc>
          <w:tcPr>
            <w:tcW w:type="dxa" w:w="870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Transformation</w:t>
            </w:r>
          </w:p>
        </w:tc>
        <w:tc>
          <w:tcPr>
            <w:tcW w:type="dxa" w:w="1205"/>
            <w:vMerge/>
            <w:tcBorders/>
          </w:tcPr>
          <w:p/>
        </w:tc>
      </w:tr>
      <w:tr>
        <w:trPr>
          <w:trHeight w:hRule="exact" w:val="432"/>
        </w:trPr>
        <w:tc>
          <w:tcPr>
            <w:tcW w:type="dxa" w:w="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59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3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2.1</w:t>
            </w:r>
          </w:p>
        </w:tc>
        <w:tc>
          <w:tcPr>
            <w:tcW w:type="dxa" w:w="80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Global Value Chains: Governance, Upgrading, and Contemporary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00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7</w:t>
            </w:r>
          </w:p>
        </w:tc>
      </w:tr>
      <w:tr>
        <w:trPr>
          <w:trHeight w:hRule="exact" w:val="424"/>
        </w:trPr>
        <w:tc>
          <w:tcPr>
            <w:tcW w:type="dxa" w:w="1205"/>
            <w:vMerge/>
            <w:tcBorders/>
          </w:tcPr>
          <w:p/>
        </w:tc>
        <w:tc>
          <w:tcPr>
            <w:tcW w:type="dxa" w:w="28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108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Reconfigurations</w:t>
            </w:r>
          </w:p>
        </w:tc>
        <w:tc>
          <w:tcPr>
            <w:tcW w:type="dxa" w:w="58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140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205"/>
            <w:vMerge/>
            <w:tcBorders/>
          </w:tcPr>
          <w:p/>
        </w:tc>
      </w:tr>
      <w:tr>
        <w:trPr>
          <w:trHeight w:hRule="exact" w:val="422"/>
        </w:trPr>
        <w:tc>
          <w:tcPr>
            <w:tcW w:type="dxa" w:w="1205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2.2</w:t>
            </w:r>
          </w:p>
        </w:tc>
        <w:tc>
          <w:tcPr>
            <w:tcW w:type="dxa" w:w="80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The Premature Deindustrialisation Counter-Thesis 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8</w:t>
            </w:r>
          </w:p>
        </w:tc>
      </w:tr>
      <w:tr>
        <w:trPr>
          <w:trHeight w:hRule="exact" w:val="424"/>
        </w:trPr>
        <w:tc>
          <w:tcPr>
            <w:tcW w:type="dxa" w:w="1205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2.3</w:t>
            </w:r>
          </w:p>
        </w:tc>
        <w:tc>
          <w:tcPr>
            <w:tcW w:type="dxa" w:w="80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The Developmental State and the Rebirth of Industrial Policy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9</w:t>
            </w:r>
          </w:p>
        </w:tc>
      </w:tr>
      <w:tr>
        <w:trPr>
          <w:trHeight w:hRule="exact" w:val="424"/>
        </w:trPr>
        <w:tc>
          <w:tcPr>
            <w:tcW w:type="dxa" w:w="1205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2.4</w:t>
            </w:r>
          </w:p>
        </w:tc>
        <w:tc>
          <w:tcPr>
            <w:tcW w:type="dxa" w:w="68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The Flying Geese Paradigm and South-South Cooperation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9</w:t>
            </w:r>
          </w:p>
        </w:tc>
      </w:tr>
      <w:tr>
        <w:trPr>
          <w:trHeight w:hRule="exact" w:val="422"/>
        </w:trPr>
        <w:tc>
          <w:tcPr>
            <w:tcW w:type="dxa" w:w="1205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2.5</w:t>
            </w:r>
          </w:p>
        </w:tc>
        <w:tc>
          <w:tcPr>
            <w:tcW w:type="dxa" w:w="80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Comparative Development Benchmarks: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Vietnam and Thailand 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8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10</w:t>
            </w:r>
          </w:p>
        </w:tc>
      </w:tr>
      <w:tr>
        <w:trPr>
          <w:trHeight w:hRule="exact" w:val="424"/>
        </w:trPr>
        <w:tc>
          <w:tcPr>
            <w:tcW w:type="dxa" w:w="1205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2.6</w:t>
            </w:r>
          </w:p>
        </w:tc>
        <w:tc>
          <w:tcPr>
            <w:tcW w:type="dxa" w:w="80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Central Asian Structural Constraints and Landlocked Theory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8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10</w:t>
            </w:r>
          </w:p>
        </w:tc>
      </w:tr>
      <w:tr>
        <w:trPr>
          <w:trHeight w:hRule="exact" w:val="424"/>
        </w:trPr>
        <w:tc>
          <w:tcPr>
            <w:tcW w:type="dxa" w:w="1205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2.7</w:t>
            </w:r>
          </w:p>
        </w:tc>
        <w:tc>
          <w:tcPr>
            <w:tcW w:type="dxa" w:w="80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Technology Transfer and FDI Spillovers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8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11</w:t>
            </w:r>
          </w:p>
        </w:tc>
      </w:tr>
      <w:tr>
        <w:trPr>
          <w:trHeight w:hRule="exact" w:val="422"/>
        </w:trPr>
        <w:tc>
          <w:tcPr>
            <w:tcW w:type="dxa" w:w="1205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2.8</w:t>
            </w:r>
          </w:p>
        </w:tc>
        <w:tc>
          <w:tcPr>
            <w:tcW w:type="dxa" w:w="80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Synthesis: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Economic Complexity and Upgrading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8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12</w:t>
            </w:r>
          </w:p>
        </w:tc>
      </w:tr>
      <w:tr>
        <w:trPr>
          <w:trHeight w:hRule="exact" w:val="566"/>
        </w:trPr>
        <w:tc>
          <w:tcPr>
            <w:tcW w:type="dxa" w:w="1205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2.9</w:t>
            </w:r>
          </w:p>
        </w:tc>
        <w:tc>
          <w:tcPr>
            <w:tcW w:type="dxa" w:w="80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Research Gap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8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12</w:t>
            </w:r>
          </w:p>
        </w:tc>
      </w:tr>
      <w:tr>
        <w:trPr>
          <w:trHeight w:hRule="exact" w:val="556"/>
        </w:trPr>
        <w:tc>
          <w:tcPr>
            <w:tcW w:type="dxa" w:w="1205"/>
            <w:vMerge/>
            <w:tcBorders/>
          </w:tcPr>
          <w:p/>
        </w:tc>
        <w:tc>
          <w:tcPr>
            <w:tcW w:type="dxa" w:w="870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12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Data, Research Design, and Methodology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12" w:after="0"/>
              <w:ind w:left="8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12</w:t>
            </w:r>
          </w:p>
        </w:tc>
      </w:tr>
      <w:tr>
        <w:trPr>
          <w:trHeight w:hRule="exact" w:val="436"/>
        </w:trPr>
        <w:tc>
          <w:tcPr>
            <w:tcW w:type="dxa" w:w="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60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4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3.1</w:t>
            </w:r>
          </w:p>
        </w:tc>
        <w:tc>
          <w:tcPr>
            <w:tcW w:type="dxa" w:w="80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Research Philosophy and Ontological Position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2" w:after="0"/>
              <w:ind w:left="8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12</w:t>
            </w:r>
          </w:p>
        </w:tc>
      </w:tr>
      <w:tr>
        <w:trPr>
          <w:trHeight w:hRule="exact" w:val="424"/>
        </w:trPr>
        <w:tc>
          <w:tcPr>
            <w:tcW w:type="dxa" w:w="1205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3.2</w:t>
            </w:r>
          </w:p>
        </w:tc>
        <w:tc>
          <w:tcPr>
            <w:tcW w:type="dxa" w:w="68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Research Design: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Sequential Explanatory Mixed-Methods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8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13</w:t>
            </w:r>
          </w:p>
        </w:tc>
      </w:tr>
      <w:tr>
        <w:trPr>
          <w:trHeight w:hRule="exact" w:val="422"/>
        </w:trPr>
        <w:tc>
          <w:tcPr>
            <w:tcW w:type="dxa" w:w="1205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3.3</w:t>
            </w:r>
          </w:p>
        </w:tc>
        <w:tc>
          <w:tcPr>
            <w:tcW w:type="dxa" w:w="80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Variable Operationalisation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8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14</w:t>
            </w:r>
          </w:p>
        </w:tc>
      </w:tr>
      <w:tr>
        <w:trPr>
          <w:trHeight w:hRule="exact" w:val="424"/>
        </w:trPr>
        <w:tc>
          <w:tcPr>
            <w:tcW w:type="dxa" w:w="1205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3.4</w:t>
            </w:r>
          </w:p>
        </w:tc>
        <w:tc>
          <w:tcPr>
            <w:tcW w:type="dxa" w:w="80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Data Sources and API Endpoints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8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16</w:t>
            </w:r>
          </w:p>
        </w:tc>
      </w:tr>
      <w:tr>
        <w:trPr>
          <w:trHeight w:hRule="exact" w:val="424"/>
        </w:trPr>
        <w:tc>
          <w:tcPr>
            <w:tcW w:type="dxa" w:w="1205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3.5</w:t>
            </w:r>
          </w:p>
        </w:tc>
        <w:tc>
          <w:tcPr>
            <w:tcW w:type="dxa" w:w="80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Empirical Models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8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17</w:t>
            </w:r>
          </w:p>
        </w:tc>
      </w:tr>
      <w:tr>
        <w:trPr>
          <w:trHeight w:hRule="exact" w:val="424"/>
        </w:trPr>
        <w:tc>
          <w:tcPr>
            <w:tcW w:type="dxa" w:w="1205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156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3.5.1</w:t>
            </w:r>
          </w:p>
        </w:tc>
        <w:tc>
          <w:tcPr>
            <w:tcW w:type="dxa" w:w="3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Structural Break Analysis</w:t>
            </w:r>
          </w:p>
        </w:tc>
        <w:tc>
          <w:tcPr>
            <w:tcW w:type="dxa" w:w="3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3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8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17</w:t>
            </w:r>
          </w:p>
        </w:tc>
      </w:tr>
      <w:tr>
        <w:trPr>
          <w:trHeight w:hRule="exact" w:val="210"/>
        </w:trPr>
        <w:tc>
          <w:tcPr>
            <w:tcW w:type="dxa" w:w="1205"/>
            <w:vMerge/>
            <w:tcBorders/>
          </w:tcPr>
          <w:p/>
        </w:tc>
        <w:tc>
          <w:tcPr>
            <w:tcW w:type="dxa" w:w="154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156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3.5.2</w:t>
            </w:r>
          </w:p>
        </w:tc>
        <w:tc>
          <w:tcPr>
            <w:tcW w:type="dxa" w:w="7160"/>
            <w:gridSpan w:val="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190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OLS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Regression: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Manufacturing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Value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Added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and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Eco-</w:t>
            </w:r>
          </w:p>
        </w:tc>
        <w:tc>
          <w:tcPr>
            <w:tcW w:type="dxa" w:w="1205"/>
            <w:vMerge/>
            <w:tcBorders/>
          </w:tcPr>
          <w:p/>
        </w:tc>
      </w:tr>
      <w:tr>
        <w:trPr>
          <w:trHeight w:hRule="exact" w:val="212"/>
        </w:trPr>
        <w:tc>
          <w:tcPr>
            <w:tcW w:type="dxa" w:w="1205"/>
            <w:vMerge/>
            <w:tcBorders/>
          </w:tcPr>
          <w:p/>
        </w:tc>
        <w:tc>
          <w:tcPr>
            <w:tcW w:type="dxa" w:w="2410"/>
            <w:gridSpan w:val="2"/>
            <w:vMerge/>
            <w:tcBorders/>
          </w:tcPr>
          <w:p/>
        </w:tc>
        <w:tc>
          <w:tcPr>
            <w:tcW w:type="dxa" w:w="4820"/>
            <w:gridSpan w:val="4"/>
            <w:vMerge/>
            <w:tcBorders/>
          </w:tcPr>
          <w:p/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0" w:after="0"/>
              <w:ind w:left="8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18</w:t>
            </w:r>
          </w:p>
        </w:tc>
      </w:tr>
      <w:tr>
        <w:trPr>
          <w:trHeight w:hRule="exact" w:val="424"/>
        </w:trPr>
        <w:tc>
          <w:tcPr>
            <w:tcW w:type="dxa" w:w="1205"/>
            <w:vMerge/>
            <w:tcBorders/>
          </w:tcPr>
          <w:p/>
        </w:tc>
        <w:tc>
          <w:tcPr>
            <w:tcW w:type="dxa" w:w="870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730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nomic Complexity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205"/>
            <w:vMerge/>
            <w:tcBorders/>
          </w:tcPr>
          <w:p/>
        </w:tc>
      </w:tr>
      <w:tr>
        <w:trPr>
          <w:trHeight w:hRule="exact" w:val="424"/>
        </w:trPr>
        <w:tc>
          <w:tcPr>
            <w:tcW w:type="dxa" w:w="1205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156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3.5.3</w:t>
            </w:r>
          </w:p>
        </w:tc>
        <w:tc>
          <w:tcPr>
            <w:tcW w:type="dxa" w:w="71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Scenario Forecasting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8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18</w:t>
            </w:r>
          </w:p>
        </w:tc>
      </w:tr>
      <w:tr>
        <w:trPr>
          <w:trHeight w:hRule="exact" w:val="566"/>
        </w:trPr>
        <w:tc>
          <w:tcPr>
            <w:tcW w:type="dxa" w:w="1205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3.6</w:t>
            </w:r>
          </w:p>
        </w:tc>
        <w:tc>
          <w:tcPr>
            <w:tcW w:type="dxa" w:w="4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Scope, Limitations, and Robustness</w:t>
            </w:r>
          </w:p>
        </w:tc>
        <w:tc>
          <w:tcPr>
            <w:tcW w:type="dxa" w:w="3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8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19</w:t>
            </w:r>
          </w:p>
        </w:tc>
      </w:tr>
      <w:tr>
        <w:trPr>
          <w:trHeight w:hRule="exact" w:val="550"/>
        </w:trPr>
        <w:tc>
          <w:tcPr>
            <w:tcW w:type="dxa" w:w="1205"/>
            <w:vMerge/>
            <w:tcBorders/>
          </w:tcPr>
          <w:p/>
        </w:tc>
        <w:tc>
          <w:tcPr>
            <w:tcW w:type="dxa" w:w="870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10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Analysis and Results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10" w:after="0"/>
              <w:ind w:left="8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20</w:t>
            </w:r>
          </w:p>
        </w:tc>
      </w:tr>
      <w:tr>
        <w:trPr>
          <w:trHeight w:hRule="exact" w:val="440"/>
        </w:trPr>
        <w:tc>
          <w:tcPr>
            <w:tcW w:type="dxa" w:w="1205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4.1</w:t>
            </w:r>
          </w:p>
        </w:tc>
        <w:tc>
          <w:tcPr>
            <w:tcW w:type="dxa" w:w="80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6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Structural Break Analysis: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The 2017 Reform as a Manufacturing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8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20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/>
          </w:tcPr>
          <w:p/>
        </w:tc>
        <w:tc>
          <w:tcPr>
            <w:tcW w:type="dxa" w:w="870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81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Turning Point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205"/>
            <w:vMerge/>
            <w:tcBorders/>
          </w:tcPr>
          <w:p/>
        </w:tc>
      </w:tr>
      <w:tr>
        <w:trPr>
          <w:trHeight w:hRule="exact" w:val="428"/>
        </w:trPr>
        <w:tc>
          <w:tcPr>
            <w:tcW w:type="dxa" w:w="1205"/>
            <w:vMerge/>
            <w:tcBorders/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4.2</w:t>
            </w:r>
          </w:p>
        </w:tc>
        <w:tc>
          <w:tcPr>
            <w:tcW w:type="dxa" w:w="80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Revealed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Comparative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Advantage: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Export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Sophistication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and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Its</w:t>
            </w:r>
          </w:p>
        </w:tc>
        <w:tc>
          <w:tcPr>
            <w:tcW w:type="dxa" w:w="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8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21</w:t>
            </w:r>
          </w:p>
        </w:tc>
      </w:tr>
      <w:tr>
        <w:trPr>
          <w:trHeight w:hRule="exact" w:val="414"/>
        </w:trPr>
        <w:tc>
          <w:tcPr>
            <w:tcW w:type="dxa" w:w="1205"/>
            <w:vMerge/>
            <w:tcBorders/>
          </w:tcPr>
          <w:p/>
        </w:tc>
        <w:tc>
          <w:tcPr>
            <w:tcW w:type="dxa" w:w="870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81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Limits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20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88" w:lineRule="exact" w:before="662" w:after="0"/>
        <w:ind w:left="0" w:right="4630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rHeight w:hRule="exact" w:val="900"/>
        </w:trPr>
        <w:tc>
          <w:tcPr>
            <w:tcW w:type="dxa" w:w="284"/>
            <w:vMerge w:val="restart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340" w:after="0"/>
              <w:ind w:left="4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5</w:t>
            </w:r>
          </w:p>
          <w:p>
            <w:pPr>
              <w:autoSpaceDN w:val="0"/>
              <w:autoSpaceDE w:val="0"/>
              <w:widowControl/>
              <w:spacing w:line="286" w:lineRule="exact" w:before="2118" w:after="0"/>
              <w:ind w:left="4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6</w:t>
            </w:r>
          </w:p>
          <w:p>
            <w:pPr>
              <w:autoSpaceDN w:val="0"/>
              <w:autoSpaceDE w:val="0"/>
              <w:widowControl/>
              <w:spacing w:line="288" w:lineRule="exact" w:before="3388" w:after="0"/>
              <w:ind w:left="4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7</w:t>
            </w:r>
          </w:p>
        </w:tc>
        <w:tc>
          <w:tcPr>
            <w:tcW w:type="dxa" w:w="6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5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4.3</w:t>
            </w:r>
          </w:p>
        </w:tc>
        <w:tc>
          <w:tcPr>
            <w:tcW w:type="dxa" w:w="7960"/>
            <w:gridSpan w:val="5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5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Overall RCA Structure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52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21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4.4</w:t>
            </w:r>
          </w:p>
        </w:tc>
        <w:tc>
          <w:tcPr>
            <w:tcW w:type="dxa" w:w="79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Manufacturing-Sector RCA Dynamics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8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22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4.5</w:t>
            </w:r>
          </w:p>
        </w:tc>
        <w:tc>
          <w:tcPr>
            <w:tcW w:type="dxa" w:w="79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Northeast Asian Trade and FDI Flows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2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24</w:t>
            </w:r>
          </w:p>
        </w:tc>
      </w:tr>
      <w:tr>
        <w:trPr>
          <w:trHeight w:hRule="exact" w:val="44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4.6</w:t>
            </w:r>
          </w:p>
        </w:tc>
        <w:tc>
          <w:tcPr>
            <w:tcW w:type="dxa" w:w="79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Bilateral Trade Dynamics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6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24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4.7</w:t>
            </w:r>
          </w:p>
        </w:tc>
        <w:tc>
          <w:tcPr>
            <w:tcW w:type="dxa" w:w="79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Intermediate Goods Composition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25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4.8</w:t>
            </w:r>
          </w:p>
        </w:tc>
        <w:tc>
          <w:tcPr>
            <w:tcW w:type="dxa" w:w="2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FDI Origin Structure</w:t>
            </w:r>
          </w:p>
        </w:tc>
        <w:tc>
          <w:tcPr>
            <w:tcW w:type="dxa" w:w="53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26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4.9</w:t>
            </w:r>
          </w:p>
        </w:tc>
        <w:tc>
          <w:tcPr>
            <w:tcW w:type="dxa" w:w="79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Trade Network Analysis: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Value-Chain Positioning 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6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27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86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4.10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Value-Chain Positioning Map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27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86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4.11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Intermediate Goods Dependence by Partner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29</w:t>
            </w:r>
          </w:p>
        </w:tc>
      </w:tr>
      <w:tr>
        <w:trPr>
          <w:trHeight w:hRule="exact" w:val="44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86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4.12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Export Composition: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Structural Change 2010–2023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6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30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86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4.13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Re-export Potential Through Central Asian Corridors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31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86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4.14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GVC Positioning: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Backward and Forward Integration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31</w:t>
            </w:r>
          </w:p>
        </w:tc>
      </w:tr>
      <w:tr>
        <w:trPr>
          <w:trHeight w:hRule="exact" w:val="56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86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4.15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Comparative Trajectory: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Uzbekistan and Vietnam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32</w:t>
            </w:r>
          </w:p>
        </w:tc>
      </w:tr>
      <w:tr>
        <w:trPr>
          <w:trHeight w:hRule="exact" w:val="58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908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24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Thailand Comparative Benchmarking: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The Eastern Seaboard Model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35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5.1</w:t>
            </w:r>
          </w:p>
        </w:tc>
        <w:tc>
          <w:tcPr>
            <w:tcW w:type="dxa" w:w="79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Rationale for the Thailand Comparator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35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5.2</w:t>
            </w:r>
          </w:p>
        </w:tc>
        <w:tc>
          <w:tcPr>
            <w:tcW w:type="dxa" w:w="79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Thailand’s Industrialisation Pathway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35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5.3</w:t>
            </w:r>
          </w:p>
        </w:tc>
        <w:tc>
          <w:tcPr>
            <w:tcW w:type="dxa" w:w="79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Comparative Benchmarking: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Thailand, Vietnam, and Uzbekistan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36</w:t>
            </w:r>
          </w:p>
        </w:tc>
      </w:tr>
      <w:tr>
        <w:trPr>
          <w:trHeight w:hRule="exact" w:val="56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5.4</w:t>
            </w:r>
          </w:p>
        </w:tc>
        <w:tc>
          <w:tcPr>
            <w:tcW w:type="dxa" w:w="79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The Automotive Sector Parallel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38</w:t>
            </w:r>
          </w:p>
        </w:tc>
      </w:tr>
      <w:tr>
        <w:trPr>
          <w:trHeight w:hRule="exact" w:val="58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86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28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Institutional Readiness for GVC Integration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28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39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6.1</w:t>
            </w:r>
          </w:p>
        </w:tc>
        <w:tc>
          <w:tcPr>
            <w:tcW w:type="dxa" w:w="79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Analytical Framework: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Institutions as GVC Entry Conditions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39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6.2</w:t>
            </w:r>
          </w:p>
        </w:tc>
        <w:tc>
          <w:tcPr>
            <w:tcW w:type="dxa" w:w="84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8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World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Governance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Indicators: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Uzbekistan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in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Comparative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Per-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86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81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spective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40</w:t>
            </w:r>
          </w:p>
        </w:tc>
      </w:tr>
      <w:tr>
        <w:trPr>
          <w:trHeight w:hRule="exact" w:val="44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6.3</w:t>
            </w:r>
          </w:p>
        </w:tc>
        <w:tc>
          <w:tcPr>
            <w:tcW w:type="dxa" w:w="632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Regulatory Quality: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Investment Climate Dimensions</w:t>
            </w:r>
          </w:p>
        </w:tc>
        <w:tc>
          <w:tcPr>
            <w:tcW w:type="dxa" w:w="16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4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41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6.4</w:t>
            </w:r>
          </w:p>
        </w:tc>
        <w:tc>
          <w:tcPr>
            <w:tcW w:type="dxa" w:w="79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Investment Treaty Architecture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42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6.5</w:t>
            </w:r>
          </w:p>
        </w:tc>
        <w:tc>
          <w:tcPr>
            <w:tcW w:type="dxa" w:w="79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Human Capital: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The Skill Supply Constraint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43</w:t>
            </w:r>
          </w:p>
        </w:tc>
      </w:tr>
      <w:tr>
        <w:trPr>
          <w:trHeight w:hRule="exact" w:val="56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6.6</w:t>
            </w:r>
          </w:p>
        </w:tc>
        <w:tc>
          <w:tcPr>
            <w:tcW w:type="dxa" w:w="79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Synthesis: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The Institutional Gap Score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44</w:t>
            </w:r>
          </w:p>
        </w:tc>
      </w:tr>
      <w:tr>
        <w:trPr>
          <w:trHeight w:hRule="exact" w:val="56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86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22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Special Economic Zone Effectiveness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22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46</w:t>
            </w:r>
          </w:p>
        </w:tc>
      </w:tr>
      <w:tr>
        <w:trPr>
          <w:trHeight w:hRule="exact" w:val="44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7.1</w:t>
            </w:r>
          </w:p>
        </w:tc>
        <w:tc>
          <w:tcPr>
            <w:tcW w:type="dxa" w:w="609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The Theoretical Role of SEZs in GVC Embedding</w:t>
            </w:r>
          </w:p>
        </w:tc>
        <w:tc>
          <w:tcPr>
            <w:tcW w:type="dxa" w:w="18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8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46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7.2</w:t>
            </w:r>
          </w:p>
        </w:tc>
        <w:tc>
          <w:tcPr>
            <w:tcW w:type="dxa" w:w="79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Uzbekistan’s SEZ Landscape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46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7.3</w:t>
            </w:r>
          </w:p>
        </w:tc>
        <w:tc>
          <w:tcPr>
            <w:tcW w:type="dxa" w:w="79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SEZ Incentive Structure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48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7.4</w:t>
            </w:r>
          </w:p>
        </w:tc>
        <w:tc>
          <w:tcPr>
            <w:tcW w:type="dxa" w:w="84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8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The Navoiy Model: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Aviation Logistics as a Landlocked GVC So-</w:t>
            </w:r>
          </w:p>
        </w:tc>
      </w:tr>
      <w:tr>
        <w:trPr>
          <w:trHeight w:hRule="exact" w:val="428"/>
        </w:trPr>
        <w:tc>
          <w:tcPr>
            <w:tcW w:type="dxa" w:w="1205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2" w:after="0"/>
              <w:ind w:left="0" w:right="12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lution</w:t>
            </w:r>
          </w:p>
        </w:tc>
        <w:tc>
          <w:tcPr>
            <w:tcW w:type="dxa" w:w="70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2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49</w:t>
            </w:r>
          </w:p>
        </w:tc>
      </w:tr>
    </w:tbl>
    <w:p>
      <w:pPr>
        <w:autoSpaceDN w:val="0"/>
        <w:autoSpaceDE w:val="0"/>
        <w:widowControl/>
        <w:spacing w:line="288" w:lineRule="exact" w:before="552" w:after="0"/>
        <w:ind w:left="0" w:right="4630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rPr>
          <w:trHeight w:hRule="exact" w:val="1040"/>
        </w:trPr>
        <w:tc>
          <w:tcPr>
            <w:tcW w:type="dxa" w:w="944"/>
            <w:gridSpan w:val="2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52" w:after="0"/>
              <w:ind w:left="0" w:right="15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7.5</w:t>
            </w:r>
          </w:p>
        </w:tc>
        <w:tc>
          <w:tcPr>
            <w:tcW w:type="dxa" w:w="8000"/>
            <w:gridSpan w:val="7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5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SEZ Performance Assessment: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A Comparative Scorecard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20"/>
            <w:vMerge w:val="restart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52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49</w:t>
            </w:r>
          </w:p>
          <w:p>
            <w:pPr>
              <w:autoSpaceDN w:val="0"/>
              <w:autoSpaceDE w:val="0"/>
              <w:widowControl/>
              <w:spacing w:line="424" w:lineRule="exact" w:before="284" w:after="0"/>
              <w:ind w:left="128" w:right="4" w:firstLine="0"/>
              <w:jc w:val="both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 xml:space="preserve">51 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51 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51 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53 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54 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54 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55 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57 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59 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60</w:t>
            </w:r>
          </w:p>
          <w:p>
            <w:pPr>
              <w:autoSpaceDN w:val="0"/>
              <w:autoSpaceDE w:val="0"/>
              <w:widowControl/>
              <w:spacing w:line="426" w:lineRule="exact" w:before="280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 xml:space="preserve">62 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62</w:t>
            </w:r>
          </w:p>
          <w:p>
            <w:pPr>
              <w:autoSpaceDN w:val="0"/>
              <w:autoSpaceDE w:val="0"/>
              <w:widowControl/>
              <w:spacing w:line="424" w:lineRule="exact" w:before="424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65 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66</w:t>
            </w:r>
          </w:p>
          <w:p>
            <w:pPr>
              <w:autoSpaceDN w:val="0"/>
              <w:autoSpaceDE w:val="0"/>
              <w:widowControl/>
              <w:spacing w:line="286" w:lineRule="exact" w:before="560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67</w:t>
            </w:r>
          </w:p>
          <w:p>
            <w:pPr>
              <w:autoSpaceDN w:val="0"/>
              <w:autoSpaceDE w:val="0"/>
              <w:widowControl/>
              <w:spacing w:line="424" w:lineRule="exact" w:before="422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68 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69</w:t>
            </w:r>
          </w:p>
          <w:p>
            <w:pPr>
              <w:autoSpaceDN w:val="0"/>
              <w:autoSpaceDE w:val="0"/>
              <w:widowControl/>
              <w:spacing w:line="422" w:lineRule="exact" w:before="426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69 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70</w:t>
            </w:r>
          </w:p>
          <w:p>
            <w:pPr>
              <w:autoSpaceDN w:val="0"/>
              <w:autoSpaceDE w:val="0"/>
              <w:widowControl/>
              <w:spacing w:line="424" w:lineRule="exact" w:before="282" w:after="0"/>
              <w:ind w:left="128" w:right="4" w:firstLine="0"/>
              <w:jc w:val="both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 xml:space="preserve">71 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71 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72</w:t>
            </w:r>
          </w:p>
          <w:p>
            <w:pPr>
              <w:autoSpaceDN w:val="0"/>
              <w:autoSpaceDE w:val="0"/>
              <w:widowControl/>
              <w:spacing w:line="288" w:lineRule="exact" w:before="420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74</w:t>
            </w:r>
          </w:p>
        </w:tc>
      </w:tr>
      <w:tr>
        <w:trPr>
          <w:trHeight w:hRule="exact" w:val="560"/>
        </w:trPr>
        <w:tc>
          <w:tcPr>
            <w:tcW w:type="dxa" w:w="2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22" w:after="0"/>
              <w:ind w:left="4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8</w:t>
            </w:r>
          </w:p>
        </w:tc>
        <w:tc>
          <w:tcPr>
            <w:tcW w:type="dxa" w:w="86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22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Structural Constraints on GVC Integration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40"/>
        </w:trPr>
        <w:tc>
          <w:tcPr>
            <w:tcW w:type="dxa" w:w="9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8" w:after="0"/>
              <w:ind w:left="0" w:right="15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8.1</w:t>
            </w:r>
          </w:p>
        </w:tc>
        <w:tc>
          <w:tcPr>
            <w:tcW w:type="dxa" w:w="4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A Framework for Constraint Analysis</w:t>
            </w:r>
          </w:p>
        </w:tc>
        <w:tc>
          <w:tcPr>
            <w:tcW w:type="dxa" w:w="34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9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0" w:right="15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8.2</w:t>
            </w:r>
          </w:p>
        </w:tc>
        <w:tc>
          <w:tcPr>
            <w:tcW w:type="dxa" w:w="800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Constraint 1: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Landlockedness and Transit Costs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9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6" w:after="0"/>
              <w:ind w:left="0" w:right="15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8.3</w:t>
            </w:r>
          </w:p>
        </w:tc>
        <w:tc>
          <w:tcPr>
            <w:tcW w:type="dxa" w:w="800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Constraint 2: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Energy and Utility Infrastructure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9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15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8.4</w:t>
            </w:r>
          </w:p>
        </w:tc>
        <w:tc>
          <w:tcPr>
            <w:tcW w:type="dxa" w:w="800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Constraint 3: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Financial Sector Depth and Trade Finance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9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15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8.5</w:t>
            </w:r>
          </w:p>
        </w:tc>
        <w:tc>
          <w:tcPr>
            <w:tcW w:type="dxa" w:w="654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Constraint 4: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Political Economy of Reform Continuity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40"/>
        </w:trPr>
        <w:tc>
          <w:tcPr>
            <w:tcW w:type="dxa" w:w="9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6" w:after="0"/>
              <w:ind w:left="0" w:right="15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8.6</w:t>
            </w:r>
          </w:p>
        </w:tc>
        <w:tc>
          <w:tcPr>
            <w:tcW w:type="dxa" w:w="5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Constraint Hierarchy and the Binding Constraint</w:t>
            </w:r>
          </w:p>
        </w:tc>
        <w:tc>
          <w:tcPr>
            <w:tcW w:type="dxa" w:w="2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9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15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8.7</w:t>
            </w:r>
          </w:p>
        </w:tc>
        <w:tc>
          <w:tcPr>
            <w:tcW w:type="dxa" w:w="800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Regression Analysis 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9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0" w:right="15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8.8</w:t>
            </w:r>
          </w:p>
        </w:tc>
        <w:tc>
          <w:tcPr>
            <w:tcW w:type="dxa" w:w="800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Scenario Forecasts: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Manufacturing Value Added through 2030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560"/>
        </w:trPr>
        <w:tc>
          <w:tcPr>
            <w:tcW w:type="dxa" w:w="9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15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8.9</w:t>
            </w:r>
          </w:p>
        </w:tc>
        <w:tc>
          <w:tcPr>
            <w:tcW w:type="dxa" w:w="800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Mechanisms: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Trade Openness, ECI, and the Complexity Trajectory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580"/>
        </w:trPr>
        <w:tc>
          <w:tcPr>
            <w:tcW w:type="dxa" w:w="2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24" w:after="0"/>
              <w:ind w:left="4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9</w:t>
            </w:r>
          </w:p>
        </w:tc>
        <w:tc>
          <w:tcPr>
            <w:tcW w:type="dxa" w:w="86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24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Discussion: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Synthesis, Theory Revisited, and the Road Not Taken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9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15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9.1</w:t>
            </w:r>
          </w:p>
        </w:tc>
        <w:tc>
          <w:tcPr>
            <w:tcW w:type="dxa" w:w="50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Revisiting the Central Research Question</w:t>
            </w:r>
          </w:p>
        </w:tc>
        <w:tc>
          <w:tcPr>
            <w:tcW w:type="dxa" w:w="29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9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15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9.2</w:t>
            </w:r>
          </w:p>
        </w:tc>
        <w:tc>
          <w:tcPr>
            <w:tcW w:type="dxa" w:w="800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What the Regression Results Actually Say: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Trend Growth, Not a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8944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109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Single Causal Mechanism 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9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15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9.3</w:t>
            </w:r>
          </w:p>
        </w:tc>
        <w:tc>
          <w:tcPr>
            <w:tcW w:type="dxa" w:w="800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The Flying Geese Mechanism: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Operating But Distorted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9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4" w:after="0"/>
              <w:ind w:left="0" w:right="15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9.4</w:t>
            </w:r>
          </w:p>
        </w:tc>
        <w:tc>
          <w:tcPr>
            <w:tcW w:type="dxa" w:w="800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4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The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Vietnam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Comparison: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What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Uzbekistan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Has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and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Has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Not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40"/>
        </w:trPr>
        <w:tc>
          <w:tcPr>
            <w:tcW w:type="dxa" w:w="8944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8" w:after="0"/>
              <w:ind w:left="109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Replicated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9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0" w:right="15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9.5</w:t>
            </w:r>
          </w:p>
        </w:tc>
        <w:tc>
          <w:tcPr>
            <w:tcW w:type="dxa" w:w="800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The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Thailand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Comparison: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Sectoral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Targeting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over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Spatial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Con-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8944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09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centration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9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8" w:after="0"/>
              <w:ind w:left="0" w:right="15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9.6</w:t>
            </w:r>
          </w:p>
        </w:tc>
        <w:tc>
          <w:tcPr>
            <w:tcW w:type="dxa" w:w="800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WTO Accession as Institutional Lock-In: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The Vietnam Parallel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20"/>
        </w:trPr>
        <w:tc>
          <w:tcPr>
            <w:tcW w:type="dxa" w:w="9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15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9.7</w:t>
            </w:r>
          </w:p>
        </w:tc>
        <w:tc>
          <w:tcPr>
            <w:tcW w:type="dxa" w:w="800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The Premature Deindustrialisation Counter-Thesis and Why It Does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440"/>
        </w:trPr>
        <w:tc>
          <w:tcPr>
            <w:tcW w:type="dxa" w:w="458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4" w:after="0"/>
              <w:ind w:left="109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Not Foreclose the Uzbek Case</w:t>
            </w:r>
          </w:p>
        </w:tc>
        <w:tc>
          <w:tcPr>
            <w:tcW w:type="dxa" w:w="43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560"/>
        </w:trPr>
        <w:tc>
          <w:tcPr>
            <w:tcW w:type="dxa" w:w="9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15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9.8</w:t>
            </w:r>
          </w:p>
        </w:tc>
        <w:tc>
          <w:tcPr>
            <w:tcW w:type="dxa" w:w="3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15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The Limits of This Analysis</w:t>
            </w:r>
          </w:p>
        </w:tc>
        <w:tc>
          <w:tcPr>
            <w:tcW w:type="dxa" w:w="43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1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980"/>
        </w:trPr>
        <w:tc>
          <w:tcPr>
            <w:tcW w:type="dxa" w:w="8944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36" w:val="left"/>
              </w:tabs>
              <w:autoSpaceDE w:val="0"/>
              <w:widowControl/>
              <w:spacing w:line="426" w:lineRule="exact" w:before="76" w:after="0"/>
              <w:ind w:left="4" w:right="144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10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 xml:space="preserve">Conclusion and Policy Implications </w:t>
            </w:r>
            <w:r>
              <w:br/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10.1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Policy Implications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580"/>
        </w:trPr>
        <w:tc>
          <w:tcPr>
            <w:tcW w:type="dxa" w:w="252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4" w:after="0"/>
              <w:ind w:left="43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10.2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Conclusion</w:t>
            </w:r>
          </w:p>
        </w:tc>
        <w:tc>
          <w:tcPr>
            <w:tcW w:type="dxa" w:w="64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  <w:tr>
        <w:trPr>
          <w:trHeight w:hRule="exact" w:val="560"/>
        </w:trPr>
        <w:tc>
          <w:tcPr>
            <w:tcW w:type="dxa" w:w="8944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12" w:after="0"/>
              <w:ind w:left="4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A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Additional Figures</w:t>
            </w:r>
          </w:p>
        </w:tc>
        <w:tc>
          <w:tcPr>
            <w:tcW w:type="dxa" w:w="964"/>
            <w:vMerge/>
            <w:tcBorders>
              <w:top w:sz="3.184000015258789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88" w:lineRule="exact" w:before="1960" w:after="0"/>
        <w:ind w:left="0" w:right="4630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22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919"/>
        <w:gridCol w:w="4919"/>
      </w:tblGrid>
      <w:tr>
        <w:trPr>
          <w:trHeight w:hRule="exact" w:val="1086"/>
        </w:trPr>
        <w:tc>
          <w:tcPr>
            <w:tcW w:type="dxa" w:w="4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608" w:after="0"/>
              <w:ind w:left="4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>1</w:t>
            </w:r>
          </w:p>
        </w:tc>
        <w:tc>
          <w:tcPr>
            <w:tcW w:type="dxa" w:w="89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608" w:after="0"/>
              <w:ind w:left="220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424" w:lineRule="exact" w:before="206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Central Asia’s largest economy by population, Uzbekistan spent much of its post-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Soviet independence era under a model of state-directed, resource-dependent growth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 deliberately limited foreign economic penetration.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death of Islam Kari-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mov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2016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subsequent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accession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President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Shavkat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Mirziyoyev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augurated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rapid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liberalisation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episodes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post-Soviet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world: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currency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convertibility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restored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2017,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foreign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regime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was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overhauled,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tariffs were reduced,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strategic industrial zones were estab-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lished to attract export-oriented manufacturing (World Bank 2024). These reforms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did not occur in a vacuum.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They coincided with — and were partly designed to at-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tract — a wave of Northeast Asian capital and manufacturing relocation driven by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pressures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China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(rising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labour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US-China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tensions),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Japan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(ageing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supply-chain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networks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seeking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diversification),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Korea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(”China+1” strategies by conglomerates including Hyundai, LG, and Samsung).</w:t>
      </w:r>
    </w:p>
    <w:p>
      <w:pPr>
        <w:autoSpaceDN w:val="0"/>
        <w:autoSpaceDE w:val="0"/>
        <w:widowControl/>
        <w:spacing w:line="424" w:lineRule="exact" w:before="0" w:after="0"/>
        <w:ind w:left="260" w:right="222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central question of this paper is whether, and through what mechanisms,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 Northeast Asian economic engagement has driven genuine industrial upgrad-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whether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reinforced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pattern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primary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commodity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shallow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assembly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without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technology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transfer.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question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matters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beyond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landlocked,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resource-endowed,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reform-active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Central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Asian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class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cases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underserved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literature,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which has focused disproportionately on coastal Southeast Asia, East Africa, 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Eastern Europe.</w:t>
      </w:r>
    </w:p>
    <w:p>
      <w:pPr>
        <w:autoSpaceDN w:val="0"/>
        <w:autoSpaceDE w:val="0"/>
        <w:widowControl/>
        <w:spacing w:line="424" w:lineRule="exact" w:before="0" w:after="0"/>
        <w:ind w:left="260" w:right="222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paper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makes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three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contributions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centered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pivotal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finding: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istan has achieved substantial backward GVC integration (absorption of interme-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failed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achieve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commensurate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(manufac-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tured export upgrading).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This asymmetric embedding is the quantitative signature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 captive rather than relational GVC governance.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First, the paper applies formal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break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testing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added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data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confirm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2017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was a turning point,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albeit one yielding captive growth.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Second,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it disaggregates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 Northeast Asian trade relationships, demonstrating that Chinese in-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frastructure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capital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Japanese-Korean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inputs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play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qualitatively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different roles in this asymmetric integration.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Third,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it benchmarks Uzbekistan’s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 trajectory against Vietnam’s post-2000 liberalisation to quantify the struc-</w:t>
      </w:r>
    </w:p>
    <w:p>
      <w:pPr>
        <w:autoSpaceDN w:val="0"/>
        <w:autoSpaceDE w:val="0"/>
        <w:widowControl/>
        <w:spacing w:line="288" w:lineRule="exact" w:before="598" w:after="0"/>
        <w:ind w:left="0" w:right="0" w:firstLine="0"/>
        <w:jc w:val="center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</w:t>
      </w:r>
    </w:p>
    <w:p>
      <w:pPr>
        <w:sectPr>
          <w:pgSz w:w="11906" w:h="16838"/>
          <w:pgMar w:top="184" w:right="628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142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286" w:lineRule="exact" w:before="586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tural gaps limiting relational upgrading.</w:t>
      </w:r>
    </w:p>
    <w:p>
      <w:pPr>
        <w:autoSpaceDN w:val="0"/>
        <w:autoSpaceDE w:val="0"/>
        <w:widowControl/>
        <w:spacing w:line="424" w:lineRule="exact" w:before="0" w:after="0"/>
        <w:ind w:left="260" w:right="142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dissertation proceeds as follows. The Introduction establishes the research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context and structure.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Literature Review covers the theoretical landscape 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FDI-led industrialisation, GVC governance, and the economics of landlocked de-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veloping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countries.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Data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Methodology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chapter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describes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data,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empirical methodology, and the critical realist research design.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Analysis 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Results chapter presents structural break testing, revealed comparative advantage,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network mapping, comparative benchmarking, institutional diagnostics, and panel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regression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results.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Finally,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Conclusion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Implications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chapter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syn-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thesises the findings and derives five actionable policy recommendations.</w:t>
      </w:r>
    </w:p>
    <w:p>
      <w:pPr>
        <w:autoSpaceDN w:val="0"/>
        <w:tabs>
          <w:tab w:pos="880" w:val="left"/>
        </w:tabs>
        <w:autoSpaceDE w:val="0"/>
        <w:widowControl/>
        <w:spacing w:line="414" w:lineRule="exact" w:before="688" w:after="0"/>
        <w:ind w:left="26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41"/>
        </w:rPr>
        <w:t xml:space="preserve">2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41"/>
        </w:rPr>
        <w:t>Literature Review: Re-evaluating GVCs, the State,</w:t>
      </w:r>
    </w:p>
    <w:p>
      <w:pPr>
        <w:autoSpaceDN w:val="0"/>
        <w:autoSpaceDE w:val="0"/>
        <w:widowControl/>
        <w:spacing w:line="412" w:lineRule="exact" w:before="210" w:after="0"/>
        <w:ind w:left="88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41"/>
        </w:rPr>
        <w:t>and Structural Transformation</w:t>
      </w:r>
    </w:p>
    <w:p>
      <w:pPr>
        <w:autoSpaceDN w:val="0"/>
        <w:autoSpaceDE w:val="0"/>
        <w:widowControl/>
        <w:spacing w:line="424" w:lineRule="exact" w:before="270" w:after="0"/>
        <w:ind w:left="260" w:right="142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framework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dissertation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draws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three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interconnected,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often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competing,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streams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literature: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(i)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Global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(GVC)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theory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mechanics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industrial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upgrading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(Gereffi et al. 2005, Milberg &amp; Winkler 2013, Humphrey &amp; Schmitz 2002, Stur-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geon et al. 2008); (ii) developmental state theory, the East Asian industrialisation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experience, and the rebirth of industrial policy (Amsden 1989, Wade 1990, Evans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1995,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2002);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(iii)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constraints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facing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landlocked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countries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(LLDCs)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context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Eurasian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Belt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Road Initiative (BRI) (Lim˜ao &amp; Venables 2001, Arvis et al. 2016, Carr`ere &amp;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Schiff 2004).</w:t>
      </w:r>
    </w:p>
    <w:p>
      <w:pPr>
        <w:autoSpaceDN w:val="0"/>
        <w:autoSpaceDE w:val="0"/>
        <w:widowControl/>
        <w:spacing w:line="424" w:lineRule="exact" w:before="0" w:after="0"/>
        <w:ind w:left="260" w:right="142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 synthesising these theoretical domains, this chapter establishes the concep-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foundation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evaluating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whether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post-2017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liberalisation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jectory represents a genuine structural transformation or merely a reconfiguration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 its historical commodity dependence.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It critically examines the contradictions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inherent in pursuing state-led development within deeply integrated, transnational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production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regimes,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engages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directly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contemporary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challenges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feasibility of the manufacturing-led convergence path.</w:t>
      </w:r>
    </w:p>
    <w:p>
      <w:pPr>
        <w:autoSpaceDN w:val="0"/>
        <w:autoSpaceDE w:val="0"/>
        <w:widowControl/>
        <w:spacing w:line="288" w:lineRule="exact" w:before="1598" w:after="0"/>
        <w:ind w:left="0" w:right="474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6</w:t>
      </w:r>
    </w:p>
    <w:p>
      <w:pPr>
        <w:sectPr>
          <w:pgSz w:w="11906" w:h="16838"/>
          <w:pgMar w:top="184" w:right="708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018"/>
        </w:trPr>
        <w:tc>
          <w:tcPr>
            <w:tcW w:type="dxa" w:w="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4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2.1</w:t>
            </w:r>
          </w:p>
        </w:tc>
        <w:tc>
          <w:tcPr>
            <w:tcW w:type="dxa" w:w="87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176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Global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Value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Chains: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Governance,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Upgrading,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and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Con-</w:t>
            </w:r>
          </w:p>
        </w:tc>
      </w:tr>
    </w:tbl>
    <w:p>
      <w:pPr>
        <w:autoSpaceDN w:val="0"/>
        <w:autoSpaceDE w:val="0"/>
        <w:widowControl/>
        <w:spacing w:line="344" w:lineRule="exact" w:before="140" w:after="0"/>
        <w:ind w:left="1036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temporary Reconfigurations</w:t>
      </w:r>
    </w:p>
    <w:p>
      <w:pPr>
        <w:autoSpaceDN w:val="0"/>
        <w:autoSpaceDE w:val="0"/>
        <w:widowControl/>
        <w:spacing w:line="424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globalisation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production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networks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over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four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decades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funda-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mentally altered the paradigm of industrial development (Gereffi 1994, Sturgeon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2008).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building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entire,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vertically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domestic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supply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chains,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pursue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industrialisation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inserting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them-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selves into specific nodes of global and regional production networks (Gereffi et al.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2005, Milberg &amp; Winkler 2013).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critical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contribution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theory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concept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“governance”—the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power dynamics dictating how financial, material, and human resources are allo-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chain.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Gereffi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(2005)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distinguish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between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governance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structures: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market, modular, relational, captive, and hierarchy.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upgrading tra-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jectory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country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depends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critically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governance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enters. Humphrey &amp; Schmitz (2002) demonstrate that captive governance—where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powerful lead firms strictly control specifications and limit technology diffusion—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often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facilitates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rapid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product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process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upgrading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actively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hinders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func-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tional upgrading (moving into design, marketing, or independent branding).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versely, relational governance fosters deeper knowledge exchange and longer-term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capability accumulation.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“smile curve” phenomenon (Baldwin 2016) further complicates GVC in-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sertion.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Value capture has increasingly concentrated at the pre-production (R&amp;D,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design) and post-production (marketing, retail) ends of the curve, while the middle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stages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assembly)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heavily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commoditised.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structural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shift has direct implications for the payoffs available to countries like Uzbekistan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 are seeking entry at the assembly tier.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Recent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scholarship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increasingly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focused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vulnerability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recon-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chains.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Rakhmatullayev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(2023)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document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global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shocks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COVID-19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pandemic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exposed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fragility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hyper-optimised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GVCs, prompting lead firms to prioritise resilience over cost-efficiency.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This has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accelerated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“China+1”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strategies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regionalisation.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imperative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leverage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regionalisation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facilitates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progression from captive assembly to relational upgrading, particularly by embed-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ding itself into the shifting Northeast Asian production networks. Usmanov (2024)</w:t>
      </w:r>
    </w:p>
    <w:p>
      <w:pPr>
        <w:autoSpaceDN w:val="0"/>
        <w:autoSpaceDE w:val="0"/>
        <w:widowControl/>
        <w:spacing w:line="288" w:lineRule="exact" w:before="630" w:after="0"/>
        <w:ind w:left="0" w:right="4630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7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6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246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demonstrates that Central Asian economies that actively used industrial policy to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attract export-platform FDI during GVC restructuring achieved significantly better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upgrading outcomes than those that relied on passive openness.</w:t>
      </w:r>
    </w:p>
    <w:p>
      <w:pPr>
        <w:autoSpaceDN w:val="0"/>
        <w:tabs>
          <w:tab w:pos="1036" w:val="left"/>
        </w:tabs>
        <w:autoSpaceDE w:val="0"/>
        <w:widowControl/>
        <w:spacing w:line="346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2.2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The Premature Deindustrialisation Counter-Thesis</w:t>
      </w:r>
    </w:p>
    <w:p>
      <w:pPr>
        <w:autoSpaceDN w:val="0"/>
        <w:autoSpaceDE w:val="0"/>
        <w:widowControl/>
        <w:spacing w:line="424" w:lineRule="exact" w:before="182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 fundamental challenge to the dissertation’s central premise must be engaged di-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rectly: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Rodrik (2016) argues that the manufacturing-led convergence path that un-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derpinned the East Asian miracle is now structurally narrowing for late-developing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countries.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“premature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deindustrialisation”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identifies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two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reinforcing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mechanisms.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First,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labour-saving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automation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reducing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labour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of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 tasks globally, compressing the employment payoff that made labour-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abundant developing countries attractive as manufacturing platforms.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Second, 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shift of GVC value capture toward pre- and post-production segments means that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countries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entering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assembly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domestic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added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than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their predecessors did at equivalent reform stages.</w:t>
      </w:r>
    </w:p>
    <w:p>
      <w:pPr>
        <w:autoSpaceDN w:val="0"/>
        <w:autoSpaceDE w:val="0"/>
        <w:widowControl/>
        <w:spacing w:line="424" w:lineRule="exact" w:before="0" w:after="0"/>
        <w:ind w:left="260" w:right="246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Diao et al. (2019) and McMillan et al. (2017) extend this critique empirically,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demonstrating that structural change in sub-Saharan Africa and parts of South Asia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moved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labour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agriculture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services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that this “wrong” structural change has not generated the productivity convergence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 manufacturing-led transitions produced in East Asia.</w:t>
      </w:r>
    </w:p>
    <w:p>
      <w:pPr>
        <w:autoSpaceDN w:val="0"/>
        <w:autoSpaceDE w:val="0"/>
        <w:widowControl/>
        <w:spacing w:line="424" w:lineRule="exact" w:before="0" w:after="0"/>
        <w:ind w:left="260" w:right="246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However,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critique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invalidate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same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terms.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primarily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competing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automatable,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low-skill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sembly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tasks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premature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deindustrialisation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identifies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vul-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nerable.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Its strategic positioning targets medium-skill, relationship-intensive man-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ufacturing (automotive components, pharmaceuticals, precision instruments) in 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regional market where EAEU trade preferences and geographic proximity to Rus-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sia and Central Asian consumers provide a competitive basis that pure labour-cost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competition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cannot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replicate.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premature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deindustrialisation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critique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most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acute for large-population, low-income economies seeking mass employment ab-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sorption;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middle-income,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STEM-capable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profile,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constraint is governance and logistics quality rather than the structural foreclo-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sure of the manufacturing path.</w:t>
      </w:r>
    </w:p>
    <w:p>
      <w:pPr>
        <w:autoSpaceDN w:val="0"/>
        <w:autoSpaceDE w:val="0"/>
        <w:widowControl/>
        <w:spacing w:line="288" w:lineRule="exact" w:before="1162" w:after="0"/>
        <w:ind w:left="0" w:right="0" w:firstLine="0"/>
        <w:jc w:val="center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8</w:t>
      </w:r>
    </w:p>
    <w:p>
      <w:pPr>
        <w:sectPr>
          <w:pgSz w:w="11906" w:h="16838"/>
          <w:pgMar w:top="184" w:right="604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018"/>
        </w:trPr>
        <w:tc>
          <w:tcPr>
            <w:tcW w:type="dxa" w:w="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4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2.3</w:t>
            </w:r>
          </w:p>
        </w:tc>
        <w:tc>
          <w:tcPr>
            <w:tcW w:type="dxa" w:w="87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176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The Developmental State and the Rebirth of Industrial Pol-</w:t>
            </w:r>
          </w:p>
        </w:tc>
      </w:tr>
    </w:tbl>
    <w:p>
      <w:pPr>
        <w:autoSpaceDN w:val="0"/>
        <w:autoSpaceDE w:val="0"/>
        <w:widowControl/>
        <w:spacing w:line="344" w:lineRule="exact" w:before="140" w:after="0"/>
        <w:ind w:left="1036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icy</w:t>
      </w:r>
    </w:p>
    <w:p>
      <w:pPr>
        <w:autoSpaceDN w:val="0"/>
        <w:autoSpaceDE w:val="0"/>
        <w:widowControl/>
        <w:spacing w:line="424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Northeast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networks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must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analysed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 the theoretical lens of East Asian industrialisation.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classical interpre-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tation of the East Asian “miracle” rests on the concept of the developmental state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(Amsden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1989,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1990,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Evans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1995),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challenges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neoclassical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thodoxy that East Asian growth resulted primarily from free markets and minimal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state intervention.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Amsden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(1989)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demonstrated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Korea’s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industrialisation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relied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“getting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prices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wrong”—using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targeted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subsidies,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directed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credit,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strategic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protectionism to incubate domestic champions.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Wade (1990) advanced the “gov-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erned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market”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theory,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illustrating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Taiwan’s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apparatus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actively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steered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 into strategic sectors.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Evans (1995) introduced the concept of “embed-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ded autonomy,” arguing that successful developmental states require bureaucracies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that are sufficiently insulated from rent-seeking pressures (autonomy) yet deeply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connected to the industrial capitalist class to facilitate policy implementation (em-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beddedness).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Andreoni &amp; Chang (2023) document a “rebirth” of industrial policy globally,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arguing that the theoretical case for market-led development has been substantially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undermined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GFC,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COVID-19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pandemic,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reshoring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pressures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generated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US-China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technology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competition.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challenge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constructing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institutional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apparatus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exercising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embedded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auton-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omy within the constraints of modern trade rules, navigating the tension between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required liberalisation and the necessary state intervention to foster domestic ca-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pabilities.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Rakhmatullayev et al. (2023) identify specific institutional bottlenecks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 judicial independence, contract enforcement, bureaucratic discretion in invest-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ment approvals — that remain unresolved and which actively limit the transition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 passive openness to developmental transformation.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2.4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The Flying Geese Paradigm and South-South Cooperation</w:t>
      </w:r>
    </w:p>
    <w:p>
      <w:pPr>
        <w:autoSpaceDN w:val="0"/>
        <w:autoSpaceDE w:val="0"/>
        <w:widowControl/>
        <w:spacing w:line="422" w:lineRule="exact" w:before="184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spatial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dynamics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elegantly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captured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“flying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geese” model (Akamatsu 1962).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model describes a tiered hierarchy in which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 lead economy transfers sunset, labour-intensive industries to follower economies</w:t>
      </w:r>
    </w:p>
    <w:p>
      <w:pPr>
        <w:autoSpaceDN w:val="0"/>
        <w:autoSpaceDE w:val="0"/>
        <w:widowControl/>
        <w:spacing w:line="288" w:lineRule="exact" w:before="316" w:after="0"/>
        <w:ind w:left="0" w:right="4630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9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144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as its own comparative advantage shifts toward capital- and knowledge-intensive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production (Dunning 1981).</w:t>
      </w:r>
    </w:p>
    <w:p>
      <w:pPr>
        <w:autoSpaceDN w:val="0"/>
        <w:autoSpaceDE w:val="0"/>
        <w:widowControl/>
        <w:spacing w:line="424" w:lineRule="exact" w:before="0" w:after="0"/>
        <w:ind w:left="260" w:right="2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Applying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flying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contemporary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Central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requires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sig-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nificant modification.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While China is graduating from labour-intensive manufac-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turing,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creating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theoretical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opportunity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Chinese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outward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FDI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often diverges from the classical model.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 Pomfret (2019) notes regarding Cen-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tral Asia, Chinese South-South cooperation often prioritises infrastructure and re-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extraction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over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export-platform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traditional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flying geese cascade.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Belt and Road Initiative, while providing critical infras-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tructure,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deepen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primary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commodity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dependence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paired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robust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domestic industrial policies.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2.5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Comparative Development Benchmarks: Vietnam and Thai-</w:t>
      </w:r>
    </w:p>
    <w:p>
      <w:pPr>
        <w:autoSpaceDN w:val="0"/>
        <w:autoSpaceDE w:val="0"/>
        <w:widowControl/>
        <w:spacing w:line="344" w:lineRule="exact" w:before="204" w:after="0"/>
        <w:ind w:left="1036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land</w:t>
      </w:r>
    </w:p>
    <w:p>
      <w:pPr>
        <w:autoSpaceDN w:val="0"/>
        <w:autoSpaceDE w:val="0"/>
        <w:widowControl/>
        <w:spacing w:line="424" w:lineRule="exact" w:before="182" w:after="0"/>
        <w:ind w:left="260" w:right="2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aspirations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benchmarked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against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two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successful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of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insertion: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Eastern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Seaboard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ment Programme leveraged Japanese FDI following the 1985 Plaza Accord.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state successfully utilised local content requirements to force technology transfer,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establishing Thailand as a regional automotive hub.</w:t>
      </w:r>
    </w:p>
    <w:p>
      <w:pPr>
        <w:autoSpaceDN w:val="0"/>
        <w:autoSpaceDE w:val="0"/>
        <w:widowControl/>
        <w:spacing w:line="424" w:lineRule="exact" w:before="0" w:after="0"/>
        <w:ind w:left="260" w:right="2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represents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contemporary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rapid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embedding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follow-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ing the Doi Moi reforms and its 2007 WTO accession.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 successfully po-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sitioned itself as a “China+1” destination, attracting massive electronics assembly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combination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institutional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credibility,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anchor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targeting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(Samsung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Nguyen),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calibrated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SEZ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infrastructure.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trajec-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underscores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liberalisation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alone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insufficient;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sequencing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of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anchor investor attraction, domestic supplier development, and human capital cal-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ibration is what converted policy openness into productive GVC embedding.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2.6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Central Asian Structural Constraints and Landlocked The-</w:t>
      </w:r>
    </w:p>
    <w:p>
      <w:pPr>
        <w:autoSpaceDN w:val="0"/>
        <w:autoSpaceDE w:val="0"/>
        <w:widowControl/>
        <w:spacing w:line="344" w:lineRule="exact" w:before="204" w:after="0"/>
        <w:ind w:left="1036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ory</w:t>
      </w:r>
    </w:p>
    <w:p>
      <w:pPr>
        <w:autoSpaceDN w:val="0"/>
        <w:autoSpaceDE w:val="0"/>
        <w:widowControl/>
        <w:spacing w:line="424" w:lineRule="exact" w:before="182" w:after="0"/>
        <w:ind w:left="144" w:right="144" w:firstLine="0"/>
        <w:jc w:val="center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prospects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uniquely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bounded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physical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geogra-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phy.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Lim˜ao &amp; Venables (2001) demonstrate that landlocked countries face a sig-</w:t>
      </w:r>
    </w:p>
    <w:p>
      <w:pPr>
        <w:autoSpaceDN w:val="0"/>
        <w:autoSpaceDE w:val="0"/>
        <w:widowControl/>
        <w:spacing w:line="288" w:lineRule="exact" w:before="598" w:after="0"/>
        <w:ind w:left="0" w:right="0" w:firstLine="0"/>
        <w:jc w:val="center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10</w:t>
      </w:r>
    </w:p>
    <w:p>
      <w:pPr>
        <w:sectPr>
          <w:pgSz w:w="11906" w:h="16838"/>
          <w:pgMar w:top="184" w:right="6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nificant structural penalty, with transport costs averaging 50% higher than coastal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doubly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landlocked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nation,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geographical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penalty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precludes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 into time-sensitive, low-margin GVCs.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These structural constraints dictate a specific industrialisation pathway.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High-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volume,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low-value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assembly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economically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unviable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prohibitive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transit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Industrial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upgrading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must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target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value-to-weight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ratios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or leverage regional markets where transit penalties are minimised.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political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Middle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Corridor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China-Kyrgyzstan-Uzbekistan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railway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therefore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existential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prerequisites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embedding.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World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Bank (2025) emphasises that multimodal transport efficiency and corridor gover-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nance remain the binding constraint on export competitiveness for Central Asian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economies,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Logistics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Performance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Index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2.6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places it 14% below the lower-middle-income country average,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with transit-time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unpredictability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identified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primary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deterrent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surveyed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turers.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2.7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Technology Transfer and FDI Spillovers</w:t>
      </w:r>
    </w:p>
    <w:p>
      <w:pPr>
        <w:autoSpaceDN w:val="0"/>
        <w:autoSpaceDE w:val="0"/>
        <w:widowControl/>
        <w:spacing w:line="424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theoretical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piece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concerns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translates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domestic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capability.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Theoretical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spillovers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suggest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foreign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presence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increase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domestic productivity through demonstration effects, labour mobility, and vertical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linkages (Dunning 1981).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However,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empirical evidence is mixed.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Without suffi-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cient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“absorptive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capacity”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(human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capital,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R&amp;D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domestic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firms,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foreign presence can crowd out local enterprises rather than upgrading them. Thus,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SEZ policies in Uzbekistan must be explicitly tied to domestic supply-chain inte-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gration rather than operating as isolated enclaves.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critical policy implication emerging from this literature is one that directly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informs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empirical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analysis: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mechanism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external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engage-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produces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upgrading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volume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diate goods trade deepening.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Countries that develop dense backward linkages 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sourcing intermediate inputs domestically rather than importing them — generate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technology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transfer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productivity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spillovers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aggregate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statistics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cannot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capture.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distinction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between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quantity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quality,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tween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attraction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production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network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embedding,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frames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pirical investigation.</w:t>
      </w:r>
    </w:p>
    <w:p>
      <w:pPr>
        <w:autoSpaceDN w:val="0"/>
        <w:autoSpaceDE w:val="0"/>
        <w:widowControl/>
        <w:spacing w:line="288" w:lineRule="exact" w:before="314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11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018"/>
        </w:trPr>
        <w:tc>
          <w:tcPr>
            <w:tcW w:type="dxa" w:w="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4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2.8</w:t>
            </w:r>
          </w:p>
        </w:tc>
        <w:tc>
          <w:tcPr>
            <w:tcW w:type="dxa" w:w="87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176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Synthesis: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Economic Complexity and Upgrading</w:t>
            </w:r>
          </w:p>
        </w:tc>
      </w:tr>
    </w:tbl>
    <w:p>
      <w:pPr>
        <w:autoSpaceDN w:val="0"/>
        <w:autoSpaceDE w:val="0"/>
        <w:widowControl/>
        <w:spacing w:line="424" w:lineRule="exact" w:before="11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 measure whether these varied policy efforts are translating into genuine struc-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transformation,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study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Complexity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Index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(ECI)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(Hidalgo &amp; Hausmann 2009).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ECI posits that development is fundamentally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 process of accumulating productive knowledge.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Andreoni &amp; Chang (2023) fur-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ther elaborate on the policy implications of economic complexity, arguing that in-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dustrial policy must be directed toward building capabilities in strategically prox-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imate, more complex industries to avoid the “complexity trap” of commodity de-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pendence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current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gold-and-cotton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profile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rectly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exemplifies.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Akramov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&amp;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Tilekeyev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(2024)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extend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argument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agricultural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context,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finding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Central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cessfully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diversified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agro-processing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demonstrated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measurably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higher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ECI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trajectories than those that remained commodity-dependent, a finding with direct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implications for Uzbekistan’s nascent horticulture processing sector.</w:t>
      </w:r>
    </w:p>
    <w:p>
      <w:pPr>
        <w:autoSpaceDN w:val="0"/>
        <w:tabs>
          <w:tab w:pos="1036" w:val="left"/>
        </w:tabs>
        <w:autoSpaceDE w:val="0"/>
        <w:widowControl/>
        <w:spacing w:line="346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2.9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Research Gap</w:t>
      </w:r>
    </w:p>
    <w:p>
      <w:pPr>
        <w:autoSpaceDN w:val="0"/>
        <w:autoSpaceDE w:val="0"/>
        <w:widowControl/>
        <w:spacing w:line="424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existing literature exhibits three critical gaps.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First,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while extensive scholar-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ship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Southeast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mechanisms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LLDC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gration into Northeast Asian networks from a double-landlocked position remain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under-theorised.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Second,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empirical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studies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overwhelmingly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cus on macroeconomic liberalisation rather than disaggregated GVC governance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Third, comparative benchmarking between Central Asian and ASEAN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industrial models that accounts for the double-landlocked geography is largely ab-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sent.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 dissertation addresses these gaps by quantifying the structural asymme-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trilateral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engagement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positioning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captive/relational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governance distinction as the analytical lens for policy evaluation.</w:t>
      </w:r>
    </w:p>
    <w:p>
      <w:pPr>
        <w:autoSpaceDN w:val="0"/>
        <w:tabs>
          <w:tab w:pos="880" w:val="left"/>
        </w:tabs>
        <w:autoSpaceDE w:val="0"/>
        <w:widowControl/>
        <w:spacing w:line="414" w:lineRule="exact" w:before="688" w:after="0"/>
        <w:ind w:left="26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41"/>
        </w:rPr>
        <w:t xml:space="preserve">3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41"/>
        </w:rPr>
        <w:t>Data, Research Design, and Methodology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526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3.1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Research Philosophy and Ontological Position</w:t>
      </w:r>
    </w:p>
    <w:p>
      <w:pPr>
        <w:autoSpaceDN w:val="0"/>
        <w:autoSpaceDE w:val="0"/>
        <w:widowControl/>
        <w:spacing w:line="422" w:lineRule="exact" w:before="186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dissertation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adopts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critical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realist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ontological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position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(Bhaskar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1975).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Critical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realism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holds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social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phenomena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produced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underlying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causal</w:t>
      </w:r>
    </w:p>
    <w:p>
      <w:pPr>
        <w:autoSpaceDN w:val="0"/>
        <w:autoSpaceDE w:val="0"/>
        <w:widowControl/>
        <w:spacing w:line="288" w:lineRule="exact" w:before="402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12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76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76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mechanisms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operating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stratified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structures,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observed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empirical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regularities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surface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manifestations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deeper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generative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processes.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For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purposes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study,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mechanisms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interest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(i)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global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governance,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allocates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productive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tasks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across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national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bound-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firm-level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coordination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decisions;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(ii)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velopmental states, which shapes domestic institutional configurations that make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countries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receptive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embedding;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(iii)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geography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of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landlocked developing countries, which imposes structural trade cost penalties that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condition the ceiling on achievable integration.</w:t>
      </w:r>
    </w:p>
    <w:p>
      <w:pPr>
        <w:autoSpaceDN w:val="0"/>
        <w:autoSpaceDE w:val="0"/>
        <w:widowControl/>
        <w:spacing w:line="424" w:lineRule="exact" w:before="0" w:after="0"/>
        <w:ind w:left="260" w:right="76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ontological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position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methodological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consequences.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motivates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mixed-method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research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design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combines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quantitative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empirical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detect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regularities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hypotheses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qualitative-comparative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mechanisms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interpret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regularities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their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context.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 purely econometric approach would identify correlations but could not answer 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why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Uzbekistan’s reform trajectory has diverged from Vietnam’s, or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through which 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mechanisms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Northeast Asian FDI translates (or fails to translate) into domestic ca-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pability accumulation.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 purely case-study approach would identify mechanisms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 could not assess their magnitude or generalisability.</w:t>
      </w:r>
    </w:p>
    <w:p>
      <w:pPr>
        <w:autoSpaceDN w:val="0"/>
        <w:autoSpaceDE w:val="0"/>
        <w:widowControl/>
        <w:spacing w:line="424" w:lineRule="exact" w:before="0" w:after="0"/>
        <w:ind w:left="260" w:right="76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Epistemologically,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dissertation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follows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retroductive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inference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strategy: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begins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observed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empirical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anomalies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(e.g.,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gap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between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Uzbekistan’s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rapidly rising intermediate goods import share and its stagnant export sophistica-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tion), identifies candidate causal mechanisms (captive GVC governance, logistics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constraints, FDI quality gaps), and evaluates the plausibility of those mechanisms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against systematic empirical evidence (Danermark et al. 2019).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This approach is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well-suited to development economics research where controlled experimentation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 impossible and causal identification is inherently partial.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3.2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Research Design: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Sequential Explanatory Mixed-Methods</w:t>
      </w:r>
    </w:p>
    <w:p>
      <w:pPr>
        <w:autoSpaceDN w:val="0"/>
        <w:autoSpaceDE w:val="0"/>
        <w:widowControl/>
        <w:spacing w:line="424" w:lineRule="exact" w:before="182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empirical strategy follows a sequential explanatory design, proceeding through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four stages:</w:t>
      </w:r>
    </w:p>
    <w:p>
      <w:pPr>
        <w:autoSpaceDN w:val="0"/>
        <w:autoSpaceDE w:val="0"/>
        <w:widowControl/>
        <w:spacing w:line="424" w:lineRule="exact" w:before="318" w:after="0"/>
        <w:ind w:left="964" w:right="76" w:hanging="356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1.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Trend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Identification: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Descriptive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time-series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manufacturing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added,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inflows,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openness,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complexity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for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 and comparator countries, 2000–2023.</w:t>
      </w:r>
    </w:p>
    <w:p>
      <w:pPr>
        <w:autoSpaceDN w:val="0"/>
        <w:autoSpaceDE w:val="0"/>
        <w:widowControl/>
        <w:spacing w:line="288" w:lineRule="exact" w:before="420" w:after="0"/>
        <w:ind w:left="0" w:right="4610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13</w:t>
      </w:r>
    </w:p>
    <w:p>
      <w:pPr>
        <w:sectPr>
          <w:pgSz w:w="11906" w:h="16838"/>
          <w:pgMar w:top="184" w:right="774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964" w:right="24" w:hanging="356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2.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Structural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Break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Detection: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applied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VA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series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formally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identify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2017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statistical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turning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point,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converting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qualitative reform claim into a quantitatively testable hypothesis.</w:t>
      </w:r>
    </w:p>
    <w:p>
      <w:pPr>
        <w:autoSpaceDN w:val="0"/>
        <w:autoSpaceDE w:val="0"/>
        <w:widowControl/>
        <w:spacing w:line="424" w:lineRule="exact" w:before="240" w:after="0"/>
        <w:ind w:left="964" w:right="24" w:hanging="356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3.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Association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Analysis: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regressions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relating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inflows,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ness,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reform-period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dummies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upgrading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indicators,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 HC3-robust standard errors.</w:t>
      </w:r>
    </w:p>
    <w:p>
      <w:pPr>
        <w:autoSpaceDN w:val="0"/>
        <w:autoSpaceDE w:val="0"/>
        <w:widowControl/>
        <w:spacing w:line="424" w:lineRule="exact" w:before="238" w:after="0"/>
        <w:ind w:left="964" w:right="24" w:hanging="356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4.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Comparative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Benchmarking: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Alignment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trajec-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tory against Vietnam (post-2001) and Thailand (post-Eastern Seaboard Pro-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gramme, 1981) using reform-year normalisation to control for initial condi-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tions.</w:t>
      </w:r>
    </w:p>
    <w:p>
      <w:pPr>
        <w:autoSpaceDN w:val="0"/>
        <w:autoSpaceDE w:val="0"/>
        <w:widowControl/>
        <w:spacing w:line="424" w:lineRule="exact" w:before="318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Alongside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quantitative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sequence,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qualitative-comparative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stitutional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conditions,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SEZ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design,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constraints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provides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mechanistic layer that the regressions cannot supply.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3.3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Variable Operationalisation</w:t>
      </w:r>
    </w:p>
    <w:p>
      <w:pPr>
        <w:autoSpaceDN w:val="0"/>
        <w:autoSpaceDE w:val="0"/>
        <w:widowControl/>
        <w:spacing w:line="424" w:lineRule="exact" w:before="182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 1 presents the full set of indicators used in this dissertation, their operational-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isation, sources, and expected directional relationships with the outcome variables.</w:t>
      </w:r>
    </w:p>
    <w:p>
      <w:pPr>
        <w:autoSpaceDN w:val="0"/>
        <w:autoSpaceDE w:val="0"/>
        <w:widowControl/>
        <w:spacing w:line="288" w:lineRule="exact" w:before="310" w:after="230"/>
        <w:ind w:left="1092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 1: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Variable Operationalisation, Sources, and Expected Signs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6.0" w:type="dxa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rHeight w:hRule="exact" w:val="580"/>
        </w:trPr>
        <w:tc>
          <w:tcPr>
            <w:tcW w:type="dxa" w:w="1224"/>
            <w:gridSpan w:val="2"/>
            <w:tcBorders>
              <w:top w:sz="8.80000000000018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4" w:after="0"/>
              <w:ind w:left="0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Variable</w:t>
            </w:r>
          </w:p>
        </w:tc>
        <w:tc>
          <w:tcPr>
            <w:tcW w:type="dxa" w:w="580"/>
            <w:tcBorders>
              <w:top w:sz="8.80000000000018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00"/>
            <w:gridSpan w:val="5"/>
            <w:tcBorders>
              <w:top w:sz="8.80000000000018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4" w:after="0"/>
              <w:ind w:left="13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Operationalisation</w:t>
            </w:r>
          </w:p>
        </w:tc>
        <w:tc>
          <w:tcPr>
            <w:tcW w:type="dxa" w:w="1060"/>
            <w:tcBorders>
              <w:top w:sz="8.80000000000018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Source</w:t>
            </w:r>
          </w:p>
        </w:tc>
        <w:tc>
          <w:tcPr>
            <w:tcW w:type="dxa" w:w="880"/>
            <w:tcBorders>
              <w:top w:sz="8.80000000000018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top w:sz="8.80000000000018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4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Sign</w:t>
            </w:r>
          </w:p>
        </w:tc>
      </w:tr>
      <w:tr>
        <w:trPr>
          <w:trHeight w:hRule="exact" w:val="512"/>
        </w:trPr>
        <w:tc>
          <w:tcPr>
            <w:tcW w:type="dxa" w:w="604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0" w:after="0"/>
              <w:ind w:left="0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Mfg</w:t>
            </w:r>
          </w:p>
        </w:tc>
        <w:tc>
          <w:tcPr>
            <w:tcW w:type="dxa" w:w="62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VA</w:t>
            </w:r>
          </w:p>
        </w:tc>
        <w:tc>
          <w:tcPr>
            <w:tcW w:type="dxa" w:w="580"/>
            <w:vMerge w:val="restart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(%</w:t>
            </w:r>
          </w:p>
        </w:tc>
        <w:tc>
          <w:tcPr>
            <w:tcW w:type="dxa" w:w="2800"/>
            <w:gridSpan w:val="5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0" w:after="0"/>
              <w:ind w:left="13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NV.IND.MANF.ZS:</w:t>
            </w:r>
          </w:p>
        </w:tc>
        <w:tc>
          <w:tcPr>
            <w:tcW w:type="dxa" w:w="106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0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World</w:t>
            </w:r>
          </w:p>
        </w:tc>
        <w:tc>
          <w:tcPr>
            <w:tcW w:type="dxa" w:w="880"/>
            <w:vMerge w:val="restart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Bank</w:t>
            </w:r>
          </w:p>
        </w:tc>
        <w:tc>
          <w:tcPr>
            <w:tcW w:type="dxa" w:w="1260"/>
            <w:vMerge w:val="restart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Outcome</w:t>
            </w:r>
          </w:p>
        </w:tc>
      </w:tr>
      <w:tr>
        <w:trPr>
          <w:trHeight w:hRule="exact" w:val="420"/>
        </w:trPr>
        <w:tc>
          <w:tcPr>
            <w:tcW w:type="dxa" w:w="122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GDP)</w:t>
            </w:r>
          </w:p>
        </w:tc>
        <w:tc>
          <w:tcPr>
            <w:tcW w:type="dxa" w:w="876"/>
            <w:vMerge/>
            <w:tcBorders>
              <w:top w:sz="5.736000061035156" w:val="single" w:color="#000000"/>
            </w:tcBorders>
          </w:tcPr>
          <w:p/>
        </w:tc>
        <w:tc>
          <w:tcPr>
            <w:tcW w:type="dxa" w:w="19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manufacturing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value</w:t>
            </w:r>
          </w:p>
        </w:tc>
        <w:tc>
          <w:tcPr>
            <w:tcW w:type="dxa" w:w="1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WDI</w:t>
            </w:r>
          </w:p>
        </w:tc>
        <w:tc>
          <w:tcPr>
            <w:tcW w:type="dxa" w:w="876"/>
            <w:vMerge/>
            <w:tcBorders>
              <w:top w:sz="5.736000061035156" w:val="single" w:color="#000000"/>
            </w:tcBorders>
          </w:tcPr>
          <w:p/>
        </w:tc>
        <w:tc>
          <w:tcPr>
            <w:tcW w:type="dxa" w:w="876"/>
            <w:vMerge/>
            <w:tcBorders>
              <w:top w:sz="5.736000061035156" w:val="single" w:color="#000000"/>
            </w:tcBorders>
          </w:tcPr>
          <w:p/>
        </w:tc>
      </w:tr>
      <w:tr>
        <w:trPr>
          <w:trHeight w:hRule="exact" w:val="430"/>
        </w:trPr>
        <w:tc>
          <w:tcPr>
            <w:tcW w:type="dxa" w:w="1752"/>
            <w:gridSpan w:val="2"/>
            <w:vMerge/>
            <w:tcBorders/>
          </w:tcPr>
          <w:p/>
        </w:tc>
        <w:tc>
          <w:tcPr>
            <w:tcW w:type="dxa" w:w="876"/>
            <w:vMerge/>
            <w:tcBorders>
              <w:top w:sz="5.736000061035156" w:val="single" w:color="#000000"/>
            </w:tcBorders>
          </w:tcPr>
          <w:p/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added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as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share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of</w:t>
            </w:r>
          </w:p>
        </w:tc>
        <w:tc>
          <w:tcPr>
            <w:tcW w:type="dxa" w:w="876"/>
            <w:vMerge/>
            <w:tcBorders/>
          </w:tcPr>
          <w:p/>
        </w:tc>
        <w:tc>
          <w:tcPr>
            <w:tcW w:type="dxa" w:w="876"/>
            <w:vMerge/>
            <w:tcBorders>
              <w:top w:sz="5.736000061035156" w:val="single" w:color="#000000"/>
            </w:tcBorders>
          </w:tcPr>
          <w:p/>
        </w:tc>
        <w:tc>
          <w:tcPr>
            <w:tcW w:type="dxa" w:w="876"/>
            <w:vMerge/>
            <w:tcBorders>
              <w:top w:sz="5.736000061035156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88" w:lineRule="exact" w:before="64" w:after="76"/>
        <w:ind w:left="0" w:right="5214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GDP, annual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1928"/>
        <w:gridCol w:w="1928"/>
        <w:gridCol w:w="1928"/>
        <w:gridCol w:w="1928"/>
        <w:gridCol w:w="1928"/>
      </w:tblGrid>
      <w:tr>
        <w:trPr>
          <w:trHeight w:hRule="exact" w:val="406"/>
        </w:trPr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722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ECI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12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Economic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Complex-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OEC</w:t>
            </w:r>
          </w:p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422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Outcome</w:t>
            </w:r>
          </w:p>
        </w:tc>
      </w:tr>
    </w:tbl>
    <w:p>
      <w:pPr>
        <w:autoSpaceDN w:val="0"/>
        <w:autoSpaceDE w:val="0"/>
        <w:widowControl/>
        <w:spacing w:line="412" w:lineRule="exact" w:before="0" w:after="0"/>
        <w:ind w:left="2976" w:right="4112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Index,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method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of </w:t>
      </w:r>
      <w:r>
        <w:br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reflections;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standard-</w:t>
      </w:r>
      <w:r>
        <w:br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ised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 xml:space="preserve"> µ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>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>,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σ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>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1</w:t>
      </w:r>
    </w:p>
    <w:p>
      <w:pPr>
        <w:autoSpaceDN w:val="0"/>
        <w:autoSpaceDE w:val="0"/>
        <w:widowControl/>
        <w:spacing w:line="238" w:lineRule="exact" w:before="296" w:after="0"/>
        <w:ind w:left="0" w:right="920" w:firstLine="0"/>
        <w:jc w:val="right"/>
      </w:pPr>
      <w:r>
        <w:rPr>
          <w:rFonts w:ascii="NimbusRomNo9L" w:hAnsi="NimbusRomNo9L" w:eastAsia="NimbusRomNo9L"/>
          <w:b w:val="0"/>
          <w:i/>
          <w:color w:val="000000"/>
          <w:sz w:val="24"/>
        </w:rPr>
        <w:t>(continues on next page)</w:t>
      </w:r>
    </w:p>
    <w:p>
      <w:pPr>
        <w:autoSpaceDN w:val="0"/>
        <w:autoSpaceDE w:val="0"/>
        <w:widowControl/>
        <w:spacing w:line="288" w:lineRule="exact" w:before="1320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14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240" w:lineRule="exact" w:before="634" w:after="76"/>
        <w:ind w:left="0" w:right="3206" w:firstLine="0"/>
        <w:jc w:val="right"/>
      </w:pPr>
      <w:r>
        <w:rPr>
          <w:rFonts w:ascii="NimbusRomNo9L" w:hAnsi="NimbusRomNo9L" w:eastAsia="NimbusRomNo9L"/>
          <w:b w:val="0"/>
          <w:i/>
          <w:color w:val="000000"/>
          <w:sz w:val="24"/>
        </w:rPr>
        <w:t>(continued from previous page)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6.0" w:type="dxa"/>
      </w:tblPr>
      <w:tblGrid>
        <w:gridCol w:w="1928"/>
        <w:gridCol w:w="1928"/>
        <w:gridCol w:w="1928"/>
        <w:gridCol w:w="1928"/>
        <w:gridCol w:w="1928"/>
      </w:tblGrid>
      <w:tr>
        <w:trPr>
          <w:trHeight w:hRule="exact" w:val="576"/>
        </w:trPr>
        <w:tc>
          <w:tcPr>
            <w:tcW w:type="dxa" w:w="1764"/>
            <w:tcBorders>
              <w:top w:sz="8.799999999999955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2" w:after="0"/>
              <w:ind w:left="0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Variable</w:t>
            </w:r>
          </w:p>
        </w:tc>
        <w:tc>
          <w:tcPr>
            <w:tcW w:type="dxa" w:w="2840"/>
            <w:tcBorders>
              <w:top w:sz="8.799999999999955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2" w:after="0"/>
              <w:ind w:left="17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Operationalisation</w:t>
            </w:r>
          </w:p>
        </w:tc>
        <w:tc>
          <w:tcPr>
            <w:tcW w:type="dxa" w:w="1060"/>
            <w:tcBorders>
              <w:top w:sz="8.799999999999955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Source</w:t>
            </w:r>
          </w:p>
        </w:tc>
        <w:tc>
          <w:tcPr>
            <w:tcW w:type="dxa" w:w="880"/>
            <w:tcBorders>
              <w:top w:sz="8.799999999999955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top w:sz="8.799999999999955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2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Sign</w:t>
            </w:r>
          </w:p>
        </w:tc>
      </w:tr>
      <w:tr>
        <w:trPr>
          <w:trHeight w:hRule="exact" w:val="514"/>
        </w:trPr>
        <w:tc>
          <w:tcPr>
            <w:tcW w:type="dxa" w:w="1764"/>
            <w:vMerge w:val="restart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2" w:after="0"/>
              <w:ind w:left="0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FDI (% GDP)</w:t>
            </w:r>
          </w:p>
        </w:tc>
        <w:tc>
          <w:tcPr>
            <w:tcW w:type="dxa" w:w="3900"/>
            <w:gridSpan w:val="2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BX.KLT.DINV.WD.GD.ZS: 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World</w:t>
            </w:r>
          </w:p>
        </w:tc>
        <w:tc>
          <w:tcPr>
            <w:tcW w:type="dxa" w:w="880"/>
            <w:vMerge w:val="restart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Bank</w:t>
            </w:r>
          </w:p>
        </w:tc>
        <w:tc>
          <w:tcPr>
            <w:tcW w:type="dxa" w:w="1260"/>
            <w:vMerge w:val="restart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56" w:after="0"/>
              <w:ind w:left="126" w:right="0" w:firstLine="0"/>
              <w:jc w:val="left"/>
            </w:pP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+</w:t>
            </w:r>
          </w:p>
        </w:tc>
      </w:tr>
      <w:tr>
        <w:trPr>
          <w:trHeight w:hRule="exact" w:val="426"/>
        </w:trPr>
        <w:tc>
          <w:tcPr>
            <w:tcW w:type="dxa" w:w="1928"/>
            <w:vMerge/>
            <w:tcBorders>
              <w:top w:sz="5.736000061035156" w:val="single" w:color="#000000"/>
            </w:tcBorders>
          </w:tcPr>
          <w:p/>
        </w:tc>
        <w:tc>
          <w:tcPr>
            <w:tcW w:type="dxa" w:w="2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net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FDI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inflows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as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WDI</w:t>
            </w:r>
          </w:p>
        </w:tc>
        <w:tc>
          <w:tcPr>
            <w:tcW w:type="dxa" w:w="1928"/>
            <w:vMerge/>
            <w:tcBorders>
              <w:top w:sz="5.736000061035156" w:val="single" w:color="#000000"/>
            </w:tcBorders>
          </w:tcPr>
          <w:p/>
        </w:tc>
        <w:tc>
          <w:tcPr>
            <w:tcW w:type="dxa" w:w="1928"/>
            <w:vMerge/>
            <w:tcBorders>
              <w:top w:sz="5.736000061035156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86" w:lineRule="exact" w:before="66" w:after="70"/>
        <w:ind w:left="0" w:right="5102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 of GDP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rHeight w:hRule="exact" w:val="420"/>
        </w:trPr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6" w:after="0"/>
              <w:ind w:left="0" w:right="14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Trade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Open-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6" w:after="0"/>
              <w:ind w:left="13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(Exports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+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6" w:after="0"/>
              <w:ind w:left="0" w:right="112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Im-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World</w:t>
            </w:r>
          </w:p>
        </w:tc>
        <w:tc>
          <w:tcPr>
            <w:tcW w:type="dxa" w:w="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6" w:after="0"/>
              <w:ind w:left="20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Bank</w:t>
            </w:r>
          </w:p>
        </w:tc>
        <w:tc>
          <w:tcPr>
            <w:tcW w:type="dxa" w:w="1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126" w:right="0" w:firstLine="0"/>
              <w:jc w:val="left"/>
            </w:pP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+</w:t>
            </w:r>
          </w:p>
        </w:tc>
      </w:tr>
      <w:tr>
        <w:trPr>
          <w:trHeight w:hRule="exact" w:val="416"/>
        </w:trPr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31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ness</w:t>
            </w:r>
          </w:p>
        </w:tc>
        <w:tc>
          <w:tcPr>
            <w:tcW w:type="dxa" w:w="1205"/>
            <w:vMerge/>
            <w:tcBorders/>
          </w:tcPr>
          <w:p/>
        </w:tc>
        <w:tc>
          <w:tcPr>
            <w:tcW w:type="dxa" w:w="28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ports)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/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GDP,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index;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WDI</w:t>
            </w:r>
          </w:p>
        </w:tc>
        <w:tc>
          <w:tcPr>
            <w:tcW w:type="dxa" w:w="1205"/>
            <w:vMerge/>
            <w:tcBorders/>
          </w:tcPr>
          <w:p/>
        </w:tc>
        <w:tc>
          <w:tcPr>
            <w:tcW w:type="dxa" w:w="120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86" w:lineRule="exact" w:before="78" w:after="70"/>
        <w:ind w:left="0" w:right="4424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NE.TRD.GNFS.ZS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1607"/>
        <w:gridCol w:w="1607"/>
        <w:gridCol w:w="1607"/>
        <w:gridCol w:w="1607"/>
        <w:gridCol w:w="1607"/>
        <w:gridCol w:w="1607"/>
      </w:tblGrid>
      <w:tr>
        <w:trPr>
          <w:trHeight w:hRule="exact" w:val="410"/>
        </w:trPr>
        <w:tc>
          <w:tcPr>
            <w:tcW w:type="dxa" w:w="2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6" w:after="0"/>
              <w:ind w:left="0" w:right="388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LPI Score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Logistics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6" w:after="0"/>
              <w:ind w:left="0" w:right="11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Per-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World</w:t>
            </w:r>
          </w:p>
        </w:tc>
        <w:tc>
          <w:tcPr>
            <w:tcW w:type="dxa" w:w="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6" w:after="0"/>
              <w:ind w:left="20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Bank</w:t>
            </w:r>
          </w:p>
        </w:tc>
        <w:tc>
          <w:tcPr>
            <w:tcW w:type="dxa" w:w="1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126" w:right="0" w:firstLine="0"/>
              <w:jc w:val="left"/>
            </w:pP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+</w:t>
            </w:r>
          </w:p>
        </w:tc>
      </w:tr>
      <w:tr>
        <w:trPr>
          <w:trHeight w:hRule="exact" w:val="420"/>
        </w:trPr>
        <w:tc>
          <w:tcPr>
            <w:tcW w:type="dxa" w:w="1607"/>
            <w:vMerge/>
            <w:tcBorders/>
          </w:tcPr>
          <w:p/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formance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11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Index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WDI</w:t>
            </w:r>
          </w:p>
        </w:tc>
        <w:tc>
          <w:tcPr>
            <w:tcW w:type="dxa" w:w="1607"/>
            <w:vMerge/>
            <w:tcBorders/>
          </w:tcPr>
          <w:p/>
        </w:tc>
        <w:tc>
          <w:tcPr>
            <w:tcW w:type="dxa" w:w="1607"/>
            <w:vMerge/>
            <w:tcBorders/>
          </w:tcPr>
          <w:p/>
        </w:tc>
      </w:tr>
      <w:tr>
        <w:trPr>
          <w:trHeight w:hRule="exact" w:val="430"/>
        </w:trPr>
        <w:tc>
          <w:tcPr>
            <w:tcW w:type="dxa" w:w="1607"/>
            <w:vMerge/>
            <w:tcBorders/>
          </w:tcPr>
          <w:p/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composite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4" w:after="0"/>
              <w:ind w:left="0" w:right="112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(0–5);</w:t>
            </w:r>
          </w:p>
        </w:tc>
        <w:tc>
          <w:tcPr>
            <w:tcW w:type="dxa" w:w="1607"/>
            <w:vMerge/>
            <w:tcBorders/>
          </w:tcPr>
          <w:p/>
        </w:tc>
        <w:tc>
          <w:tcPr>
            <w:tcW w:type="dxa" w:w="1607"/>
            <w:vMerge/>
            <w:tcBorders/>
          </w:tcPr>
          <w:p/>
        </w:tc>
        <w:tc>
          <w:tcPr>
            <w:tcW w:type="dxa" w:w="160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88" w:lineRule="exact" w:before="76" w:after="66"/>
        <w:ind w:left="0" w:right="4534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LP.LPI.OVRL.XQ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410"/>
        <w:gridCol w:w="2410"/>
        <w:gridCol w:w="2410"/>
        <w:gridCol w:w="2410"/>
      </w:tblGrid>
      <w:tr>
        <w:trPr>
          <w:trHeight w:hRule="exact" w:val="418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0" w:right="436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Post2017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60" w:after="0"/>
              <w:ind w:left="43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Binary: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1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if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year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Author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4" w:after="0"/>
              <w:ind w:left="0" w:right="850" w:firstLine="0"/>
              <w:jc w:val="right"/>
            </w:pP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+</w:t>
            </w:r>
          </w:p>
        </w:tc>
      </w:tr>
    </w:tbl>
    <w:p>
      <w:pPr>
        <w:autoSpaceDN w:val="0"/>
        <w:autoSpaceDE w:val="0"/>
        <w:widowControl/>
        <w:spacing w:line="286" w:lineRule="exact" w:before="76" w:after="66"/>
        <w:ind w:left="0" w:right="5286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2017, else 0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410"/>
        <w:gridCol w:w="2410"/>
        <w:gridCol w:w="2410"/>
        <w:gridCol w:w="2410"/>
      </w:tblGrid>
      <w:tr>
        <w:trPr>
          <w:trHeight w:hRule="exact" w:val="418"/>
        </w:trPr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0" w:right="628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Trend</w:t>
            </w:r>
          </w:p>
        </w:tc>
        <w:tc>
          <w:tcPr>
            <w:tcW w:type="dxa" w:w="3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60" w:after="0"/>
              <w:ind w:left="63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Linear year index:</w:t>
            </w: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 xml:space="preserve"> t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−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Author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4" w:after="0"/>
              <w:ind w:left="0" w:right="850" w:firstLine="0"/>
              <w:jc w:val="right"/>
            </w:pP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+</w:t>
            </w:r>
          </w:p>
        </w:tc>
      </w:tr>
    </w:tbl>
    <w:p>
      <w:pPr>
        <w:autoSpaceDN w:val="0"/>
        <w:autoSpaceDE w:val="0"/>
        <w:widowControl/>
        <w:spacing w:line="340" w:lineRule="exact" w:before="70" w:after="42"/>
        <w:ind w:left="0" w:right="4512" w:firstLine="0"/>
        <w:jc w:val="right"/>
      </w:pP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0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where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t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0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2010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410"/>
        <w:gridCol w:w="2410"/>
        <w:gridCol w:w="2410"/>
        <w:gridCol w:w="2410"/>
      </w:tblGrid>
      <w:tr>
        <w:trPr>
          <w:trHeight w:hRule="exact" w:val="394"/>
        </w:trPr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8" w:after="0"/>
              <w:ind w:left="53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Interm.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Share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8" w:after="0"/>
              <w:ind w:left="19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Share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of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HS-section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8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OEC/BACI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2" w:after="0"/>
              <w:ind w:left="326" w:right="0" w:firstLine="0"/>
              <w:jc w:val="left"/>
            </w:pP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+</w:t>
            </w:r>
          </w:p>
        </w:tc>
      </w:tr>
    </w:tbl>
    <w:p>
      <w:pPr>
        <w:autoSpaceDN w:val="0"/>
        <w:autoSpaceDE w:val="0"/>
        <w:widowControl/>
        <w:spacing w:line="286" w:lineRule="exact" w:before="78" w:after="0"/>
        <w:ind w:left="0" w:right="4114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05, 06, 07, 15, 16, 17,</w:t>
      </w:r>
    </w:p>
    <w:p>
      <w:pPr>
        <w:autoSpaceDN w:val="0"/>
        <w:autoSpaceDE w:val="0"/>
        <w:widowControl/>
        <w:spacing w:line="288" w:lineRule="exact" w:before="136" w:after="0"/>
        <w:ind w:left="0" w:right="4112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18 imports in total bi-</w:t>
      </w:r>
    </w:p>
    <w:p>
      <w:pPr>
        <w:autoSpaceDN w:val="0"/>
        <w:autoSpaceDE w:val="0"/>
        <w:widowControl/>
        <w:spacing w:line="288" w:lineRule="exact" w:before="136" w:after="0"/>
        <w:ind w:left="0" w:right="4112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lateral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imports;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proxy</w:t>
      </w:r>
    </w:p>
    <w:p>
      <w:pPr>
        <w:autoSpaceDN w:val="0"/>
        <w:autoSpaceDE w:val="0"/>
        <w:widowControl/>
        <w:spacing w:line="286" w:lineRule="exact" w:before="136" w:after="0"/>
        <w:ind w:left="0" w:right="4112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 GVC backward in-</w:t>
      </w:r>
    </w:p>
    <w:p>
      <w:pPr>
        <w:autoSpaceDN w:val="0"/>
        <w:autoSpaceDE w:val="0"/>
        <w:widowControl/>
        <w:spacing w:line="286" w:lineRule="exact" w:before="138" w:after="76"/>
        <w:ind w:left="0" w:right="564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tegration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410"/>
        <w:gridCol w:w="2410"/>
        <w:gridCol w:w="2410"/>
        <w:gridCol w:w="2410"/>
      </w:tblGrid>
      <w:tr>
        <w:trPr>
          <w:trHeight w:hRule="exact" w:val="428"/>
        </w:trPr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60" w:after="0"/>
              <w:ind w:left="0" w:right="618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RCA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k</w:t>
            </w:r>
          </w:p>
        </w:tc>
        <w:tc>
          <w:tcPr>
            <w:tcW w:type="dxa" w:w="3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63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Balassa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(1965)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index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OEC/BACI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3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Context</w:t>
            </w:r>
          </w:p>
        </w:tc>
      </w:tr>
    </w:tbl>
    <w:p>
      <w:pPr>
        <w:autoSpaceDN w:val="0"/>
        <w:autoSpaceDE w:val="0"/>
        <w:widowControl/>
        <w:spacing w:line="292" w:lineRule="exact" w:before="50" w:after="0"/>
        <w:ind w:left="0" w:right="4114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 sector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threshold</w:t>
      </w:r>
    </w:p>
    <w:p>
      <w:pPr>
        <w:autoSpaceDN w:val="0"/>
        <w:autoSpaceDE w:val="0"/>
        <w:widowControl/>
        <w:spacing w:line="286" w:lineRule="exact" w:before="138" w:after="70"/>
        <w:ind w:left="0" w:right="628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= 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rHeight w:hRule="exact" w:val="332"/>
        </w:trPr>
        <w:tc>
          <w:tcPr>
            <w:tcW w:type="dxa" w:w="2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6" w:after="0"/>
              <w:ind w:left="0" w:right="40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WGI: RQ</w:t>
            </w:r>
          </w:p>
        </w:tc>
        <w:tc>
          <w:tcPr>
            <w:tcW w:type="dxa" w:w="17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6" w:after="0"/>
              <w:ind w:left="41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Regulatory</w:t>
            </w:r>
          </w:p>
        </w:tc>
        <w:tc>
          <w:tcPr>
            <w:tcW w:type="dxa" w:w="1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6" w:after="0"/>
              <w:ind w:left="0" w:right="112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Quality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6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World</w:t>
            </w:r>
          </w:p>
        </w:tc>
        <w:tc>
          <w:tcPr>
            <w:tcW w:type="dxa" w:w="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6" w:after="0"/>
              <w:ind w:left="20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Bank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4" w:after="0"/>
              <w:ind w:left="126" w:right="0" w:firstLine="0"/>
              <w:jc w:val="left"/>
            </w:pP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+</w:t>
            </w:r>
          </w:p>
        </w:tc>
      </w:tr>
      <w:tr>
        <w:trPr>
          <w:trHeight w:hRule="exact" w:val="90"/>
        </w:trPr>
        <w:tc>
          <w:tcPr>
            <w:tcW w:type="dxa" w:w="1205"/>
            <w:vMerge/>
            <w:tcBorders/>
          </w:tcPr>
          <w:p/>
        </w:tc>
        <w:tc>
          <w:tcPr>
            <w:tcW w:type="dxa" w:w="2410"/>
            <w:gridSpan w:val="2"/>
            <w:vMerge/>
            <w:tcBorders/>
          </w:tcPr>
          <w:p/>
        </w:tc>
        <w:tc>
          <w:tcPr>
            <w:tcW w:type="dxa" w:w="2410"/>
            <w:gridSpan w:val="2"/>
            <w:vMerge/>
            <w:tcBorders/>
          </w:tcPr>
          <w:p/>
        </w:tc>
        <w:tc>
          <w:tcPr>
            <w:tcW w:type="dxa" w:w="1205"/>
            <w:vMerge/>
            <w:tcBorders/>
          </w:tcPr>
          <w:p/>
        </w:tc>
        <w:tc>
          <w:tcPr>
            <w:tcW w:type="dxa" w:w="1205"/>
            <w:vMerge/>
            <w:tcBorders/>
          </w:tcPr>
          <w:p/>
        </w:tc>
        <w:tc>
          <w:tcPr>
            <w:tcW w:type="dxa" w:w="1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72" w:after="0"/>
              <w:ind w:left="126" w:right="0" w:firstLine="0"/>
              <w:jc w:val="left"/>
            </w:pP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+</w:t>
            </w:r>
          </w:p>
        </w:tc>
      </w:tr>
      <w:tr>
        <w:trPr>
          <w:trHeight w:hRule="exact" w:val="212"/>
        </w:trPr>
        <w:tc>
          <w:tcPr>
            <w:tcW w:type="dxa" w:w="1205"/>
            <w:vMerge/>
            <w:tcBorders/>
          </w:tcPr>
          <w:p/>
        </w:tc>
        <w:tc>
          <w:tcPr>
            <w:tcW w:type="dxa" w:w="3080"/>
            <w:gridSpan w:val="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41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percentile rank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WGI</w:t>
            </w:r>
          </w:p>
        </w:tc>
        <w:tc>
          <w:tcPr>
            <w:tcW w:type="dxa" w:w="1205"/>
            <w:vMerge/>
            <w:tcBorders/>
          </w:tcPr>
          <w:p/>
        </w:tc>
        <w:tc>
          <w:tcPr>
            <w:tcW w:type="dxa" w:w="1205"/>
            <w:vMerge/>
            <w:tcBorders/>
          </w:tcPr>
          <w:p/>
        </w:tc>
      </w:tr>
      <w:tr>
        <w:trPr>
          <w:trHeight w:hRule="exact" w:val="212"/>
        </w:trPr>
        <w:tc>
          <w:tcPr>
            <w:tcW w:type="dxa" w:w="2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72" w:after="0"/>
              <w:ind w:left="0" w:right="432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WGI: RL</w:t>
            </w:r>
          </w:p>
        </w:tc>
        <w:tc>
          <w:tcPr>
            <w:tcW w:type="dxa" w:w="4820"/>
            <w:gridSpan w:val="4"/>
            <w:vMerge/>
            <w:tcBorders/>
          </w:tcPr>
          <w:p/>
        </w:tc>
        <w:tc>
          <w:tcPr>
            <w:tcW w:type="dxa" w:w="1205"/>
            <w:vMerge/>
            <w:tcBorders/>
          </w:tcPr>
          <w:p/>
        </w:tc>
        <w:tc>
          <w:tcPr>
            <w:tcW w:type="dxa" w:w="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72" w:after="0"/>
              <w:ind w:left="20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Bank</w:t>
            </w:r>
          </w:p>
        </w:tc>
        <w:tc>
          <w:tcPr>
            <w:tcW w:type="dxa" w:w="1205"/>
            <w:vMerge/>
            <w:tcBorders/>
          </w:tcPr>
          <w:p/>
        </w:tc>
      </w:tr>
      <w:tr>
        <w:trPr>
          <w:trHeight w:hRule="exact" w:val="346"/>
        </w:trPr>
        <w:tc>
          <w:tcPr>
            <w:tcW w:type="dxa" w:w="1205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122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Rule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14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of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Law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112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per-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World</w:t>
            </w:r>
          </w:p>
        </w:tc>
        <w:tc>
          <w:tcPr>
            <w:tcW w:type="dxa" w:w="1205"/>
            <w:vMerge/>
            <w:tcBorders/>
          </w:tcPr>
          <w:p/>
        </w:tc>
        <w:tc>
          <w:tcPr>
            <w:tcW w:type="dxa" w:w="1205"/>
            <w:vMerge/>
            <w:tcBorders/>
          </w:tcPr>
          <w:p/>
        </w:tc>
      </w:tr>
      <w:tr>
        <w:trPr>
          <w:trHeight w:hRule="exact" w:val="500"/>
        </w:trPr>
        <w:tc>
          <w:tcPr>
            <w:tcW w:type="dxa" w:w="2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68" w:after="0"/>
              <w:ind w:left="0" w:right="416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WGI: GE</w:t>
            </w:r>
          </w:p>
        </w:tc>
        <w:tc>
          <w:tcPr>
            <w:tcW w:type="dxa" w:w="30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44" w:after="0"/>
              <w:ind w:left="41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centile rank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44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WGI</w:t>
            </w:r>
          </w:p>
        </w:tc>
        <w:tc>
          <w:tcPr>
            <w:tcW w:type="dxa" w:w="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68" w:after="0"/>
              <w:ind w:left="20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Bank</w:t>
            </w:r>
          </w:p>
        </w:tc>
        <w:tc>
          <w:tcPr>
            <w:tcW w:type="dxa" w:w="1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62" w:after="0"/>
              <w:ind w:left="126" w:right="0" w:firstLine="0"/>
              <w:jc w:val="left"/>
            </w:pP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+</w:t>
            </w:r>
          </w:p>
        </w:tc>
      </w:tr>
      <w:tr>
        <w:trPr>
          <w:trHeight w:hRule="exact" w:val="420"/>
        </w:trPr>
        <w:tc>
          <w:tcPr>
            <w:tcW w:type="dxa" w:w="1205"/>
            <w:vMerge/>
            <w:tcBorders/>
          </w:tcPr>
          <w:p/>
        </w:tc>
        <w:tc>
          <w:tcPr>
            <w:tcW w:type="dxa" w:w="22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Government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Effec-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World</w:t>
            </w:r>
          </w:p>
        </w:tc>
        <w:tc>
          <w:tcPr>
            <w:tcW w:type="dxa" w:w="1205"/>
            <w:vMerge/>
            <w:tcBorders/>
          </w:tcPr>
          <w:p/>
        </w:tc>
        <w:tc>
          <w:tcPr>
            <w:tcW w:type="dxa" w:w="1205"/>
            <w:vMerge/>
            <w:tcBorders/>
          </w:tcPr>
          <w:p/>
        </w:tc>
      </w:tr>
      <w:tr>
        <w:trPr>
          <w:trHeight w:hRule="exact" w:val="418"/>
        </w:trPr>
        <w:tc>
          <w:tcPr>
            <w:tcW w:type="dxa" w:w="1205"/>
            <w:vMerge/>
            <w:tcBorders/>
          </w:tcPr>
          <w:p/>
        </w:tc>
        <w:tc>
          <w:tcPr>
            <w:tcW w:type="dxa" w:w="1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tiveness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percentile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WGI</w:t>
            </w:r>
          </w:p>
        </w:tc>
        <w:tc>
          <w:tcPr>
            <w:tcW w:type="dxa" w:w="1205"/>
            <w:vMerge/>
            <w:tcBorders/>
          </w:tcPr>
          <w:p/>
        </w:tc>
        <w:tc>
          <w:tcPr>
            <w:tcW w:type="dxa" w:w="120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86" w:lineRule="exact" w:before="78" w:after="0"/>
        <w:ind w:left="0" w:right="6154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rank</w:t>
      </w:r>
    </w:p>
    <w:p>
      <w:pPr>
        <w:autoSpaceDN w:val="0"/>
        <w:autoSpaceDE w:val="0"/>
        <w:widowControl/>
        <w:spacing w:line="240" w:lineRule="exact" w:before="318" w:after="0"/>
        <w:ind w:left="0" w:right="920" w:firstLine="0"/>
        <w:jc w:val="right"/>
      </w:pPr>
      <w:r>
        <w:rPr>
          <w:rFonts w:ascii="NimbusRomNo9L" w:hAnsi="NimbusRomNo9L" w:eastAsia="NimbusRomNo9L"/>
          <w:b w:val="0"/>
          <w:i/>
          <w:color w:val="000000"/>
          <w:sz w:val="24"/>
        </w:rPr>
        <w:t>(continues on next page)</w:t>
      </w:r>
    </w:p>
    <w:p>
      <w:pPr>
        <w:autoSpaceDN w:val="0"/>
        <w:autoSpaceDE w:val="0"/>
        <w:widowControl/>
        <w:spacing w:line="288" w:lineRule="exact" w:before="644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15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360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240" w:lineRule="exact" w:before="634" w:after="76"/>
        <w:ind w:left="0" w:right="3542" w:firstLine="0"/>
        <w:jc w:val="right"/>
      </w:pPr>
      <w:r>
        <w:rPr>
          <w:rFonts w:ascii="NimbusRomNo9L" w:hAnsi="NimbusRomNo9L" w:eastAsia="NimbusRomNo9L"/>
          <w:b w:val="0"/>
          <w:i/>
          <w:color w:val="000000"/>
          <w:sz w:val="24"/>
        </w:rPr>
        <w:t>(continued from previous page)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36.0" w:type="dxa"/>
      </w:tblPr>
      <w:tblGrid>
        <w:gridCol w:w="2494"/>
        <w:gridCol w:w="2494"/>
        <w:gridCol w:w="2494"/>
        <w:gridCol w:w="2494"/>
      </w:tblGrid>
      <w:tr>
        <w:trPr>
          <w:trHeight w:hRule="exact" w:val="576"/>
        </w:trPr>
        <w:tc>
          <w:tcPr>
            <w:tcW w:type="dxa" w:w="1584"/>
            <w:tcBorders>
              <w:top w:sz="8.799999999999955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2" w:after="0"/>
              <w:ind w:left="0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Variable</w:t>
            </w:r>
          </w:p>
        </w:tc>
        <w:tc>
          <w:tcPr>
            <w:tcW w:type="dxa" w:w="3020"/>
            <w:tcBorders>
              <w:top w:sz="8.799999999999955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2" w:after="0"/>
              <w:ind w:left="35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Operationalisation</w:t>
            </w:r>
          </w:p>
        </w:tc>
        <w:tc>
          <w:tcPr>
            <w:tcW w:type="dxa" w:w="1680"/>
            <w:tcBorders>
              <w:top w:sz="8.799999999999955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2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Source</w:t>
            </w:r>
          </w:p>
        </w:tc>
        <w:tc>
          <w:tcPr>
            <w:tcW w:type="dxa" w:w="1520"/>
            <w:tcBorders>
              <w:top w:sz="8.799999999999955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2" w:after="0"/>
              <w:ind w:left="0" w:right="608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Sign</w:t>
            </w:r>
          </w:p>
        </w:tc>
      </w:tr>
      <w:tr>
        <w:trPr>
          <w:trHeight w:hRule="exact" w:val="514"/>
        </w:trPr>
        <w:tc>
          <w:tcPr>
            <w:tcW w:type="dxa" w:w="1584"/>
            <w:vMerge w:val="restart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2" w:after="0"/>
              <w:ind w:left="0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BIT Count</w:t>
            </w:r>
          </w:p>
        </w:tc>
        <w:tc>
          <w:tcPr>
            <w:tcW w:type="dxa" w:w="302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2" w:after="0"/>
              <w:ind w:left="35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Number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of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bilateral</w:t>
            </w:r>
          </w:p>
        </w:tc>
        <w:tc>
          <w:tcPr>
            <w:tcW w:type="dxa" w:w="168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2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UNCTAD</w:t>
            </w:r>
          </w:p>
        </w:tc>
        <w:tc>
          <w:tcPr>
            <w:tcW w:type="dxa" w:w="1520"/>
            <w:vMerge w:val="restart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56" w:after="0"/>
              <w:ind w:left="0" w:right="910" w:firstLine="0"/>
              <w:jc w:val="right"/>
            </w:pP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+</w:t>
            </w:r>
          </w:p>
        </w:tc>
      </w:tr>
      <w:tr>
        <w:trPr>
          <w:trHeight w:hRule="exact" w:val="426"/>
        </w:trPr>
        <w:tc>
          <w:tcPr>
            <w:tcW w:type="dxa" w:w="2494"/>
            <w:vMerge/>
            <w:tcBorders>
              <w:top w:sz="5.736000061035156" w:val="single" w:color="#000000"/>
            </w:tcBorders>
          </w:tcPr>
          <w:p/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35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investment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treaties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in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IPFSD</w:t>
            </w:r>
          </w:p>
        </w:tc>
        <w:tc>
          <w:tcPr>
            <w:tcW w:type="dxa" w:w="2494"/>
            <w:vMerge/>
            <w:tcBorders>
              <w:top w:sz="5.736000061035156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86" w:lineRule="exact" w:before="66" w:after="76"/>
        <w:ind w:left="0" w:right="6410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1663"/>
        <w:gridCol w:w="1663"/>
        <w:gridCol w:w="1663"/>
        <w:gridCol w:w="1663"/>
        <w:gridCol w:w="1663"/>
        <w:gridCol w:w="1663"/>
      </w:tblGrid>
      <w:tr>
        <w:trPr>
          <w:trHeight w:hRule="exact" w:val="414"/>
        </w:trPr>
        <w:tc>
          <w:tcPr>
            <w:tcW w:type="dxa" w:w="2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0" w:right="44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SEZ FDI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0" w:right="202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FDI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23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attracted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0" w:right="11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to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Uzinfoinvest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24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Context</w:t>
            </w:r>
          </w:p>
        </w:tc>
      </w:tr>
      <w:tr>
        <w:trPr>
          <w:trHeight w:hRule="exact" w:val="416"/>
        </w:trPr>
        <w:tc>
          <w:tcPr>
            <w:tcW w:type="dxa" w:w="1663"/>
            <w:vMerge/>
            <w:tcBorders/>
          </w:tcPr>
          <w:p/>
        </w:tc>
        <w:tc>
          <w:tcPr>
            <w:tcW w:type="dxa" w:w="2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45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Uzbekistan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SEZs</w:t>
            </w:r>
          </w:p>
        </w:tc>
        <w:tc>
          <w:tcPr>
            <w:tcW w:type="dxa" w:w="1663"/>
            <w:vMerge/>
            <w:tcBorders/>
          </w:tcPr>
          <w:p/>
        </w:tc>
        <w:tc>
          <w:tcPr>
            <w:tcW w:type="dxa" w:w="166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86" w:lineRule="exact" w:before="78" w:after="76"/>
        <w:ind w:left="0" w:right="4534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(USD m, cumulative)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trHeight w:hRule="exact" w:val="404"/>
        </w:trPr>
        <w:tc>
          <w:tcPr>
            <w:tcW w:type="dxa" w:w="916"/>
            <w:vMerge w:val="restart"/>
            <w:tcBorders>
              <w:bottom w:sz="9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0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GDP</w:t>
            </w:r>
          </w:p>
        </w:tc>
        <w:tc>
          <w:tcPr>
            <w:tcW w:type="dxa" w:w="8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0" w:right="120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per</w:t>
            </w:r>
          </w:p>
        </w:tc>
        <w:tc>
          <w:tcPr>
            <w:tcW w:type="dxa" w:w="2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120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NY.GDP.PCAP.CD: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World</w:t>
            </w:r>
          </w:p>
        </w:tc>
        <w:tc>
          <w:tcPr>
            <w:tcW w:type="dxa" w:w="920"/>
            <w:vMerge w:val="restart"/>
            <w:tcBorders>
              <w:bottom w:sz="9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20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Bank</w:t>
            </w:r>
          </w:p>
        </w:tc>
        <w:tc>
          <w:tcPr>
            <w:tcW w:type="dxa" w:w="1260"/>
            <w:vMerge w:val="restart"/>
            <w:tcBorders>
              <w:bottom w:sz="9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12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Context</w:t>
            </w:r>
          </w:p>
        </w:tc>
      </w:tr>
      <w:tr>
        <w:trPr>
          <w:trHeight w:hRule="exact" w:val="488"/>
        </w:trPr>
        <w:tc>
          <w:tcPr>
            <w:tcW w:type="dxa" w:w="1425"/>
            <w:vMerge/>
            <w:tcBorders>
              <w:bottom w:sz="9.599999999999909" w:val="single" w:color="#000000"/>
            </w:tcBorders>
          </w:tcPr>
          <w:p/>
        </w:tc>
        <w:tc>
          <w:tcPr>
            <w:tcW w:type="dxa" w:w="1004"/>
            <w:tcBorders>
              <w:bottom w:sz="9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capita</w:t>
            </w:r>
          </w:p>
        </w:tc>
        <w:tc>
          <w:tcPr>
            <w:tcW w:type="dxa" w:w="3480"/>
            <w:gridSpan w:val="2"/>
            <w:tcBorders>
              <w:bottom w:sz="9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1086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current USD</w:t>
            </w:r>
          </w:p>
        </w:tc>
        <w:tc>
          <w:tcPr>
            <w:tcW w:type="dxa" w:w="1140"/>
            <w:tcBorders>
              <w:bottom w:sz="9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WDI</w:t>
            </w:r>
          </w:p>
        </w:tc>
        <w:tc>
          <w:tcPr>
            <w:tcW w:type="dxa" w:w="1425"/>
            <w:vMerge/>
            <w:tcBorders>
              <w:bottom w:sz="9.599999999999909" w:val="single" w:color="#000000"/>
            </w:tcBorders>
          </w:tcPr>
          <w:p/>
        </w:tc>
        <w:tc>
          <w:tcPr>
            <w:tcW w:type="dxa" w:w="1425"/>
            <w:vMerge/>
            <w:tcBorders>
              <w:bottom w:sz="9.599999999999909" w:val="single" w:color="#000000"/>
            </w:tcBorders>
          </w:tcPr>
          <w:p/>
        </w:tc>
      </w:tr>
      <w:tr>
        <w:trPr>
          <w:trHeight w:hRule="exact" w:val="1116"/>
        </w:trPr>
        <w:tc>
          <w:tcPr>
            <w:tcW w:type="dxa" w:w="916"/>
            <w:tcBorders>
              <w:top w:sz="9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700" w:after="0"/>
              <w:ind w:left="140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3.4</w:t>
            </w:r>
          </w:p>
        </w:tc>
        <w:tc>
          <w:tcPr>
            <w:tcW w:type="dxa" w:w="5624"/>
            <w:gridSpan w:val="4"/>
            <w:tcBorders>
              <w:top w:sz="9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700" w:after="0"/>
              <w:ind w:left="0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Data Sources and API Endpoints</w:t>
            </w:r>
          </w:p>
        </w:tc>
        <w:tc>
          <w:tcPr>
            <w:tcW w:type="dxa" w:w="920"/>
            <w:tcBorders>
              <w:top w:sz="9.59999999999990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60"/>
            <w:tcBorders>
              <w:top w:sz="9.599999999999909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22" w:lineRule="exact" w:before="126" w:after="0"/>
        <w:ind w:left="260" w:right="288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All quantitative data are sourced from publicly accessible databases. Table 2 maps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each dataset to its access method and the relevant dissertation sections.</w:t>
      </w:r>
    </w:p>
    <w:p>
      <w:pPr>
        <w:autoSpaceDN w:val="0"/>
        <w:autoSpaceDE w:val="0"/>
        <w:widowControl/>
        <w:spacing w:line="288" w:lineRule="exact" w:before="264" w:after="230"/>
        <w:ind w:left="1794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 2: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Data Sources, Access Methods, and Coverage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78.0" w:type="dxa"/>
      </w:tblPr>
      <w:tblGrid>
        <w:gridCol w:w="2494"/>
        <w:gridCol w:w="2494"/>
        <w:gridCol w:w="2494"/>
        <w:gridCol w:w="2494"/>
      </w:tblGrid>
      <w:tr>
        <w:trPr>
          <w:trHeight w:hRule="exact" w:val="502"/>
        </w:trPr>
        <w:tc>
          <w:tcPr>
            <w:tcW w:type="dxa" w:w="2082"/>
            <w:tcBorders>
              <w:top w:sz="8.80000000000018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8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2820"/>
            <w:tcBorders>
              <w:top w:sz="8.80000000000018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8" w:after="0"/>
              <w:ind w:left="14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API / URL</w:t>
            </w:r>
          </w:p>
        </w:tc>
        <w:tc>
          <w:tcPr>
            <w:tcW w:type="dxa" w:w="1460"/>
            <w:tcBorders>
              <w:top w:sz="8.80000000000018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8" w:after="0"/>
              <w:ind w:left="11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Coverage</w:t>
            </w:r>
          </w:p>
        </w:tc>
        <w:tc>
          <w:tcPr>
            <w:tcW w:type="dxa" w:w="1158"/>
            <w:tcBorders>
              <w:top w:sz="8.80000000000018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8" w:after="0"/>
              <w:ind w:left="0" w:right="4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Sections</w:t>
            </w:r>
          </w:p>
        </w:tc>
      </w:tr>
      <w:tr>
        <w:trPr>
          <w:trHeight w:hRule="exact" w:val="390"/>
        </w:trPr>
        <w:tc>
          <w:tcPr>
            <w:tcW w:type="dxa" w:w="2082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4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World Bank WDI</w:t>
            </w:r>
          </w:p>
        </w:tc>
        <w:tc>
          <w:tcPr>
            <w:tcW w:type="dxa" w:w="282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4" w:after="0"/>
              <w:ind w:left="0" w:right="0" w:firstLine="0"/>
              <w:jc w:val="center"/>
            </w:pPr>
            <w:r>
              <w:rPr>
                <w:rFonts w:ascii="CMTT12" w:hAnsi="CMTT12" w:eastAsia="CMTT12"/>
                <w:b w:val="0"/>
                <w:i w:val="0"/>
                <w:color w:val="000000"/>
                <w:sz w:val="24"/>
              </w:rPr>
              <w:t>api.worldbank.org/v2/</w:t>
            </w:r>
          </w:p>
        </w:tc>
        <w:tc>
          <w:tcPr>
            <w:tcW w:type="dxa" w:w="146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4" w:after="0"/>
              <w:ind w:left="11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2000–2023</w:t>
            </w:r>
          </w:p>
        </w:tc>
        <w:tc>
          <w:tcPr>
            <w:tcW w:type="dxa" w:w="1158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4" w:after="0"/>
              <w:ind w:left="0" w:right="49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3–9</w:t>
            </w:r>
          </w:p>
        </w:tc>
      </w:tr>
      <w:tr>
        <w:trPr>
          <w:trHeight w:hRule="exact" w:val="340"/>
        </w:trPr>
        <w:tc>
          <w:tcPr>
            <w:tcW w:type="dxa" w:w="20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0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World Bank WGI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0" w:after="0"/>
              <w:ind w:left="0" w:right="0" w:firstLine="0"/>
              <w:jc w:val="center"/>
            </w:pPr>
            <w:r>
              <w:rPr>
                <w:rFonts w:ascii="CMTT12" w:hAnsi="CMTT12" w:eastAsia="CMTT12"/>
                <w:b w:val="0"/>
                <w:i w:val="0"/>
                <w:color w:val="000000"/>
                <w:sz w:val="24"/>
              </w:rPr>
              <w:t>api.worldbank.org/v2/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0" w:after="0"/>
              <w:ind w:left="11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2000–2022</w:t>
            </w:r>
          </w:p>
        </w:tc>
        <w:tc>
          <w:tcPr>
            <w:tcW w:type="dxa" w:w="11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0" w:after="0"/>
              <w:ind w:left="0" w:right="72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trHeight w:hRule="exact" w:val="360"/>
        </w:trPr>
        <w:tc>
          <w:tcPr>
            <w:tcW w:type="dxa" w:w="20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20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OEC / BACI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20" w:after="0"/>
              <w:ind w:left="142" w:right="0" w:firstLine="0"/>
              <w:jc w:val="left"/>
            </w:pPr>
            <w:r>
              <w:rPr>
                <w:rFonts w:ascii="CMTT12" w:hAnsi="CMTT12" w:eastAsia="CMTT12"/>
                <w:b w:val="0"/>
                <w:i w:val="0"/>
                <w:color w:val="000000"/>
                <w:sz w:val="24"/>
              </w:rPr>
              <w:t>oec.world/api/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20" w:after="0"/>
              <w:ind w:left="11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2010–2022</w:t>
            </w:r>
          </w:p>
        </w:tc>
        <w:tc>
          <w:tcPr>
            <w:tcW w:type="dxa" w:w="11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20" w:after="0"/>
              <w:ind w:left="0" w:right="49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5–8</w:t>
            </w:r>
          </w:p>
        </w:tc>
      </w:tr>
      <w:tr>
        <w:trPr>
          <w:trHeight w:hRule="exact" w:val="340"/>
        </w:trPr>
        <w:tc>
          <w:tcPr>
            <w:tcW w:type="dxa" w:w="20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02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UNCTAD FDIstat</w:t>
            </w:r>
          </w:p>
        </w:tc>
        <w:tc>
          <w:tcPr>
            <w:tcW w:type="dxa" w:w="4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96" w:after="0"/>
              <w:ind w:left="142" w:right="0" w:firstLine="0"/>
              <w:jc w:val="left"/>
            </w:pPr>
            <w:r>
              <w:rPr>
                <w:rFonts w:ascii="CMTT12" w:hAnsi="CMTT12" w:eastAsia="CMTT12"/>
                <w:b w:val="0"/>
                <w:i w:val="0"/>
                <w:color w:val="000000"/>
                <w:sz w:val="24"/>
              </w:rPr>
              <w:t>unctadstat.unctad.org/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2000–2023</w:t>
            </w:r>
          </w:p>
        </w:tc>
        <w:tc>
          <w:tcPr>
            <w:tcW w:type="dxa" w:w="11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02" w:after="0"/>
              <w:ind w:left="0" w:right="72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trHeight w:hRule="exact" w:val="360"/>
        </w:trPr>
        <w:tc>
          <w:tcPr>
            <w:tcW w:type="dxa" w:w="20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20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OECD TiVA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20" w:after="0"/>
              <w:ind w:left="142" w:right="0" w:firstLine="0"/>
              <w:jc w:val="left"/>
            </w:pPr>
            <w:r>
              <w:rPr>
                <w:rFonts w:ascii="CMTT12" w:hAnsi="CMTT12" w:eastAsia="CMTT12"/>
                <w:b w:val="0"/>
                <w:i w:val="0"/>
                <w:color w:val="000000"/>
                <w:sz w:val="24"/>
              </w:rPr>
              <w:t>stats.oecd.org/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20" w:after="0"/>
              <w:ind w:left="11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2005–2020</w:t>
            </w:r>
          </w:p>
        </w:tc>
        <w:tc>
          <w:tcPr>
            <w:tcW w:type="dxa" w:w="11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20" w:after="0"/>
              <w:ind w:left="0" w:right="49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6–7</w:t>
            </w:r>
          </w:p>
        </w:tc>
      </w:tr>
      <w:tr>
        <w:trPr>
          <w:trHeight w:hRule="exact" w:val="340"/>
        </w:trPr>
        <w:tc>
          <w:tcPr>
            <w:tcW w:type="dxa" w:w="20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0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Uzbekstat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0" w:after="0"/>
              <w:ind w:left="142" w:right="0" w:firstLine="0"/>
              <w:jc w:val="left"/>
            </w:pPr>
            <w:r>
              <w:rPr>
                <w:rFonts w:ascii="CMTT12" w:hAnsi="CMTT12" w:eastAsia="CMTT12"/>
                <w:b w:val="0"/>
                <w:i w:val="0"/>
                <w:color w:val="000000"/>
                <w:sz w:val="24"/>
              </w:rPr>
              <w:t>stat.uz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0" w:after="0"/>
              <w:ind w:left="11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2015–2024</w:t>
            </w:r>
          </w:p>
        </w:tc>
        <w:tc>
          <w:tcPr>
            <w:tcW w:type="dxa" w:w="11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0" w:after="0"/>
              <w:ind w:left="0" w:right="61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trHeight w:hRule="exact" w:val="340"/>
        </w:trPr>
        <w:tc>
          <w:tcPr>
            <w:tcW w:type="dxa" w:w="20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02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UNIDO INDSTAT</w:t>
            </w:r>
          </w:p>
        </w:tc>
        <w:tc>
          <w:tcPr>
            <w:tcW w:type="dxa" w:w="2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24" w:after="0"/>
              <w:ind w:left="142" w:right="0" w:firstLine="0"/>
              <w:jc w:val="left"/>
            </w:pPr>
            <w:r>
              <w:rPr>
                <w:rFonts w:ascii="CMTT12" w:hAnsi="CMTT12" w:eastAsia="CMTT12"/>
                <w:b w:val="0"/>
                <w:i w:val="0"/>
                <w:color w:val="000000"/>
                <w:sz w:val="24"/>
              </w:rPr>
              <w:t>stat.unido.org/</w:t>
            </w:r>
          </w:p>
        </w:tc>
        <w:tc>
          <w:tcPr>
            <w:tcW w:type="dxa" w:w="1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18" w:after="0"/>
              <w:ind w:left="11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2010–2021</w:t>
            </w:r>
          </w:p>
        </w:tc>
        <w:tc>
          <w:tcPr>
            <w:tcW w:type="dxa" w:w="11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02" w:after="0"/>
              <w:ind w:left="0" w:right="49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5, 9</w:t>
            </w:r>
          </w:p>
        </w:tc>
      </w:tr>
      <w:tr>
        <w:trPr>
          <w:trHeight w:hRule="exact" w:val="74"/>
        </w:trPr>
        <w:tc>
          <w:tcPr>
            <w:tcW w:type="dxa" w:w="2082"/>
            <w:vMerge w:val="restart"/>
            <w:tcBorders>
              <w:bottom w:sz="8.79999999999927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26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ADB Key Indicators</w:t>
            </w:r>
          </w:p>
        </w:tc>
        <w:tc>
          <w:tcPr>
            <w:tcW w:type="dxa" w:w="2494"/>
            <w:vMerge/>
            <w:tcBorders/>
          </w:tcPr>
          <w:p/>
        </w:tc>
        <w:tc>
          <w:tcPr>
            <w:tcW w:type="dxa" w:w="2494"/>
            <w:vMerge/>
            <w:tcBorders/>
          </w:tcPr>
          <w:p/>
        </w:tc>
        <w:tc>
          <w:tcPr>
            <w:tcW w:type="dxa" w:w="1158"/>
            <w:vMerge w:val="restart"/>
            <w:tcBorders>
              <w:bottom w:sz="8.79999999999927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2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10–11</w:t>
            </w:r>
          </w:p>
        </w:tc>
      </w:tr>
      <w:tr>
        <w:trPr>
          <w:trHeight w:hRule="exact" w:val="402"/>
        </w:trPr>
        <w:tc>
          <w:tcPr>
            <w:tcW w:type="dxa" w:w="2494"/>
            <w:vMerge/>
            <w:tcBorders>
              <w:bottom w:sz="8.799999999999272" w:val="single" w:color="#000000"/>
            </w:tcBorders>
          </w:tcPr>
          <w:p/>
        </w:tc>
        <w:tc>
          <w:tcPr>
            <w:tcW w:type="dxa" w:w="2820"/>
            <w:tcBorders>
              <w:bottom w:sz="8.79999999999927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142" w:right="0" w:firstLine="0"/>
              <w:jc w:val="left"/>
            </w:pPr>
            <w:r>
              <w:rPr>
                <w:rFonts w:ascii="CMTT12" w:hAnsi="CMTT12" w:eastAsia="CMTT12"/>
                <w:b w:val="0"/>
                <w:i w:val="0"/>
                <w:color w:val="000000"/>
                <w:sz w:val="24"/>
              </w:rPr>
              <w:t>kidb.adb.org/</w:t>
            </w:r>
          </w:p>
        </w:tc>
        <w:tc>
          <w:tcPr>
            <w:tcW w:type="dxa" w:w="1460"/>
            <w:tcBorders>
              <w:bottom w:sz="8.79999999999927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2" w:after="0"/>
              <w:ind w:left="11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2000–2023</w:t>
            </w:r>
          </w:p>
        </w:tc>
        <w:tc>
          <w:tcPr>
            <w:tcW w:type="dxa" w:w="2494"/>
            <w:vMerge/>
            <w:tcBorders>
              <w:bottom w:sz="8.799999999999272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424" w:lineRule="exact" w:before="360" w:after="0"/>
        <w:ind w:left="260" w:right="0" w:firstLine="422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 study draws on four principal data sources.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First, the World Bank World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Development Indicators (WDI) database (World Bank 2024) provides annual macroe-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conomic indicators for Uzbekistan and comparator countries, including manufac-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added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GDP,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inflows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GDP,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GDP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 capita, trade openness, and the Logistics Performance Index.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Data span 2010–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2026, with 2024–2026 supplemented by IMF WEO April 2025 projections where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WDI data are unavailable.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primary analytical window for historical analysis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 2010–2023.</w:t>
      </w:r>
    </w:p>
    <w:p>
      <w:pPr>
        <w:autoSpaceDN w:val="0"/>
        <w:autoSpaceDE w:val="0"/>
        <w:widowControl/>
        <w:spacing w:line="288" w:lineRule="exact" w:before="310" w:after="0"/>
        <w:ind w:left="0" w:right="4894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16</w:t>
      </w:r>
    </w:p>
    <w:p>
      <w:pPr>
        <w:sectPr>
          <w:pgSz w:w="11906" w:h="16838"/>
          <w:pgMar w:top="184" w:right="490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76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Second, the Observatory of Economic Complexity (OEC) BACI international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database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provides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bilateral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merchandise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flows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HS-2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section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level.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proxied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07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(plastics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rub-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bers),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15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(base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metals),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16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(machinery),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17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(transportation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equipment),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18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(instruments)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representing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capital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inputs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final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consumption.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Revealed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advantage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indices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computed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3213"/>
        <w:gridCol w:w="3213"/>
        <w:gridCol w:w="3213"/>
      </w:tblGrid>
      <w:tr>
        <w:trPr>
          <w:trHeight w:hRule="exact" w:val="1114"/>
        </w:trPr>
        <w:tc>
          <w:tcPr>
            <w:tcW w:type="dxa" w:w="3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140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Balassa (1965) formula:</w:t>
            </w:r>
          </w:p>
        </w:tc>
        <w:tc>
          <w:tcPr>
            <w:tcW w:type="dxa" w:w="4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540" w:val="left"/>
              </w:tabs>
              <w:autoSpaceDE w:val="0"/>
              <w:widowControl/>
              <w:spacing w:line="184" w:lineRule="exact" w:before="686" w:after="0"/>
              <w:ind w:left="460" w:right="1584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RCA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ik</w:t>
            </w: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 xml:space="preserve"> =</w:t>
            </w: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ik</w:t>
            </w:r>
            <w:r>
              <w:rPr>
                <w:w w:val="98.93931027116447"/>
                <w:rFonts w:ascii="CMMI10" w:hAnsi="CMMI10" w:eastAsia="CMMI10"/>
                <w:b w:val="0"/>
                <w:i/>
                <w:color w:val="000000"/>
                <w:sz w:val="29"/>
              </w:rPr>
              <w:t>/</w:t>
            </w: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 xml:space="preserve">i </w:t>
            </w:r>
            <w:r>
              <w:br/>
            </w:r>
            <w:r>
              <w:tab/>
            </w: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wk</w:t>
            </w:r>
            <w:r>
              <w:rPr>
                <w:w w:val="98.93931027116447"/>
                <w:rFonts w:ascii="CMMI10" w:hAnsi="CMMI10" w:eastAsia="CMMI10"/>
                <w:b w:val="0"/>
                <w:i/>
                <w:color w:val="000000"/>
                <w:sz w:val="29"/>
              </w:rPr>
              <w:t>/</w:t>
            </w: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w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38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(1)</w:t>
            </w:r>
          </w:p>
        </w:tc>
      </w:tr>
    </w:tbl>
    <w:p>
      <w:pPr>
        <w:autoSpaceDN w:val="0"/>
        <w:autoSpaceDE w:val="0"/>
        <w:widowControl/>
        <w:spacing w:line="396" w:lineRule="exact" w:before="0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where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RCA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exceeding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indicates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advantage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(Balassa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1965).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Third, the Economic Complexity Index is sourced from the OEC, which com-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putes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annual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scores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method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reflections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algorithm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Hidalgo &amp;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Hausmann (2009). Fourth, FDI origin data are sourced from the National Statistics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Committee of the Republic of Uzbekistan’s 2024 report on foreign investment.</w:t>
      </w:r>
    </w:p>
    <w:p>
      <w:pPr>
        <w:autoSpaceDN w:val="0"/>
        <w:tabs>
          <w:tab w:pos="1036" w:val="left"/>
        </w:tabs>
        <w:autoSpaceDE w:val="0"/>
        <w:widowControl/>
        <w:spacing w:line="346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3.5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Empirical Models</w:t>
      </w:r>
    </w:p>
    <w:p>
      <w:pPr>
        <w:autoSpaceDN w:val="0"/>
        <w:tabs>
          <w:tab w:pos="1122" w:val="left"/>
        </w:tabs>
        <w:autoSpaceDE w:val="0"/>
        <w:widowControl/>
        <w:spacing w:line="286" w:lineRule="exact" w:before="374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3.5.1 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Structural Break Analysis</w:t>
      </w:r>
    </w:p>
    <w:p>
      <w:pPr>
        <w:autoSpaceDN w:val="0"/>
        <w:autoSpaceDE w:val="0"/>
        <w:widowControl/>
        <w:spacing w:line="424" w:lineRule="exact" w:before="196" w:after="416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 formally test whether the 2017 reform package constituted a statistically signif-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icant structural break in Uzbekistan’s manufacturing trajectory,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Chow (1960)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test is applied to the linear trend specification: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60.0" w:type="dxa"/>
      </w:tblPr>
      <w:tblGrid>
        <w:gridCol w:w="3213"/>
        <w:gridCol w:w="3213"/>
        <w:gridCol w:w="3213"/>
      </w:tblGrid>
      <w:tr>
        <w:trPr>
          <w:trHeight w:hRule="exact" w:val="454"/>
        </w:trPr>
        <w:tc>
          <w:tcPr>
            <w:tcW w:type="dxa" w:w="4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60" w:after="0"/>
              <w:ind w:left="97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M fgVA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t</w:t>
            </w: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=</w:t>
            </w:r>
            <w:r>
              <w:rPr>
                <w:w w:val="98.93931027116447"/>
                <w:rFonts w:ascii="StandardSymL" w:hAnsi="StandardSymL" w:eastAsia="StandardSymL"/>
                <w:b w:val="0"/>
                <w:i/>
                <w:color w:val="000000"/>
                <w:sz w:val="29"/>
              </w:rPr>
              <w:t xml:space="preserve"> α</w:t>
            </w: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 xml:space="preserve"> +</w:t>
            </w:r>
            <w:r>
              <w:rPr>
                <w:w w:val="98.93931027116447"/>
                <w:rFonts w:ascii="StandardSymL" w:hAnsi="StandardSymL" w:eastAsia="StandardSymL"/>
                <w:b w:val="0"/>
                <w:i/>
                <w:color w:val="000000"/>
                <w:sz w:val="29"/>
              </w:rPr>
              <w:t>β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Trend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t</w:t>
            </w: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 xml:space="preserve"> +</w:t>
            </w:r>
            <w:r>
              <w:rPr>
                <w:w w:val="98.93931027116447"/>
                <w:rFonts w:ascii="StandardSymL" w:hAnsi="StandardSymL" w:eastAsia="StandardSymL"/>
                <w:b w:val="0"/>
                <w:i/>
                <w:color w:val="000000"/>
                <w:sz w:val="29"/>
              </w:rPr>
              <w:t>ε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t</w:t>
            </w:r>
            <w:r>
              <w:rPr>
                <w:w w:val="98.93931027116447"/>
                <w:rFonts w:ascii="CMMI10" w:hAnsi="CMMI10" w:eastAsia="CMMI10"/>
                <w:b w:val="0"/>
                <w:i/>
                <w:color w:val="000000"/>
                <w:sz w:val="29"/>
              </w:rPr>
              <w:t>,</w:t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4" w:after="0"/>
              <w:ind w:left="170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t</w:t>
            </w: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 xml:space="preserve"> =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 2010</w:t>
            </w:r>
            <w:r>
              <w:rPr>
                <w:w w:val="98.93931027116447"/>
                <w:rFonts w:ascii="CMMI10" w:hAnsi="CMMI10" w:eastAsia="CMMI10"/>
                <w:b w:val="0"/>
                <w:i/>
                <w:color w:val="000000"/>
                <w:sz w:val="29"/>
              </w:rPr>
              <w:t>,...,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2023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(2)</w:t>
            </w:r>
          </w:p>
        </w:tc>
      </w:tr>
    </w:tbl>
    <w:p>
      <w:pPr>
        <w:autoSpaceDN w:val="0"/>
        <w:autoSpaceDE w:val="0"/>
        <w:widowControl/>
        <w:spacing w:line="400" w:lineRule="exact" w:before="298" w:after="76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where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M fgVA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 manufacturing value added as a share of GDP in year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test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decomposes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equation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sub-period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regressions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t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>&lt;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2017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t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3213"/>
        <w:gridCol w:w="3213"/>
        <w:gridCol w:w="3213"/>
      </w:tblGrid>
      <w:tr>
        <w:trPr>
          <w:trHeight w:hRule="exact" w:val="1050"/>
        </w:trPr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140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The F-statistic:</w:t>
            </w:r>
          </w:p>
        </w:tc>
        <w:tc>
          <w:tcPr>
            <w:tcW w:type="dxa" w:w="4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548" w:val="left"/>
              </w:tabs>
              <w:autoSpaceDE w:val="0"/>
              <w:widowControl/>
              <w:spacing w:line="224" w:lineRule="exact" w:before="542" w:after="0"/>
              <w:ind w:left="814" w:right="144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F</w:t>
            </w: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=</w:t>
            </w: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RSS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R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−</w:t>
            </w: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RSS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U</w:t>
            </w: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CMMI10" w:hAnsi="CMMI10" w:eastAsia="CMMI10"/>
                <w:b w:val="0"/>
                <w:i/>
                <w:color w:val="000000"/>
                <w:sz w:val="29"/>
              </w:rPr>
              <w:t>/</w:t>
            </w: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 xml:space="preserve">k </w:t>
            </w: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RSS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U</w:t>
            </w:r>
            <w:r>
              <w:rPr>
                <w:w w:val="98.93931027116447"/>
                <w:rFonts w:ascii="CMMI10" w:hAnsi="CMMI10" w:eastAsia="CMMI10"/>
                <w:b w:val="0"/>
                <w:i/>
                <w:color w:val="000000"/>
                <w:sz w:val="29"/>
              </w:rPr>
              <w:t>/</w:t>
            </w: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n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−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</w:t>
            </w: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k</w:t>
            </w: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)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84" w:after="0"/>
              <w:ind w:left="0" w:right="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(3)</w:t>
            </w:r>
          </w:p>
        </w:tc>
      </w:tr>
    </w:tbl>
    <w:p>
      <w:pPr>
        <w:autoSpaceDN w:val="0"/>
        <w:autoSpaceDE w:val="0"/>
        <w:widowControl/>
        <w:spacing w:line="412" w:lineRule="exact" w:before="0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where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RSS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is the residual sum of squares from the restricted pooled regression, 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RSS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U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>=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RSS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pre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+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RSS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post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k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>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2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parameters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tested.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rejection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null hypothesis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H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0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: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 xml:space="preserve"> α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pre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=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 xml:space="preserve"> α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post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>,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pre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=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 xml:space="preserve"> β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post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constitutes evidence that the 2017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reforms generated a structurally distinct growth regime for manufacturing.</w:t>
      </w:r>
    </w:p>
    <w:p>
      <w:pPr>
        <w:autoSpaceDN w:val="0"/>
        <w:autoSpaceDE w:val="0"/>
        <w:widowControl/>
        <w:spacing w:line="288" w:lineRule="exact" w:before="958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17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850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513"/>
        <w:gridCol w:w="4513"/>
      </w:tblGrid>
      <w:tr>
        <w:trPr>
          <w:trHeight w:hRule="exact" w:val="916"/>
        </w:trPr>
        <w:tc>
          <w:tcPr>
            <w:tcW w:type="dxa" w:w="7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66" w:after="0"/>
              <w:ind w:left="4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3.5.2</w:t>
            </w:r>
          </w:p>
        </w:tc>
        <w:tc>
          <w:tcPr>
            <w:tcW w:type="dxa" w:w="86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66" w:after="0"/>
              <w:ind w:left="16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OLS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Regression: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Manufacturing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Value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Added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and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Economic</w:t>
            </w:r>
            <w:r>
              <w:rPr>
                <w:w w:val="98.93931027116447"/>
                <w:rFonts w:ascii="NimbusRomNo9L" w:hAnsi="NimbusRomNo9L" w:eastAsia="NimbusRomNo9L"/>
                <w:b/>
                <w:i w:val="0"/>
                <w:color w:val="000000"/>
                <w:sz w:val="29"/>
              </w:rPr>
              <w:t>Com-</w:t>
            </w:r>
          </w:p>
        </w:tc>
      </w:tr>
    </w:tbl>
    <w:p>
      <w:pPr>
        <w:autoSpaceDN w:val="0"/>
        <w:autoSpaceDE w:val="0"/>
        <w:widowControl/>
        <w:spacing w:line="286" w:lineRule="exact" w:before="74" w:after="0"/>
        <w:ind w:left="1122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plexity</w:t>
      </w:r>
    </w:p>
    <w:p>
      <w:pPr>
        <w:autoSpaceDN w:val="0"/>
        <w:autoSpaceDE w:val="0"/>
        <w:widowControl/>
        <w:spacing w:line="424" w:lineRule="exact" w:before="196" w:after="0"/>
        <w:ind w:left="260" w:right="72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estimate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association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between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Northeast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engagement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 upgrading, the following OLS specifications are estimated:</w:t>
      </w:r>
    </w:p>
    <w:p>
      <w:pPr>
        <w:autoSpaceDN w:val="0"/>
        <w:tabs>
          <w:tab w:pos="682" w:val="left"/>
          <w:tab w:pos="9280" w:val="left"/>
        </w:tabs>
        <w:autoSpaceDE w:val="0"/>
        <w:widowControl/>
        <w:spacing w:line="414" w:lineRule="exact" w:before="394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M fgVA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t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=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 xml:space="preserve"> α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0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>+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·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FDI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>+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·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IntermShare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t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+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3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·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TradeOpen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t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+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4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·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Post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2017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t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+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5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·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Tr </w:t>
      </w:r>
      <w:r>
        <w:tab/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(4)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second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specification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tests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delayed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capital-stock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effects,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accounting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for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between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commitments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productive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capacity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line:</w:t>
      </w:r>
    </w:p>
    <w:p>
      <w:pPr>
        <w:autoSpaceDN w:val="0"/>
        <w:tabs>
          <w:tab w:pos="682" w:val="left"/>
          <w:tab w:pos="9280" w:val="left"/>
        </w:tabs>
        <w:autoSpaceDE w:val="0"/>
        <w:widowControl/>
        <w:spacing w:line="404" w:lineRule="exact" w:before="402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M fgVA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t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=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 xml:space="preserve"> α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0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>+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·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FDI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t</w:t>
      </w:r>
      <w:r>
        <w:rPr>
          <w:rFonts w:ascii="CMSY10" w:hAnsi="CMSY10" w:eastAsia="CMSY10"/>
          <w:b w:val="0"/>
          <w:i/>
          <w:color w:val="000000"/>
          <w:sz w:val="22"/>
        </w:rPr>
        <w:t>−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>+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·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IntermShare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t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+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3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·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TradeOpen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t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+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4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·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Post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2017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t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+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5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·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Tr </w:t>
      </w:r>
      <w:r>
        <w:tab/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(5)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 economic complexity, the specification is:</w:t>
      </w:r>
    </w:p>
    <w:p>
      <w:pPr>
        <w:autoSpaceDN w:val="0"/>
        <w:autoSpaceDE w:val="0"/>
        <w:widowControl/>
        <w:spacing w:line="334" w:lineRule="exact" w:before="474" w:after="0"/>
        <w:ind w:left="404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ECI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t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=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 xml:space="preserve"> α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0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>+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·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M fgVA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t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+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·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TradeOpen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t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+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3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·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Post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2017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t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+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4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·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Trend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t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+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ε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(6)</w:t>
      </w:r>
    </w:p>
    <w:p>
      <w:pPr>
        <w:autoSpaceDN w:val="0"/>
        <w:autoSpaceDE w:val="0"/>
        <w:widowControl/>
        <w:spacing w:line="424" w:lineRule="exact" w:before="312" w:after="0"/>
        <w:ind w:left="260" w:right="850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All regressions use HC3 heteroskedasticity-consistent standard errors (MacK-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innon &amp; White 1985).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Given the short annual time series (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N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14), these models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 underpowered for precise coefficient estimation and are interpreted as descrip-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tive associations rather than causal estimates.</w:t>
      </w:r>
    </w:p>
    <w:p>
      <w:pPr>
        <w:autoSpaceDN w:val="0"/>
        <w:tabs>
          <w:tab w:pos="1122" w:val="left"/>
        </w:tabs>
        <w:autoSpaceDE w:val="0"/>
        <w:widowControl/>
        <w:spacing w:line="288" w:lineRule="exact" w:before="554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3.5.3 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Scenario Forecasting</w:t>
      </w:r>
    </w:p>
    <w:p>
      <w:pPr>
        <w:autoSpaceDN w:val="0"/>
        <w:autoSpaceDE w:val="0"/>
        <w:widowControl/>
        <w:spacing w:line="424" w:lineRule="exact" w:before="194" w:after="340"/>
        <w:ind w:left="260" w:right="850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Three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scenarios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constructed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added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through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2030.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Scenario A (Status Quo) extrapolates the post-2017 linear trend with a 95%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prediction interval: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0.0" w:type="dxa"/>
      </w:tblPr>
      <w:tblGrid>
        <w:gridCol w:w="3009"/>
        <w:gridCol w:w="3009"/>
        <w:gridCol w:w="3009"/>
      </w:tblGrid>
      <w:tr>
        <w:trPr>
          <w:trHeight w:hRule="exact" w:val="622"/>
        </w:trPr>
        <w:tc>
          <w:tcPr>
            <w:tcW w:type="dxa" w:w="4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82" w:lineRule="exact" w:before="0" w:after="0"/>
              <w:ind w:left="91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M fgVA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t</w:t>
            </w: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=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ˆ</w:t>
            </w:r>
            <w:r>
              <w:rPr>
                <w:w w:val="98.93931027116447"/>
                <w:rFonts w:ascii="StandardSymL" w:hAnsi="StandardSymL" w:eastAsia="StandardSymL"/>
                <w:b w:val="0"/>
                <w:i/>
                <w:color w:val="000000"/>
                <w:sz w:val="29"/>
              </w:rPr>
              <w:t>α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post</w:t>
            </w: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 xml:space="preserve"> +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ˆ</w:t>
            </w:r>
            <w:r>
              <w:rPr>
                <w:w w:val="98.93931027116447"/>
                <w:rFonts w:ascii="StandardSymL" w:hAnsi="StandardSymL" w:eastAsia="StandardSymL"/>
                <w:b w:val="0"/>
                <w:i/>
                <w:color w:val="000000"/>
                <w:sz w:val="29"/>
              </w:rPr>
              <w:t>β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post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Trend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t</w:t>
            </w:r>
            <w:r>
              <w:rPr>
                <w:w w:val="98.93931027116447"/>
                <w:rFonts w:ascii="CMMI10" w:hAnsi="CMMI10" w:eastAsia="CMMI10"/>
                <w:b w:val="0"/>
                <w:i/>
                <w:color w:val="000000"/>
                <w:sz w:val="29"/>
              </w:rPr>
              <w:t xml:space="preserve">, </w:t>
            </w: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d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138" w:after="0"/>
              <w:ind w:left="16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t</w:t>
            </w: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 xml:space="preserve"> =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 2024</w:t>
            </w:r>
            <w:r>
              <w:rPr>
                <w:w w:val="98.93931027116447"/>
                <w:rFonts w:ascii="CMMI10" w:hAnsi="CMMI10" w:eastAsia="CMMI10"/>
                <w:b w:val="0"/>
                <w:i/>
                <w:color w:val="000000"/>
                <w:sz w:val="29"/>
              </w:rPr>
              <w:t>,...,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2030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44" w:after="0"/>
              <w:ind w:left="0" w:right="42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(7)</w:t>
            </w:r>
          </w:p>
        </w:tc>
      </w:tr>
    </w:tbl>
    <w:p>
      <w:pPr>
        <w:autoSpaceDN w:val="0"/>
        <w:autoSpaceDE w:val="0"/>
        <w:widowControl/>
        <w:spacing w:line="440" w:lineRule="exact" w:before="142" w:after="238"/>
        <w:ind w:left="260" w:right="850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Scenario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(Accelerated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Embedding)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departs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(7)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annual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increment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calibrated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coefficient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interm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2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>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34) estimated from the OLS regression: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40.0" w:type="dxa"/>
      </w:tblPr>
      <w:tblGrid>
        <w:gridCol w:w="3009"/>
        <w:gridCol w:w="3009"/>
        <w:gridCol w:w="3009"/>
      </w:tblGrid>
      <w:tr>
        <w:trPr>
          <w:trHeight w:hRule="exact" w:val="688"/>
        </w:trPr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8" w:val="left"/>
                <w:tab w:pos="1488" w:val="left"/>
                <w:tab w:pos="1492" w:val="left"/>
              </w:tabs>
              <w:autoSpaceDE w:val="0"/>
              <w:widowControl/>
              <w:spacing w:line="314" w:lineRule="exact" w:before="0" w:after="0"/>
              <w:ind w:left="578" w:right="0" w:firstLine="0"/>
              <w:jc w:val="left"/>
            </w:pPr>
            <w:r>
              <w:tab/>
            </w:r>
            <w:r>
              <w:tab/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 xml:space="preserve">B </w:t>
            </w:r>
            <w:r>
              <w:br/>
            </w: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 xml:space="preserve">M fgVA </w:t>
            </w: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d </w:t>
            </w:r>
            <w:r>
              <w:tab/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t</w:t>
            </w: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=</w:t>
            </w:r>
          </w:p>
        </w:tc>
        <w:tc>
          <w:tcPr>
            <w:tcW w:type="dxa" w:w="6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96" w:val="left"/>
                <w:tab w:pos="3826" w:val="left"/>
              </w:tabs>
              <w:autoSpaceDE w:val="0"/>
              <w:widowControl/>
              <w:spacing w:line="490" w:lineRule="exact" w:before="72" w:after="0"/>
              <w:ind w:left="46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M fgVA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t</w:t>
            </w: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 xml:space="preserve"> +</w:t>
            </w:r>
            <w:r>
              <w:rPr>
                <w:w w:val="98.93931027116447"/>
                <w:rFonts w:ascii="StandardSymL" w:hAnsi="StandardSymL" w:eastAsia="StandardSymL"/>
                <w:b w:val="0"/>
                <w:i/>
                <w:color w:val="000000"/>
                <w:sz w:val="29"/>
              </w:rPr>
              <w:t>β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interm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</w:t>
            </w: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IntermShare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∗</w:t>
            </w: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d </w:t>
            </w:r>
            <w:r>
              <w:tab/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t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−</w:t>
            </w: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IntermShare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2023</w:t>
            </w:r>
            <w:r>
              <w:rPr>
                <w:w w:val="98.93931027116447"/>
                <w:rFonts w:ascii="CMR10" w:hAnsi="CMR10" w:eastAsia="CMR10"/>
                <w:b w:val="0"/>
                <w:i w:val="0"/>
                <w:color w:val="000000"/>
                <w:sz w:val="29"/>
              </w:rPr>
              <w:t>)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12" w:after="0"/>
              <w:ind w:left="0" w:right="424" w:firstLine="0"/>
              <w:jc w:val="righ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(8)</w:t>
            </w:r>
          </w:p>
        </w:tc>
      </w:tr>
    </w:tbl>
    <w:p>
      <w:pPr>
        <w:autoSpaceDN w:val="0"/>
        <w:autoSpaceDE w:val="0"/>
        <w:widowControl/>
        <w:spacing w:line="288" w:lineRule="exact" w:before="562" w:after="0"/>
        <w:ind w:left="0" w:right="5384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18</w:t>
      </w:r>
    </w:p>
    <w:p>
      <w:pPr>
        <w:sectPr>
          <w:pgSz w:w="11906" w:h="16838"/>
          <w:pgMar w:top="184" w:right="0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17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9790"/>
      </w:tblGrid>
      <w:tr>
        <w:trPr>
          <w:trHeight w:hRule="exact" w:val="936"/>
        </w:trPr>
        <w:tc>
          <w:tcPr>
            <w:tcW w:type="dxa" w:w="93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44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where</w:t>
            </w: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 xml:space="preserve"> IntermShare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∗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t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is the target trajectory implied by reaching Vietnam’s equiv-</w:t>
            </w:r>
          </w:p>
        </w:tc>
      </w:tr>
    </w:tbl>
    <w:p>
      <w:pPr>
        <w:autoSpaceDN w:val="0"/>
        <w:autoSpaceDE w:val="0"/>
        <w:widowControl/>
        <w:spacing w:line="288" w:lineRule="exact" w:before="3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alent intermediate goods share.</w:t>
      </w:r>
    </w:p>
    <w:p>
      <w:pPr>
        <w:autoSpaceDN w:val="0"/>
        <w:autoSpaceDE w:val="0"/>
        <w:widowControl/>
        <w:spacing w:line="424" w:lineRule="exact" w:before="0" w:after="0"/>
        <w:ind w:left="260" w:right="0" w:firstLine="422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Scenario C (Vietnam Trajectory) applies Vietnam’s observed annual percentage-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point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change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(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ˆ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VNM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post-reform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stage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(years 1–8 after Doi Moi deepening).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3.6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Scope, Limitations, and Robustness</w:t>
      </w:r>
    </w:p>
    <w:p>
      <w:pPr>
        <w:autoSpaceDN w:val="0"/>
        <w:autoSpaceDE w:val="0"/>
        <w:widowControl/>
        <w:spacing w:line="424" w:lineRule="exact" w:before="182" w:after="0"/>
        <w:ind w:left="260" w:right="17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dissertation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faces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three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principal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limitations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should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acknowledged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outset.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First,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primary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series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spans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2010–2023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N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>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14),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constraining statistical power in OLS models.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Chow test requires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minimum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four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observations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sub-period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F-statistics,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marginally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satisfied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leaves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limited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degrees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freedom.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Robustness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checks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using alternative breakpoints (2016, 2018) are reported in the Appendix.</w:t>
      </w:r>
    </w:p>
    <w:p>
      <w:pPr>
        <w:autoSpaceDN w:val="0"/>
        <w:autoSpaceDE w:val="0"/>
        <w:widowControl/>
        <w:spacing w:line="424" w:lineRule="exact" w:before="0" w:after="0"/>
        <w:ind w:left="260" w:right="17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Second,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data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reported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mirror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statistics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OEC/BACI,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known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contain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measurement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error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misclassification,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informal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flows.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large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informal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partially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recorded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“arts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antiques”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official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statistics,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affects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RCA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calcula-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tions for this sector.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All RCA values for HS section 14 should be interpreted with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 caveat.</w:t>
      </w:r>
    </w:p>
    <w:p>
      <w:pPr>
        <w:autoSpaceDN w:val="0"/>
        <w:autoSpaceDE w:val="0"/>
        <w:widowControl/>
        <w:spacing w:line="424" w:lineRule="exact" w:before="0" w:after="0"/>
        <w:ind w:left="260" w:right="17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Third,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normalises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trajectories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common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“year zero,” abstracting from differences in initial conditions (coastal access, pop-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ulation size, institutional heritage) that may independently explain divergent out-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comparative benchmarking is therefore illustrative rather than causal.</w:t>
      </w:r>
    </w:p>
    <w:p>
      <w:pPr>
        <w:autoSpaceDN w:val="0"/>
        <w:autoSpaceDE w:val="0"/>
        <w:widowControl/>
        <w:spacing w:line="424" w:lineRule="exact" w:before="0" w:after="0"/>
        <w:ind w:left="260" w:right="17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Despite these limitations, the combination of structural break testing, bilateral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decomposition,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benchmarking,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institutional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vides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methodologically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coherent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conclusions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advanced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Section 10.1.</w:t>
      </w:r>
    </w:p>
    <w:p>
      <w:pPr>
        <w:autoSpaceDN w:val="0"/>
        <w:autoSpaceDE w:val="0"/>
        <w:widowControl/>
        <w:spacing w:line="288" w:lineRule="exact" w:before="3278" w:after="0"/>
        <w:ind w:left="0" w:right="470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19</w:t>
      </w:r>
    </w:p>
    <w:p>
      <w:pPr>
        <w:sectPr>
          <w:pgSz w:w="11906" w:h="16838"/>
          <w:pgMar w:top="184" w:right="67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958"/>
        </w:trPr>
        <w:tc>
          <w:tcPr>
            <w:tcW w:type="dxa" w:w="5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72" w:lineRule="exact" w:before="150" w:after="0"/>
              <w:ind w:left="4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 xml:space="preserve">4 </w:t>
            </w:r>
            <w:r>
              <w:br/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4.1</w:t>
            </w:r>
          </w:p>
        </w:tc>
        <w:tc>
          <w:tcPr>
            <w:tcW w:type="dxa" w:w="884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6" w:val="left"/>
              </w:tabs>
              <w:autoSpaceDE w:val="0"/>
              <w:widowControl/>
              <w:spacing w:line="872" w:lineRule="exact" w:before="150" w:after="0"/>
              <w:ind w:left="100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 xml:space="preserve">Analysis and Results </w:t>
            </w:r>
            <w:r>
              <w:br/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Structural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Break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Analysis: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The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2017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Reform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as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a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Manu-</w:t>
            </w:r>
          </w:p>
        </w:tc>
      </w:tr>
    </w:tbl>
    <w:p>
      <w:pPr>
        <w:autoSpaceDN w:val="0"/>
        <w:autoSpaceDE w:val="0"/>
        <w:widowControl/>
        <w:spacing w:line="344" w:lineRule="exact" w:before="138" w:after="0"/>
        <w:ind w:left="1036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facturing Turning Point</w:t>
      </w:r>
    </w:p>
    <w:p>
      <w:pPr>
        <w:autoSpaceDN w:val="0"/>
        <w:autoSpaceDE w:val="0"/>
        <w:widowControl/>
        <w:spacing w:line="424" w:lineRule="exact" w:before="184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Figure 1 presents Uzbekistan’s manufacturing value added as a share of GDP from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2010 to 2023, with separate linear trend fits for the pre- and post-2017 periods 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95% confidence bands.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visual evidence is striking: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slope of the manufac-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turing trend steepens markedly after 2017, shifting from gradual expansion during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Karimov-era controlled economy to accelerated growth under the Mirziyoyev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liberalisation programme.</w:t>
      </w:r>
    </w:p>
    <w:p>
      <w:pPr>
        <w:autoSpaceDN w:val="0"/>
        <w:autoSpaceDE w:val="0"/>
        <w:widowControl/>
        <w:spacing w:line="240" w:lineRule="auto" w:before="312" w:after="0"/>
        <w:ind w:left="9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49520" cy="3155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9520" cy="315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8" w:lineRule="exact" w:before="16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Figure 1: Manufacturing Value Added in Uzbekistan: Structural Break at the 2017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 Breakpoint.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dashed vertical line marks 2017.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Shaded bands represent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95%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confidence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intervals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post-reform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linear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trends.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World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Bank WDI.</w:t>
      </w:r>
    </w:p>
    <w:p>
      <w:pPr>
        <w:autoSpaceDN w:val="0"/>
        <w:autoSpaceDE w:val="0"/>
        <w:widowControl/>
        <w:spacing w:line="424" w:lineRule="exact" w:before="40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confirms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visual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impression.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F-statistic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6.937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=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0.013) decisively rejects the null hypothesis of parameter stability at the 5% sig-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nificance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level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(Table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constitutes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robust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evidence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2017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marked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structural break in the manufacturing growth regime — not merely a cyclical fluc-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tuation.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pre-2017 period is characterised by modest, state-managed industrial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growth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averaging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approximately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0.4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percentage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points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year.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post-2017</w:t>
      </w:r>
    </w:p>
    <w:p>
      <w:pPr>
        <w:autoSpaceDN w:val="0"/>
        <w:autoSpaceDE w:val="0"/>
        <w:widowControl/>
        <w:spacing w:line="288" w:lineRule="exact" w:before="532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period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exhibits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steeper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trajectory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approaching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1.2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percentage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points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annually,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consistent with the opening of the economy to foreign capital and the removal of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currency convertibility restrictions that had previously made Uzbekistan unattrac-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tive to export-oriented investors.</w:t>
      </w:r>
    </w:p>
    <w:p>
      <w:pPr>
        <w:autoSpaceDN w:val="0"/>
        <w:autoSpaceDE w:val="0"/>
        <w:widowControl/>
        <w:spacing w:line="340" w:lineRule="exact" w:before="278" w:after="23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Break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Results,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GDP),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56.0" w:type="dxa"/>
      </w:tblPr>
      <w:tblGrid>
        <w:gridCol w:w="2410"/>
        <w:gridCol w:w="2410"/>
        <w:gridCol w:w="2410"/>
        <w:gridCol w:w="2410"/>
      </w:tblGrid>
      <w:tr>
        <w:trPr>
          <w:trHeight w:hRule="exact" w:val="576"/>
        </w:trPr>
        <w:tc>
          <w:tcPr>
            <w:tcW w:type="dxa" w:w="1384"/>
            <w:tcBorders>
              <w:top w:sz="9.59999999999990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2" w:after="0"/>
              <w:ind w:left="11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Test</w:t>
            </w:r>
          </w:p>
        </w:tc>
        <w:tc>
          <w:tcPr>
            <w:tcW w:type="dxa" w:w="1500"/>
            <w:tcBorders>
              <w:top w:sz="9.59999999999990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Breakpoint</w:t>
            </w:r>
          </w:p>
        </w:tc>
        <w:tc>
          <w:tcPr>
            <w:tcW w:type="dxa" w:w="1380"/>
            <w:tcBorders>
              <w:top w:sz="9.59999999999990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F-statistic</w:t>
            </w:r>
          </w:p>
        </w:tc>
        <w:tc>
          <w:tcPr>
            <w:tcW w:type="dxa" w:w="1100"/>
            <w:tcBorders>
              <w:top w:sz="9.59999999999990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2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p-value</w:t>
            </w:r>
          </w:p>
        </w:tc>
      </w:tr>
      <w:tr>
        <w:trPr>
          <w:trHeight w:hRule="exact" w:val="580"/>
        </w:trPr>
        <w:tc>
          <w:tcPr>
            <w:tcW w:type="dxa" w:w="1384"/>
            <w:tcBorders>
              <w:top w:sz="5.736000061035156" w:val="single" w:color="#000000"/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6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Chow test</w:t>
            </w:r>
          </w:p>
        </w:tc>
        <w:tc>
          <w:tcPr>
            <w:tcW w:type="dxa" w:w="1500"/>
            <w:tcBorders>
              <w:top w:sz="5.736000061035156" w:val="single" w:color="#000000"/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6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2017</w:t>
            </w:r>
          </w:p>
        </w:tc>
        <w:tc>
          <w:tcPr>
            <w:tcW w:type="dxa" w:w="1380"/>
            <w:tcBorders>
              <w:top w:sz="5.736000061035156" w:val="single" w:color="#000000"/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6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6.937</w:t>
            </w:r>
          </w:p>
        </w:tc>
        <w:tc>
          <w:tcPr>
            <w:tcW w:type="dxa" w:w="1100"/>
            <w:tcBorders>
              <w:top w:sz="5.736000061035156" w:val="single" w:color="#000000"/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64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0.013</w:t>
            </w:r>
          </w:p>
        </w:tc>
      </w:tr>
    </w:tbl>
    <w:p>
      <w:pPr>
        <w:autoSpaceDN w:val="0"/>
        <w:autoSpaceDE w:val="0"/>
        <w:widowControl/>
        <w:spacing w:line="240" w:lineRule="exact" w:before="0" w:after="0"/>
        <w:ind w:left="0" w:right="2188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Source: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Author calculations.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World Bank WDI data.</w:t>
      </w:r>
    </w:p>
    <w:p>
      <w:pPr>
        <w:autoSpaceDN w:val="0"/>
        <w:autoSpaceDE w:val="0"/>
        <w:widowControl/>
        <w:spacing w:line="424" w:lineRule="exact" w:before="312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 is important to note what the Chow test does not establish.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It demonstrates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 a structural break occurred,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 that the Mirziyoyev reforms caused it.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founding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factors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including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global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commodity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cycle,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Russia’s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post-2014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difficulties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reducing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remittance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inflows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prompting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labour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market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restructuring in Uzbekistan, and the broader rise of Central Asia as a geopolitical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pivot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after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withdrawal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Afghanistan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coincided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2017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period.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regression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8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attempts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partial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some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 these confounds.</w:t>
      </w:r>
    </w:p>
    <w:p>
      <w:pPr>
        <w:autoSpaceDN w:val="0"/>
        <w:tabs>
          <w:tab w:pos="1036" w:val="left"/>
        </w:tabs>
        <w:autoSpaceDE w:val="0"/>
        <w:widowControl/>
        <w:spacing w:line="346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4.2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Revealed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Comparative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Advantage: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Export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Sophistication</w:t>
      </w:r>
    </w:p>
    <w:p>
      <w:pPr>
        <w:autoSpaceDN w:val="0"/>
        <w:autoSpaceDE w:val="0"/>
        <w:widowControl/>
        <w:spacing w:line="344" w:lineRule="exact" w:before="202" w:after="0"/>
        <w:ind w:left="1036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and Its Limits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398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4.3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Overall RCA Structure</w:t>
      </w:r>
    </w:p>
    <w:p>
      <w:pPr>
        <w:autoSpaceDN w:val="0"/>
        <w:autoSpaceDE w:val="0"/>
        <w:widowControl/>
        <w:spacing w:line="424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presents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RCA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index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selected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years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between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2015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2023.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dominant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picture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persistent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parative advantage in primary and semi-processed commodities.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Precious metals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consistently exhibit the highest RCA values (indices of 20+), reflecting the domi-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nant role of gold — Uzbekistan is among the top ten gold producers globally.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Arts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antiques,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mineral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products,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chemical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products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(primarily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fertilisers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derived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 natural gas),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base metals also show sustained RCA values comfortably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above 1.</w:t>
      </w:r>
    </w:p>
    <w:p>
      <w:pPr>
        <w:autoSpaceDN w:val="0"/>
        <w:autoSpaceDE w:val="0"/>
        <w:widowControl/>
        <w:spacing w:line="288" w:lineRule="exact" w:before="1186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21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240" w:lineRule="auto" w:before="524" w:after="0"/>
        <w:ind w:left="72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346700" cy="37426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700" cy="3742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8" w:lineRule="exact" w:before="166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Revealed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Advantage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Heatmap,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Export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Sections by RCA Index, Selected Years 2015–2023.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Darker blue indicates higher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RCA. 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Author calculations based on OEC/BACI export data.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736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4.4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Manufacturing-Sector RCA Dynamics</w:t>
      </w:r>
    </w:p>
    <w:p>
      <w:pPr>
        <w:autoSpaceDN w:val="0"/>
        <w:autoSpaceDE w:val="0"/>
        <w:widowControl/>
        <w:spacing w:line="286" w:lineRule="exact" w:before="320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disaggregates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RCA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trends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manufacturing-adjacent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sectors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relevant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potential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instruments,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machines,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metals,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tex-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tiles, and transportation equipment.</w:t>
      </w:r>
    </w:p>
    <w:p>
      <w:pPr>
        <w:autoSpaceDN w:val="0"/>
        <w:autoSpaceDE w:val="0"/>
        <w:widowControl/>
        <w:spacing w:line="288" w:lineRule="exact" w:before="5340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22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240" w:lineRule="auto" w:before="524" w:after="0"/>
        <w:ind w:left="9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4952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952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0" w:lineRule="exact" w:before="164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 3: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Manufacturing-Related RCA Trends, Uzbekistan, 2010–2023.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hor-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izontal dashed red line marks the RCA = 1 threshold.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Author calculations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based on OEC/BACI export data.</w:t>
      </w:r>
    </w:p>
    <w:p>
      <w:pPr>
        <w:autoSpaceDN w:val="0"/>
        <w:autoSpaceDE w:val="0"/>
        <w:widowControl/>
        <w:spacing w:line="424" w:lineRule="exact" w:before="40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Several patterns are noteworthy.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Metals maintain a consistently positive RCA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above 2, driven primarily by copper and aluminium semi-manufactures that ben-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efit from domestic mineral resource endowments.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Textiles exhibited strong RCA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early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2010s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(reflecting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Soviet-era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cotton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processing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infrastructure)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declined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RCA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threshold,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suggesting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Uzbekistan’s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textile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advantage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potential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anchor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entry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Bangladeshi and Vietnamese mode — is eroding rather than deepening.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Transportation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equipment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showed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dramatic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spike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2012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(driven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GM Uzbekistan joint venture, then the largest car manufacturer in the post-Soviet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space) followed by collapse as the venture lost competitiveness.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subsequent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rebound post-2021 coincides with the Hyundai Motor Group’s involvement in 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successor entity.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Machines remain below 1 throughout the period, confirming that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yet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domestic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machine-building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capability.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Instru-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ments declined from near-RCA-1 in the early 2010s to well below the threshold.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manufacturing RCA profile presents a sobering picture: six years after 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landmark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established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sectors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manufactured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advantage.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country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growing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output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 added is rising — but primarily for domestic consumption and regional mar-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kets, not for sophisticated global export chains.</w:t>
      </w:r>
    </w:p>
    <w:p>
      <w:pPr>
        <w:autoSpaceDN w:val="0"/>
        <w:autoSpaceDE w:val="0"/>
        <w:widowControl/>
        <w:spacing w:line="288" w:lineRule="exact" w:before="462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23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760"/>
        </w:trPr>
        <w:tc>
          <w:tcPr>
            <w:tcW w:type="dxa" w:w="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42" w:lineRule="exact" w:before="212" w:after="0"/>
              <w:ind w:left="4" w:right="144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 xml:space="preserve">4.5 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4.6</w:t>
            </w:r>
          </w:p>
        </w:tc>
        <w:tc>
          <w:tcPr>
            <w:tcW w:type="dxa" w:w="87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42" w:lineRule="exact" w:before="212" w:after="0"/>
              <w:ind w:left="176" w:right="288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 xml:space="preserve">Northeast Asian Trade and FDI Flows 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Bilateral Trade Dynamics</w:t>
            </w:r>
          </w:p>
        </w:tc>
      </w:tr>
    </w:tbl>
    <w:p>
      <w:pPr>
        <w:autoSpaceDN w:val="0"/>
        <w:autoSpaceDE w:val="0"/>
        <w:widowControl/>
        <w:spacing w:line="422" w:lineRule="exact" w:before="120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Figure 4 presents Uzbekistan’s bilateral merchandise trade with China, Japan, 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South Korea from 2010 to 2023, decomposed into total trade flows (Panel A) 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 balances (Panel B).</w:t>
      </w:r>
    </w:p>
    <w:p>
      <w:pPr>
        <w:autoSpaceDN w:val="0"/>
        <w:autoSpaceDE w:val="0"/>
        <w:widowControl/>
        <w:spacing w:line="240" w:lineRule="auto" w:before="286" w:after="0"/>
        <w:ind w:left="72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346700" cy="3741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6700" cy="374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0" w:lineRule="exact" w:before="166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 4: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 Bilateral Trade with China, Japan, and South Korea, 2010–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2023.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Vertical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dashed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line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marks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2017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break.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OEC/BACI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public API.</w:t>
      </w:r>
    </w:p>
    <w:p>
      <w:pPr>
        <w:autoSpaceDN w:val="0"/>
        <w:autoSpaceDE w:val="0"/>
        <w:widowControl/>
        <w:spacing w:line="424" w:lineRule="exact" w:before="384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China relationship dominates in both scale and growth rate.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Total bilateral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trade with China surged from approximately $4 billion in 2017 to over $12 billion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by 2023 — a 280.3% increase — while the trade balance deteriorated sharply to 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deficit exceeding $10 billion by 2023 (Figure 4).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This trajectory is consistent with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 pattern in which Uzbekistan is importing Chinese capital goods, machinery, 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 inputs at scale,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while exporting primary commodities (gold,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cotton,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copper) to China.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growing deficit is not per se a sign of harm — if Chinese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machinery imports are being absorbed into Uzbekistan’s domestic manufacturing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capacity,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deficit reflects investment in productive capability.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However,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as 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below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shows,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much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Chinese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compo-</w:t>
      </w:r>
    </w:p>
    <w:p>
      <w:pPr>
        <w:autoSpaceDN w:val="0"/>
        <w:autoSpaceDE w:val="0"/>
        <w:widowControl/>
        <w:spacing w:line="288" w:lineRule="exact" w:before="310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24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sition represents capital goods for infrastructure projects (roads,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railways,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power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plants) financed by Chinese loans rather than export-oriented manufacturing facil-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ities.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Japan’s bilateral trade grew 110.8% over the same period but remains small in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absolute terms (well below $1 billion),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 the trade balance is near-zero.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South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Korea’s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163%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growth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persistent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deficit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approximately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$2.2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billion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reflects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Korean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industrial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equipment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consumer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electronics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rather than GVC-linked intermediate inputs.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4.7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Intermediate Goods Composition</w:t>
      </w:r>
    </w:p>
    <w:p>
      <w:pPr>
        <w:autoSpaceDN w:val="0"/>
        <w:autoSpaceDE w:val="0"/>
        <w:widowControl/>
        <w:spacing w:line="424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reveals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analytically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important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finding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decomposi-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tion: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Japan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mained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above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95%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throughout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entire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period,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rising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100%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by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2017.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Korea’s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similarly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approximately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88–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93%.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China’s intermediate goods share, by contrast, began at approximately 70%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 2010 and rose 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85% by 2023.</w:t>
      </w:r>
    </w:p>
    <w:p>
      <w:pPr>
        <w:autoSpaceDN w:val="0"/>
        <w:autoSpaceDE w:val="0"/>
        <w:widowControl/>
        <w:spacing w:line="240" w:lineRule="auto" w:before="312" w:after="0"/>
        <w:ind w:left="9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49520" cy="30289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952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0" w:lineRule="exact" w:before="166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Figure 5: Share of Intermediate Goods in Uzbekistan’s Imports from China, Japan,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 South Korea.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Intermediate goods proxied by HS sections 07, 15, 16, 17, 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18.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OEC/BACI public API.</w:t>
      </w:r>
    </w:p>
    <w:p>
      <w:pPr>
        <w:autoSpaceDN w:val="0"/>
        <w:autoSpaceDE w:val="0"/>
        <w:widowControl/>
        <w:spacing w:line="422" w:lineRule="exact" w:before="402" w:after="0"/>
        <w:ind w:left="260" w:right="0" w:firstLine="422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These figures suggest that all three Northeast Asian partners are primarily sup-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plying Uzbekistan with productive inputs rather than finished consumer goods —</w:t>
      </w:r>
    </w:p>
    <w:p>
      <w:pPr>
        <w:autoSpaceDN w:val="0"/>
        <w:autoSpaceDE w:val="0"/>
        <w:widowControl/>
        <w:spacing w:line="288" w:lineRule="exact" w:before="424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25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composition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consistent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embedding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potential.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However,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sition of those intermediate goods differs critically by partner.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Japan’s intermedi-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concentrated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precision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machinery,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instruments,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transport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equipment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components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technology-intensive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inputs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associated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higher-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 manufacturing.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China’s intermediate imports span a wider range, from con-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materials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basic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metals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sophisticated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machinery,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reflecting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China’s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own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broad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mix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infrastructure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trial investment in Uzbekistan.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4.8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FDI Origin Structure</w:t>
      </w:r>
    </w:p>
    <w:p>
      <w:pPr>
        <w:autoSpaceDN w:val="0"/>
        <w:autoSpaceDE w:val="0"/>
        <w:widowControl/>
        <w:spacing w:line="424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Figure 6 presents the most recent official decomposition of foreign investment 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loans in fixed capital,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sourced from the National Statistics Committee of Uzbek-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istan (2024).</w:t>
      </w:r>
    </w:p>
    <w:p>
      <w:pPr>
        <w:autoSpaceDN w:val="0"/>
        <w:autoSpaceDE w:val="0"/>
        <w:widowControl/>
        <w:spacing w:line="240" w:lineRule="auto" w:before="300" w:after="0"/>
        <w:ind w:left="9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4952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952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0" w:lineRule="exact" w:before="164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6: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Investor-Country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Foreign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Loans, 2024.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National Statistics Committee of Uzbekistan.</w:t>
      </w:r>
    </w:p>
    <w:p>
      <w:pPr>
        <w:autoSpaceDN w:val="0"/>
        <w:autoSpaceDE w:val="0"/>
        <w:widowControl/>
        <w:spacing w:line="424" w:lineRule="exact" w:before="40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China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accounts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approximately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28%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total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foreign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loans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 the single largest source by a wide margin.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Russia contributes approximately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12%,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Turkey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approximately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8%,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Germany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approximately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7%,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Saudi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Arabia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approximately 6%.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Notably, Japan and South Korea do not appear among the top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eight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investors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suggesting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their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relationship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</w:p>
    <w:p>
      <w:pPr>
        <w:autoSpaceDN w:val="0"/>
        <w:autoSpaceDE w:val="0"/>
        <w:widowControl/>
        <w:spacing w:line="288" w:lineRule="exact" w:before="684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26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— while growing rapidly in value — has not yet translated into proportionate FDI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commitments.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This FDI origin structure has important implications for the GVC embedding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hypothesis.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dominant Chinese investment position,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combined with evidence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bilateral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data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showing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rapidly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widening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deficit,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consis-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Belt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Road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Initiative-style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infrastructure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lending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with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export-oriented manufacturing FDI of the type that drove Vietnamese industriali-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sation (in which Japanese, Taiwanese, and South Korean electronics manufactur-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ers established export-platform factories).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absence of Japan and Korea from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top FDI sources is the single most important gap between Uzbekistan’s current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 trajectory and the Vietnamese benchmark.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4.9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Trade Network Analysis: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Value-Chain Positioning</w:t>
      </w:r>
    </w:p>
    <w:p>
      <w:pPr>
        <w:autoSpaceDN w:val="0"/>
        <w:autoSpaceDE w:val="0"/>
        <w:widowControl/>
        <w:spacing w:line="424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 section maps Uzbekistan’s position in the Northeast Asian supply chain net-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work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across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four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analytically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distinct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dimensions: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(i)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directed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network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structure, (ii) intermediate goods dependence by partner, (iii) export composition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change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2010,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(iv)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re-export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potential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Central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Eurasian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corridors.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Data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OEC/BACI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bilateral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(HS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1992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classification),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World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Bank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WDI,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proxies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derived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from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OECD Trade in Value Added (TiVA) framework.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 goods are clas-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sified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Rev.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categories,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operationalised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05,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06,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07, 15, 16, 17, and 18.</w:t>
      </w:r>
    </w:p>
    <w:p>
      <w:pPr>
        <w:autoSpaceDN w:val="0"/>
        <w:tabs>
          <w:tab w:pos="1208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4.10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Value-Chain Positioning Map</w:t>
      </w:r>
    </w:p>
    <w:p>
      <w:pPr>
        <w:autoSpaceDN w:val="0"/>
        <w:autoSpaceDE w:val="0"/>
        <w:widowControl/>
        <w:spacing w:line="424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7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presents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directed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network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nodes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represent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country-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actors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weighted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edges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represent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bilateral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flows.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colour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indicates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functional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role;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edge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colour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distinguishes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commod-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ity and consumer exports;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edge width is proportional to the log of trade volume.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placed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centrally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layout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algorithm,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reflecting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structural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position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absorbing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Northeast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primary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commodities outward.</w:t>
      </w:r>
    </w:p>
    <w:p>
      <w:pPr>
        <w:autoSpaceDN w:val="0"/>
        <w:autoSpaceDE w:val="0"/>
        <w:widowControl/>
        <w:spacing w:line="422" w:lineRule="exact" w:before="0" w:after="0"/>
        <w:ind w:left="260" w:right="0" w:firstLine="422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quantitative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assessment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network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metrics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confirms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visual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figuration.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exhibits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betweenness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centrality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(0.26)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</w:p>
    <w:p>
      <w:pPr>
        <w:autoSpaceDN w:val="0"/>
        <w:autoSpaceDE w:val="0"/>
        <w:widowControl/>
        <w:spacing w:line="288" w:lineRule="exact" w:before="424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27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sub-network,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reflecting its role as a conduit linking highly-connected East Asian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(China,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Korea,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Japan)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Eurasian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destination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markets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(Russia,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Kaza-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khstan).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However,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possesses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in-degree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connections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(ab-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sorbing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out-degree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flows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remain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skewed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lower-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 commodities rather than processed manufactures.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This indicates that while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country is highly connected, it is not yet embedded in dense, reciprocal produc-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tion relationships—a pattern fully consistent with the captive governance structure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identified earlier.</w:t>
      </w:r>
    </w:p>
    <w:p>
      <w:pPr>
        <w:autoSpaceDN w:val="0"/>
        <w:autoSpaceDE w:val="0"/>
        <w:widowControl/>
        <w:spacing w:line="240" w:lineRule="auto" w:before="252" w:after="0"/>
        <w:ind w:left="63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64810" cy="36436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64810" cy="364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1864" w:val="left"/>
          <w:tab w:pos="1908" w:val="left"/>
          <w:tab w:pos="3130" w:val="left"/>
          <w:tab w:pos="3936" w:val="left"/>
          <w:tab w:pos="4902" w:val="left"/>
          <w:tab w:pos="6976" w:val="left"/>
          <w:tab w:pos="7686" w:val="left"/>
          <w:tab w:pos="8588" w:val="left"/>
        </w:tabs>
        <w:autoSpaceDE w:val="0"/>
        <w:widowControl/>
        <w:spacing w:line="338" w:lineRule="exact" w:before="16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7: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Directed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Network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Value-Chain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sitioning. </w:t>
      </w:r>
      <w:r>
        <w:tab/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Nodes: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UZB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(hub),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CHN/JPN/KOR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(NE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Asian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sources),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KAZ/RUS/TUR (re-export markets), ROW (commodity destination).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Edge width</w:t>
      </w:r>
      <w:r>
        <w:rPr>
          <w:w w:val="98.93931027116447"/>
          <w:rFonts w:ascii="StandardSymL" w:hAnsi="StandardSymL" w:eastAsia="StandardSymL"/>
          <w:b w:val="0"/>
          <w:i w:val="0"/>
          <w:color w:val="000000"/>
          <w:sz w:val="29"/>
        </w:rPr>
        <w:t>∝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log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>(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 volume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>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; opacity</w:t>
      </w:r>
      <w:r>
        <w:rPr>
          <w:w w:val="98.93931027116447"/>
          <w:rFonts w:ascii="StandardSymL" w:hAnsi="StandardSymL" w:eastAsia="StandardSymL"/>
          <w:b w:val="0"/>
          <w:i w:val="0"/>
          <w:color w:val="000000"/>
          <w:sz w:val="29"/>
        </w:rPr>
        <w:t xml:space="preserve"> ∝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 goods share.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Author calcu-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lations from OEC/BACI HS-section bilateral trade data.</w:t>
      </w:r>
    </w:p>
    <w:p>
      <w:pPr>
        <w:autoSpaceDN w:val="0"/>
        <w:autoSpaceDE w:val="0"/>
        <w:widowControl/>
        <w:spacing w:line="424" w:lineRule="exact" w:before="40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network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topology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confirms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qualitative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characterisation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6: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captive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node,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receiving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knowledge-intensive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three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Northeast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partners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primary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commodities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outward.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graph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also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reveals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non-zero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edges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Kazakhstan,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Russia,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Turkey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potential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re-export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corridors that could be thickened by deliberate GVC integration policy.</w:t>
      </w:r>
    </w:p>
    <w:p>
      <w:pPr>
        <w:autoSpaceDN w:val="0"/>
        <w:autoSpaceDE w:val="0"/>
        <w:widowControl/>
        <w:spacing w:line="288" w:lineRule="exact" w:before="846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28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018"/>
        </w:trPr>
        <w:tc>
          <w:tcPr>
            <w:tcW w:type="dxa" w:w="7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4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4.11</w:t>
            </w:r>
          </w:p>
        </w:tc>
        <w:tc>
          <w:tcPr>
            <w:tcW w:type="dxa" w:w="860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188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Intermediate Goods Dependence by Partner</w:t>
            </w:r>
          </w:p>
        </w:tc>
      </w:tr>
    </w:tbl>
    <w:p>
      <w:pPr>
        <w:autoSpaceDN w:val="0"/>
        <w:autoSpaceDE w:val="0"/>
        <w:widowControl/>
        <w:spacing w:line="422" w:lineRule="exact" w:before="120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 8 disaggregates the intermediate goods story into two panels: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share of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intermediate goods in total imports from each NE Asian partner (Panel A), and 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absolute volume (Panel B).</w:t>
      </w:r>
    </w:p>
    <w:p>
      <w:pPr>
        <w:autoSpaceDN w:val="0"/>
        <w:autoSpaceDE w:val="0"/>
        <w:widowControl/>
        <w:spacing w:line="240" w:lineRule="auto" w:before="302" w:after="0"/>
        <w:ind w:left="72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346700" cy="38874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700" cy="3887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8" w:lineRule="exact" w:before="16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 8: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 Goods Dependence: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Uzbekistan’s Imports from Northeast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Asia, 2010–2023.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Panel A: intermediate goods share (%); Panel B: absolute vol-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ume (USD bn).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BEC Rev.5 classification: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HS sections 05, 06, 07, 15, 16, 17, 18.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Vertical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dashed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line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marks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2017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break.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Author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calculations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 OEC/BACI bilateral trade data.</w:t>
      </w:r>
    </w:p>
    <w:p>
      <w:pPr>
        <w:autoSpaceDN w:val="0"/>
        <w:tabs>
          <w:tab w:pos="682" w:val="left"/>
          <w:tab w:pos="3690" w:val="left"/>
        </w:tabs>
        <w:autoSpaceDE w:val="0"/>
        <w:widowControl/>
        <w:spacing w:line="424" w:lineRule="exact" w:before="39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Three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findings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emerge. </w:t>
      </w:r>
      <w:r>
        <w:tab/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First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Japan’s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consistently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proaches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95–100%,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confirming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Japan’s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bilateral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relationship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almost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tirely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GVC-relevant,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comprising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precision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machinery,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instruments,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transport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components.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Second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Korea’s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(88–93%)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similarly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ble,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consistent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Samsung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supply-chain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negotiations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documented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literature.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Third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China’s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(70–85%)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risen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steadily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2017,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reflecting the growing share of machinery in Belt and Road-linked investment.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absolute volume (Panel B), Chinese intermediate imports dwarf Japan and Korea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combined.</w:t>
      </w:r>
    </w:p>
    <w:p>
      <w:pPr>
        <w:autoSpaceDN w:val="0"/>
        <w:autoSpaceDE w:val="0"/>
        <w:widowControl/>
        <w:spacing w:line="288" w:lineRule="exact" w:before="538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29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018"/>
        </w:trPr>
        <w:tc>
          <w:tcPr>
            <w:tcW w:type="dxa" w:w="7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4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4.12</w:t>
            </w:r>
          </w:p>
        </w:tc>
        <w:tc>
          <w:tcPr>
            <w:tcW w:type="dxa" w:w="860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188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Export Composition: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Structural Change 2010–2023</w:t>
            </w:r>
          </w:p>
        </w:tc>
      </w:tr>
    </w:tbl>
    <w:p>
      <w:pPr>
        <w:autoSpaceDN w:val="0"/>
        <w:autoSpaceDE w:val="0"/>
        <w:widowControl/>
        <w:spacing w:line="424" w:lineRule="exact" w:before="11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Figure 9 presents Uzbekistan’s export basket by HS-level goods category in share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(Panel A) and absolute volume (Panel B) over 2010–2023.</w:t>
      </w:r>
    </w:p>
    <w:p>
      <w:pPr>
        <w:autoSpaceDN w:val="0"/>
        <w:autoSpaceDE w:val="0"/>
        <w:widowControl/>
        <w:spacing w:line="240" w:lineRule="auto" w:before="300" w:after="0"/>
        <w:ind w:left="63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64810" cy="40982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64810" cy="4098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8" w:lineRule="exact" w:before="16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9: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Composition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Category,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2010–2023.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Panel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A: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category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(%);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Panel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absolute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volumes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(USD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bn).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Gold/Precious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Met-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(HS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14)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dominate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throughout.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Vertical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dashed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line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marks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2017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reform.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Author calculations from OEC/BACI HS-section export data.</w:t>
      </w:r>
    </w:p>
    <w:p>
      <w:pPr>
        <w:autoSpaceDN w:val="0"/>
        <w:autoSpaceDE w:val="0"/>
        <w:widowControl/>
        <w:spacing w:line="424" w:lineRule="exact" w:before="40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evidence is unambiguous: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gold and precious metals (HS 14) account for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50–60% of total export value in most post-reform years.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Textiles (HS 11) repre-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sent the second-largest category at 15–20% by 2023.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Manufactured and machin-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(HS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15–18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combined)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remain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below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10%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aggregate,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despite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post-reform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opening.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absorbing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technology-intensive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inputs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from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Northeast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primary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commodities,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minimal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value-added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conversion — the defining symptom of shallow GVC embedding.</w:t>
      </w:r>
    </w:p>
    <w:p>
      <w:pPr>
        <w:autoSpaceDN w:val="0"/>
        <w:autoSpaceDE w:val="0"/>
        <w:widowControl/>
        <w:spacing w:line="288" w:lineRule="exact" w:before="1816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30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018"/>
        </w:trPr>
        <w:tc>
          <w:tcPr>
            <w:tcW w:type="dxa" w:w="7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4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4.13</w:t>
            </w:r>
          </w:p>
        </w:tc>
        <w:tc>
          <w:tcPr>
            <w:tcW w:type="dxa" w:w="860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188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Re-export Potential Through Central Asian Corridors</w:t>
            </w:r>
          </w:p>
        </w:tc>
      </w:tr>
    </w:tbl>
    <w:p>
      <w:pPr>
        <w:autoSpaceDN w:val="0"/>
        <w:autoSpaceDE w:val="0"/>
        <w:widowControl/>
        <w:spacing w:line="424" w:lineRule="exact" w:before="11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Figure 10 maps the re-export potential of Uzbekistan’s manufactured goods flows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toward Kazakhstan, Russia, Turkey, and the Rest of World.</w:t>
      </w:r>
    </w:p>
    <w:p>
      <w:pPr>
        <w:autoSpaceDN w:val="0"/>
        <w:autoSpaceDE w:val="0"/>
        <w:widowControl/>
        <w:spacing w:line="240" w:lineRule="auto" w:before="310" w:after="0"/>
        <w:ind w:left="82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227320" cy="26136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2613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8" w:lineRule="exact" w:before="16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10: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Re-export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Potential: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to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Eurasian Markets (latest year).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Cell values in USD billion; colour intensity repre-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sents trade flow volume.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OEC/BACI bilateral trade data.</w:t>
      </w:r>
    </w:p>
    <w:p>
      <w:pPr>
        <w:autoSpaceDN w:val="0"/>
        <w:autoSpaceDE w:val="0"/>
        <w:widowControl/>
        <w:spacing w:line="424" w:lineRule="exact" w:before="40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Kazakhstan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represents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significant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near-term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re-export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opportunity,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given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large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domestic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market,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border,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established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infras-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tructure.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Turkey represents the second-tier corridor, with growing Uzbek-Turkish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partnerships in textiles and construction materials.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Re-export flows remain small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 all below $1 billion annually — but the post-2017 growth trajectory is positive.</w:t>
      </w:r>
    </w:p>
    <w:p>
      <w:pPr>
        <w:autoSpaceDN w:val="0"/>
        <w:tabs>
          <w:tab w:pos="1208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4.14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GVC Positioning: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Backward and Forward Integration</w:t>
      </w:r>
    </w:p>
    <w:p>
      <w:pPr>
        <w:autoSpaceDN w:val="0"/>
        <w:autoSpaceDE w:val="0"/>
        <w:widowControl/>
        <w:spacing w:line="422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 11 maps Uzbekistan’s annual position in a two-dimensional space of back-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ward integration (intermediate goods share of imports from NE Asia) versus for-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(manufactured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total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exports).</w:t>
      </w:r>
    </w:p>
    <w:p>
      <w:pPr>
        <w:autoSpaceDN w:val="0"/>
        <w:autoSpaceDE w:val="0"/>
        <w:widowControl/>
        <w:spacing w:line="286" w:lineRule="exact" w:before="13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ideal trajectory for GVC embedding is toward the upper-right quadrant.</w:t>
      </w:r>
    </w:p>
    <w:p>
      <w:pPr>
        <w:autoSpaceDN w:val="0"/>
        <w:autoSpaceDE w:val="0"/>
        <w:widowControl/>
        <w:spacing w:line="288" w:lineRule="exact" w:before="2474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31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240" w:lineRule="auto" w:before="524" w:after="0"/>
        <w:ind w:left="72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346700" cy="340233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6700" cy="3402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8" w:lineRule="exact" w:before="16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11: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Positioning: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Backward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Integration,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2010–2023.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ideal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trajectory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upper-right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quadrant.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Backward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proxy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proxy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=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total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Author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calculations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from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OEC/BACI and World Bank WDI data.</w:t>
      </w:r>
    </w:p>
    <w:p>
      <w:pPr>
        <w:autoSpaceDN w:val="0"/>
        <w:autoSpaceDE w:val="0"/>
        <w:widowControl/>
        <w:spacing w:line="424" w:lineRule="exact" w:before="346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pre-reform period (2010–2016) shows low backward and minimal forward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 — a closed economy neither absorbing external intermediates nor ex-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porting manufactures.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early reform period (2017–2020) shows a sharp jump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backward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opened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only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modest forward integration improvement: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intermediates flow in but manufactured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exports do not flow out.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post-COVID period (2021–2023) shows stagnation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backward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moderates.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trajectory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rightward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quantitative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signature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captive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governance: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 is integrated as an input absorber, not a value-adding processor and ex-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porter.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contrast with Vietnam’s equivalent trajectory — which moved sharply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2005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Samsung,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LG,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Foxconn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estab-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lished export-platform factories — defines the policy gap that must be closed.</w:t>
      </w:r>
    </w:p>
    <w:p>
      <w:pPr>
        <w:autoSpaceDN w:val="0"/>
        <w:tabs>
          <w:tab w:pos="1208" w:val="left"/>
        </w:tabs>
        <w:autoSpaceDE w:val="0"/>
        <w:widowControl/>
        <w:spacing w:line="344" w:lineRule="exact" w:before="620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4.15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Comparative Trajectory: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Uzbekistan and Vietnam</w:t>
      </w:r>
    </w:p>
    <w:p>
      <w:pPr>
        <w:autoSpaceDN w:val="0"/>
        <w:autoSpaceDE w:val="0"/>
        <w:widowControl/>
        <w:spacing w:line="424" w:lineRule="exact" w:before="182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Vietnam’s post-2000 integration into Northeast Asian manufacturing networks 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triggered by the US-Vietnam Bilateral Trade Agreement (2001) and accelerating</w:t>
      </w:r>
    </w:p>
    <w:p>
      <w:pPr>
        <w:autoSpaceDN w:val="0"/>
        <w:autoSpaceDE w:val="0"/>
        <w:widowControl/>
        <w:spacing w:line="288" w:lineRule="exact" w:before="310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32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through WTO accession (2007) and the explosion of Samsung, LG, and Foxconn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 in the 2010s — constitutes the most instructive comparator for Uzbek-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istan’s post-2017 reform trajectory.</w:t>
      </w:r>
    </w:p>
    <w:p>
      <w:pPr>
        <w:autoSpaceDN w:val="0"/>
        <w:autoSpaceDE w:val="0"/>
        <w:widowControl/>
        <w:spacing w:line="240" w:lineRule="auto" w:before="282" w:after="0"/>
        <w:ind w:left="63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66080" cy="195198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66080" cy="1951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9280" w:val="left"/>
        </w:tabs>
        <w:autoSpaceDE w:val="0"/>
        <w:widowControl/>
        <w:spacing w:line="338" w:lineRule="exact" w:before="16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12: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versus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Trajectory.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dicators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aligned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stages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(years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major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liberalisation).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World Bank WDI.</w:t>
      </w:r>
    </w:p>
    <w:p>
      <w:pPr>
        <w:autoSpaceDN w:val="0"/>
        <w:autoSpaceDE w:val="0"/>
        <w:widowControl/>
        <w:spacing w:line="424" w:lineRule="exact" w:before="37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 12 reveals three systematic gaps.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 manufacturing value added (Panel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begin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levels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reform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stages.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1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 trajectory in years 0–4 broadly tracks Vietnam’s early WTO-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period pattern.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However, Uzbekistan appears to plateau near 19–20% from year 4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onward, while Vietnam continued rising to higher manufacturing intensity (though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data alignment issues introduce some uncertainty here).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FDI intensity gap (Panel B) is the most dramatic: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Vietnam’s FDI inflows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surged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approximately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4.5%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9.8%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GDP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year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8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post-reform,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while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inflows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stagnated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declined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approximately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2.4%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same reform-year milestone.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 gap cannot be explained solely by landlocked-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ness — Vietnam’s coastal access is an advantage</w:t>
      </w:r>
      <w:r>
        <w:rPr>
          <w:rFonts w:ascii="NimbusRomNo9L" w:hAnsi="NimbusRomNo9L" w:eastAsia="NimbusRomNo9L"/>
          <w:b w:val="0"/>
          <w:i w:val="0"/>
          <w:color w:val="000000"/>
          <w:sz w:val="22"/>
        </w:rPr>
        <w:t>2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— but suggests that the quality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composition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package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replicated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investor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confidence signals that characterised Vietnam’s opening.</w:t>
      </w:r>
    </w:p>
    <w:p>
      <w:pPr>
        <w:autoSpaceDN w:val="0"/>
        <w:autoSpaceDE w:val="0"/>
        <w:widowControl/>
        <w:spacing w:line="424" w:lineRule="exact" w:before="0" w:after="0"/>
        <w:ind w:left="260" w:right="0" w:firstLine="422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Logistics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performance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(Panel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shows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LPI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2.6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versus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2.9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stages.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0.3-point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gap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understates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</w:p>
    <w:p>
      <w:pPr>
        <w:autoSpaceDN w:val="0"/>
        <w:autoSpaceDE w:val="0"/>
        <w:widowControl/>
        <w:spacing w:line="240" w:lineRule="exact" w:before="222" w:after="0"/>
        <w:ind w:left="260" w:right="24" w:firstLine="276"/>
        <w:jc w:val="both"/>
      </w:pPr>
      <w:r>
        <w:rPr>
          <w:w w:val="98.29733530680339"/>
          <w:rFonts w:ascii="NimbusRomNo9L" w:hAnsi="NimbusRomNo9L" w:eastAsia="NimbusRomNo9L"/>
          <w:b w:val="0"/>
          <w:i w:val="0"/>
          <w:color w:val="000000"/>
          <w:sz w:val="15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primary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comparator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used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here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Vietnam’s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accession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year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(2007),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which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provides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closest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insti-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tutional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parallel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Uzbekistan’s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2017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multilateral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opening.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For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reference,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had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we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used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Vietnam’s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earlier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2001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US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Bilateral Trade Agreement as year zero, Uzbekistan’s trajectory would appear slightly more favourable in years 0–4,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since Vietnam’s most dramatic manufacturing gains came after WTO accession rather than after the BTA.</w:t>
      </w:r>
    </w:p>
    <w:p>
      <w:pPr>
        <w:autoSpaceDN w:val="0"/>
        <w:autoSpaceDE w:val="0"/>
        <w:widowControl/>
        <w:spacing w:line="240" w:lineRule="exact" w:before="26" w:after="0"/>
        <w:ind w:left="260" w:right="24" w:firstLine="276"/>
        <w:jc w:val="both"/>
      </w:pPr>
      <w:r>
        <w:rPr>
          <w:w w:val="98.29733530680339"/>
          <w:rFonts w:ascii="NimbusRomNo9L" w:hAnsi="NimbusRomNo9L" w:eastAsia="NimbusRomNo9L"/>
          <w:b w:val="0"/>
          <w:i w:val="0"/>
          <w:color w:val="000000"/>
          <w:sz w:val="15"/>
        </w:rPr>
        <w:t>2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It must be acknowledged that landlockedness remains a significant potential confound in comparing Uzbekistan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to coastal Vietnam.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A rigorous robustness check would benchmark Uzbekistan against Kazakhstan, a similarly land-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 xml:space="preserve">locked, resource-rich regional peer that has also pursued active reform and FDI attraction, albeit heavily skewed toward </w:t>
      </w:r>
      <w:r>
        <w:rPr>
          <w:rFonts w:ascii="NimbusRomNo9L" w:hAnsi="NimbusRomNo9L" w:eastAsia="NimbusRomNo9L"/>
          <w:b w:val="0"/>
          <w:i w:val="0"/>
          <w:color w:val="000000"/>
          <w:sz w:val="20"/>
        </w:rPr>
        <w:t>the extractive sector.</w:t>
      </w:r>
    </w:p>
    <w:p>
      <w:pPr>
        <w:autoSpaceDN w:val="0"/>
        <w:autoSpaceDE w:val="0"/>
        <w:widowControl/>
        <w:spacing w:line="288" w:lineRule="exact" w:before="332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33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operational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difference: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coastal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ports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direct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container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shipping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to Japanese and Korean buyers, while Uzbekistan’s export of manufactured goods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requires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multiple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borders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associated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time,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unpre-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dictability.</w:t>
      </w:r>
    </w:p>
    <w:p>
      <w:pPr>
        <w:autoSpaceDN w:val="0"/>
        <w:autoSpaceDE w:val="0"/>
        <w:widowControl/>
        <w:spacing w:line="288" w:lineRule="exact" w:before="13332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34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086"/>
        </w:trPr>
        <w:tc>
          <w:tcPr>
            <w:tcW w:type="dxa" w:w="4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608" w:after="0"/>
              <w:ind w:left="4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>5</w:t>
            </w:r>
          </w:p>
        </w:tc>
        <w:tc>
          <w:tcPr>
            <w:tcW w:type="dxa" w:w="89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608" w:after="0"/>
              <w:ind w:left="220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>Thailand Comparative Benchmarking: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>The East-</w:t>
            </w:r>
          </w:p>
        </w:tc>
      </w:tr>
    </w:tbl>
    <w:p>
      <w:pPr>
        <w:autoSpaceDN w:val="0"/>
        <w:autoSpaceDE w:val="0"/>
        <w:widowControl/>
        <w:spacing w:line="412" w:lineRule="exact" w:before="146" w:after="0"/>
        <w:ind w:left="88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41"/>
        </w:rPr>
        <w:t>ern Seaboard Model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528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5.1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Rationale for the Thailand Comparator</w:t>
      </w:r>
    </w:p>
    <w:p>
      <w:pPr>
        <w:autoSpaceDN w:val="0"/>
        <w:autoSpaceDE w:val="0"/>
        <w:widowControl/>
        <w:spacing w:line="424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occupies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primary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position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dissertation’s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sis for two reasons: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its geographic proximity to Northeast Asian production net-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works and its comparably recent reform epoch (post-2001 BTA, post-2007 WTO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accession) make it the most temporally relevant benchmark.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However, Vietnam’s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coastal geography and its decade-earlier integration with global electronics supply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chains mean that the Vietnam comparison may overstate the challenge for Uzbek-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istan by presenting a trajectory that Uzbekistan’s landlocked position structurally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precludes.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 offers a complementary benchmark that corrects for this bias.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land’s industrialisation breakthrough was centred not on coastal electronics clus-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Eastern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Seaboard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Development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Programme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(ESDP),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launched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1981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Fifth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National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Social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Plan,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which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deliberately created industrial infrastructure — deep-sea ports,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industrial estates,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dedicated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energy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water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corridors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previously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underdeveloped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region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 attract Japanese automotive and petrochemical investment.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analytical par-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allel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current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SEZ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strategy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direct: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both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countries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faced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challenge of building export-oriented manufacturing capacity in locations that re-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quired deliberate infrastructure construction rather than inheriting it from existing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commercial geography.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5.2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Thailand’s Industrialisation Pathway</w:t>
      </w:r>
    </w:p>
    <w:p>
      <w:pPr>
        <w:autoSpaceDN w:val="0"/>
        <w:autoSpaceDE w:val="0"/>
        <w:widowControl/>
        <w:spacing w:line="424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industrialisation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transitioned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 three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phases.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Phase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 (1960–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1977),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 substitution under the Board of Investment (BOI) raised manufac-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added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(VA)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12%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19%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GDP,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mirroring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cur-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protected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domestic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growth.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decisive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breakthrough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occurred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Phase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II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(1978–1996).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BOI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aggressively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restructured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incentives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privilege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oriented FDI, granting 100% foreign ownership in export-processing zones.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Cru-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cially, the 1985 Plaza Accord appreciated the yen, triggering a surge of Japanese</w:t>
      </w:r>
    </w:p>
    <w:p>
      <w:pPr>
        <w:autoSpaceDN w:val="0"/>
        <w:autoSpaceDE w:val="0"/>
        <w:widowControl/>
        <w:spacing w:line="288" w:lineRule="exact" w:before="572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35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39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39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“flying geese” FDI into these zones.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Consequently, manufacturing VA accelerated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 19% to 28% by 1995.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Phase III (post-1997) consolidated this base into high-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automotive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electronics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networks,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culminating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current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Thailand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4.0 innovation strategy.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5.3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Comparative Benchmarking: Thailand, Vietnam, and Uzbek-</w:t>
      </w:r>
    </w:p>
    <w:p>
      <w:pPr>
        <w:autoSpaceDN w:val="0"/>
        <w:autoSpaceDE w:val="0"/>
        <w:widowControl/>
        <w:spacing w:line="344" w:lineRule="exact" w:before="204" w:after="0"/>
        <w:ind w:left="1036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istan</w:t>
      </w:r>
    </w:p>
    <w:p>
      <w:pPr>
        <w:autoSpaceDN w:val="0"/>
        <w:autoSpaceDE w:val="0"/>
        <w:widowControl/>
        <w:spacing w:line="424" w:lineRule="exact" w:before="182" w:after="0"/>
        <w:ind w:left="260" w:right="39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 13 aligns the three economies’ manufacturing value added trajectories rel-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their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respective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policy-defined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years: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(year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1978,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export-orientation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formally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adopted),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(year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2001,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BTA enactment), and Uzbekistan (year 0 = 2017).</w:t>
      </w:r>
    </w:p>
    <w:p>
      <w:pPr>
        <w:autoSpaceDN w:val="0"/>
        <w:autoSpaceDE w:val="0"/>
        <w:widowControl/>
        <w:spacing w:line="240" w:lineRule="auto" w:before="310" w:after="0"/>
        <w:ind w:left="63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64810" cy="204977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64810" cy="2049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8" w:lineRule="exact" w:before="168" w:after="0"/>
        <w:ind w:left="260" w:right="39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 13: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Comparative Manufacturing VA Trajectories: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Thailand, Vietnam, 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Uzbekistan, Aligned to Reform Year Zero.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Panel A: Manufacturing VA (% GDP).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Panel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inflows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GDP).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Panel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Logistics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Performance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Index.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Source: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World Bank WDI; author calculations.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400" w:after="0"/>
        <w:ind w:left="260" w:right="288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summarises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key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indicators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years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10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each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comparator.</w:t>
      </w:r>
    </w:p>
    <w:p>
      <w:pPr>
        <w:autoSpaceDN w:val="0"/>
        <w:autoSpaceDE w:val="0"/>
        <w:widowControl/>
        <w:spacing w:line="288" w:lineRule="exact" w:before="3620" w:after="0"/>
        <w:ind w:left="0" w:right="492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36</w:t>
      </w:r>
    </w:p>
    <w:p>
      <w:pPr>
        <w:sectPr>
          <w:pgSz w:w="11906" w:h="16838"/>
          <w:pgMar w:top="184" w:right="45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340" w:lineRule="exact" w:before="490" w:after="23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Trajectory: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Key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Indicators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Years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5,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 10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88.0000000000001" w:type="dxa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rPr>
          <w:trHeight w:hRule="exact" w:val="500"/>
        </w:trPr>
        <w:tc>
          <w:tcPr>
            <w:tcW w:type="dxa" w:w="2112"/>
            <w:tcBorders>
              <w:top w:sz="9.600000000000023" w:val="single" w:color="#000000"/>
              <w:bottom w:sz="3.44000005722045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60"/>
            <w:gridSpan w:val="3"/>
            <w:tcBorders>
              <w:top w:sz="9.600000000000023" w:val="single" w:color="#000000"/>
              <w:bottom w:sz="3.44000005722045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Thailand (post-1978)</w:t>
            </w:r>
          </w:p>
        </w:tc>
        <w:tc>
          <w:tcPr>
            <w:tcW w:type="dxa" w:w="2220"/>
            <w:gridSpan w:val="3"/>
            <w:tcBorders>
              <w:top w:sz="9.600000000000023" w:val="single" w:color="#000000"/>
              <w:bottom w:sz="3.44000005722045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Vietnam (post-2001)</w:t>
            </w:r>
          </w:p>
        </w:tc>
        <w:tc>
          <w:tcPr>
            <w:tcW w:type="dxa" w:w="2508"/>
            <w:gridSpan w:val="3"/>
            <w:tcBorders>
              <w:top w:sz="9.600000000000023" w:val="single" w:color="#000000"/>
              <w:bottom w:sz="3.44000005722045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Uzbekistan (post-2017)</w:t>
            </w:r>
          </w:p>
        </w:tc>
      </w:tr>
      <w:tr>
        <w:trPr>
          <w:trHeight w:hRule="exact" w:val="496"/>
        </w:trPr>
        <w:tc>
          <w:tcPr>
            <w:tcW w:type="dxa" w:w="2112"/>
            <w:tcBorders>
              <w:top w:sz="3.44000005722045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Indicator</w:t>
            </w:r>
          </w:p>
        </w:tc>
        <w:tc>
          <w:tcPr>
            <w:tcW w:type="dxa" w:w="540"/>
            <w:tcBorders>
              <w:top w:sz="3.44000005722045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Y+0</w:t>
            </w:r>
          </w:p>
        </w:tc>
        <w:tc>
          <w:tcPr>
            <w:tcW w:type="dxa" w:w="680"/>
            <w:tcBorders>
              <w:top w:sz="3.44000005722045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0" w:right="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Y+5</w:t>
            </w:r>
          </w:p>
        </w:tc>
        <w:tc>
          <w:tcPr>
            <w:tcW w:type="dxa" w:w="1040"/>
            <w:tcBorders>
              <w:top w:sz="3.44000005722045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0" w:right="17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Y+10</w:t>
            </w:r>
          </w:p>
        </w:tc>
        <w:tc>
          <w:tcPr>
            <w:tcW w:type="dxa" w:w="540"/>
            <w:tcBorders>
              <w:top w:sz="3.44000005722045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13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Y+0</w:t>
            </w:r>
          </w:p>
        </w:tc>
        <w:tc>
          <w:tcPr>
            <w:tcW w:type="dxa" w:w="680"/>
            <w:tcBorders>
              <w:top w:sz="3.44000005722045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0" w:right="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Y+5</w:t>
            </w:r>
          </w:p>
        </w:tc>
        <w:tc>
          <w:tcPr>
            <w:tcW w:type="dxa" w:w="1000"/>
            <w:tcBorders>
              <w:top w:sz="3.44000005722045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0" w:right="15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Y+10</w:t>
            </w:r>
          </w:p>
        </w:tc>
        <w:tc>
          <w:tcPr>
            <w:tcW w:type="dxa" w:w="560"/>
            <w:tcBorders>
              <w:top w:sz="3.44000005722045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13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Y+0</w:t>
            </w:r>
          </w:p>
        </w:tc>
        <w:tc>
          <w:tcPr>
            <w:tcW w:type="dxa" w:w="660"/>
            <w:tcBorders>
              <w:top w:sz="3.44000005722045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0" w:right="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Y+5</w:t>
            </w:r>
          </w:p>
        </w:tc>
        <w:tc>
          <w:tcPr>
            <w:tcW w:type="dxa" w:w="1288"/>
            <w:tcBorders>
              <w:top w:sz="3.44000005722045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0" w:right="246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Y+6*</w:t>
            </w:r>
          </w:p>
        </w:tc>
      </w:tr>
      <w:tr>
        <w:trPr>
          <w:trHeight w:hRule="exact" w:val="442"/>
        </w:trPr>
        <w:tc>
          <w:tcPr>
            <w:tcW w:type="dxa" w:w="2112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Mfg VA (% GDP)</w:t>
            </w:r>
          </w:p>
        </w:tc>
        <w:tc>
          <w:tcPr>
            <w:tcW w:type="dxa" w:w="54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13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19.1</w:t>
            </w:r>
          </w:p>
        </w:tc>
        <w:tc>
          <w:tcPr>
            <w:tcW w:type="dxa" w:w="68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22.3</w:t>
            </w:r>
          </w:p>
        </w:tc>
        <w:tc>
          <w:tcPr>
            <w:tcW w:type="dxa" w:w="104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23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26.8</w:t>
            </w:r>
          </w:p>
        </w:tc>
        <w:tc>
          <w:tcPr>
            <w:tcW w:type="dxa" w:w="54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19.8</w:t>
            </w:r>
          </w:p>
        </w:tc>
        <w:tc>
          <w:tcPr>
            <w:tcW w:type="dxa" w:w="68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21.2</w:t>
            </w:r>
          </w:p>
        </w:tc>
        <w:tc>
          <w:tcPr>
            <w:tcW w:type="dxa" w:w="100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21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24.9</w:t>
            </w:r>
          </w:p>
        </w:tc>
        <w:tc>
          <w:tcPr>
            <w:tcW w:type="dxa" w:w="56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13.8</w:t>
            </w:r>
          </w:p>
        </w:tc>
        <w:tc>
          <w:tcPr>
            <w:tcW w:type="dxa" w:w="66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19.2</w:t>
            </w:r>
          </w:p>
        </w:tc>
        <w:tc>
          <w:tcPr>
            <w:tcW w:type="dxa" w:w="1288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31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19.5</w:t>
            </w:r>
          </w:p>
        </w:tc>
      </w:tr>
      <w:tr>
        <w:trPr>
          <w:trHeight w:hRule="exact" w:val="340"/>
        </w:trPr>
        <w:tc>
          <w:tcPr>
            <w:tcW w:type="dxa" w:w="21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FDI (% GDP)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4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56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29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5.3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4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4.1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5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5.9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27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9.8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6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4.1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5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2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37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2.4</w:t>
            </w:r>
          </w:p>
        </w:tc>
      </w:tr>
      <w:tr>
        <w:trPr>
          <w:trHeight w:hRule="exact" w:val="360"/>
        </w:trPr>
        <w:tc>
          <w:tcPr>
            <w:tcW w:type="dxa" w:w="21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0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LPI Score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0" w:after="0"/>
              <w:ind w:left="0" w:right="5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0" w:after="0"/>
              <w:ind w:left="0" w:right="6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0" w:after="0"/>
              <w:ind w:left="0" w:right="29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0" w:after="0"/>
              <w:ind w:left="0" w:right="4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0" w:after="0"/>
              <w:ind w:left="0" w:right="5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0" w:after="0"/>
              <w:ind w:left="0" w:right="27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0" w:after="0"/>
              <w:ind w:left="0" w:right="6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0" w:after="0"/>
              <w:ind w:left="0" w:right="5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2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0" w:after="0"/>
              <w:ind w:left="0" w:right="37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2.6</w:t>
            </w:r>
          </w:p>
        </w:tc>
      </w:tr>
      <w:tr>
        <w:trPr>
          <w:trHeight w:hRule="exact" w:val="408"/>
        </w:trPr>
        <w:tc>
          <w:tcPr>
            <w:tcW w:type="dxa" w:w="2112"/>
            <w:tcBorders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8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Export growth (avg.)</w:t>
            </w:r>
          </w:p>
        </w:tc>
        <w:tc>
          <w:tcPr>
            <w:tcW w:type="dxa" w:w="540"/>
            <w:tcBorders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8" w:after="0"/>
              <w:ind w:left="0" w:right="7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680"/>
            <w:tcBorders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8" w:after="0"/>
              <w:ind w:left="0" w:right="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14%</w:t>
            </w:r>
          </w:p>
        </w:tc>
        <w:tc>
          <w:tcPr>
            <w:tcW w:type="dxa" w:w="1040"/>
            <w:tcBorders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8" w:after="0"/>
              <w:ind w:left="0" w:right="22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18%</w:t>
            </w:r>
          </w:p>
        </w:tc>
        <w:tc>
          <w:tcPr>
            <w:tcW w:type="dxa" w:w="540"/>
            <w:tcBorders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8" w:after="0"/>
              <w:ind w:left="0" w:right="7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680"/>
            <w:tcBorders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8" w:after="0"/>
              <w:ind w:left="0" w:right="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12%</w:t>
            </w:r>
          </w:p>
        </w:tc>
        <w:tc>
          <w:tcPr>
            <w:tcW w:type="dxa" w:w="1000"/>
            <w:tcBorders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8" w:after="0"/>
              <w:ind w:left="0" w:right="20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17%</w:t>
            </w:r>
          </w:p>
        </w:tc>
        <w:tc>
          <w:tcPr>
            <w:tcW w:type="dxa" w:w="560"/>
            <w:tcBorders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8" w:after="0"/>
              <w:ind w:left="0" w:right="9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660"/>
            <w:tcBorders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8" w:after="0"/>
              <w:ind w:left="0" w:right="4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9%</w:t>
            </w:r>
          </w:p>
        </w:tc>
        <w:tc>
          <w:tcPr>
            <w:tcW w:type="dxa" w:w="1288"/>
            <w:tcBorders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8" w:after="0"/>
              <w:ind w:left="0" w:right="30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11%</w:t>
            </w:r>
          </w:p>
        </w:tc>
      </w:tr>
    </w:tbl>
    <w:p>
      <w:pPr>
        <w:autoSpaceDN w:val="0"/>
        <w:autoSpaceDE w:val="0"/>
        <w:widowControl/>
        <w:spacing w:line="324" w:lineRule="exact" w:before="0" w:after="0"/>
        <w:ind w:left="288" w:right="144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* Uzbekistan Y+6 = 2023, latest available.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Thailand LPI pre-2007 interpolated from trade cost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estimates.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Source: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World Bank WDI, author calculations.</w:t>
      </w:r>
    </w:p>
    <w:p>
      <w:pPr>
        <w:autoSpaceDN w:val="0"/>
        <w:autoSpaceDE w:val="0"/>
        <w:widowControl/>
        <w:spacing w:line="288" w:lineRule="exact" w:before="480" w:after="0"/>
        <w:ind w:left="682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Three analytical patterns emerge from Table 4.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First,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reversal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Uzbekistan-specific.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Both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Vietnam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exhibited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rising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GDP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years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0–10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post-reform,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consistent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flying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logic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capital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advantages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newly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opened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economies. Uzbekistan’s post-reform FDI trajectory is anomalous: inflows peaked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4.1%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GDP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2017–2018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(primarily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BRI-linked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Chinese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construction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nance) and declined to 2.4% by 2023.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 is not a global FDI cycle phenomenon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— global FDI recovered strongly post-COVID — but reflects structural deterrents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specific to Uzbekistan’s investment environment.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Second, the manufacturing VA starting levels are comparable but the tra-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jectories diverge sharply by year 5.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Thailand and Vietnam both converted their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initial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19–20%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22–25%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year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gaining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2–5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percentage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points.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rose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13.8%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(2017)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to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19.2%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(2022)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5.4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percentage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point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gain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outpaces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both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comparators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stage.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divergence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drove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growth: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gain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export-oriented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gain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primarily domestic-market manufacturing and construction-related output.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Third, the BOI comparison is instructive for SEZ design.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Thailand’s suc-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automatic: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required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deliberately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tiered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BOI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incentive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system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offered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greater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privileges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export-intensive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technology-intensive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vestors, created dedicated industrial estates with committed infrastructure (rather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than merely designating land), and operated a streamlined one-stop-shop approval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mechanism.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comparison with Uzbekistan’s SEZ landscape is pursued in Sec-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tion 7.</w:t>
      </w:r>
    </w:p>
    <w:p>
      <w:pPr>
        <w:autoSpaceDN w:val="0"/>
        <w:autoSpaceDE w:val="0"/>
        <w:widowControl/>
        <w:spacing w:line="288" w:lineRule="exact" w:before="350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37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018"/>
        </w:trPr>
        <w:tc>
          <w:tcPr>
            <w:tcW w:type="dxa" w:w="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4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5.4</w:t>
            </w:r>
          </w:p>
        </w:tc>
        <w:tc>
          <w:tcPr>
            <w:tcW w:type="dxa" w:w="87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176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The Automotive Sector Parallel</w:t>
            </w:r>
          </w:p>
        </w:tc>
      </w:tr>
    </w:tbl>
    <w:p>
      <w:pPr>
        <w:autoSpaceDN w:val="0"/>
        <w:autoSpaceDE w:val="0"/>
        <w:widowControl/>
        <w:spacing w:line="424" w:lineRule="exact" w:before="11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automotive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hub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status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directly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relevant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sectoral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parallel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automotive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industry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grew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near-zero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1978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to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1.5 million vehicle production by 2005, becoming “the Detroit of Asia,” through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combination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Japanese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OEM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(Toyota,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Honda),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BOI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incentives,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the deliberate development of a domestic Tier 2–3 supplier base through local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content requirements progressively phased in over 15 years (1978–1994, declining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 50% to 0% as the sector matured).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automotive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ambitions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centred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(now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UzAuto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Motors)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joint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venture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recent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Hyundai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Motor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agreement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replicate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early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lack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supplier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ecosystem.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2023,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UzAuto Motors produces approximately 350,000 vehicles annually, primarily for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domestic market and CIS re-export.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Local content ratios remain below 30%,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key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components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(engines,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electronics,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body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panels)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Korea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China.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comparison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suggests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15–20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year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project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requiring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dedicated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supplier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programmes,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tech-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nology transfer agreements, and domestic automotive training institutions — none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 which exist at scale in Uzbekistan as of 2023.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As Kaplinsky &amp; Morris (2001)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demonstrate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similar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contexts,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deep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quires intensive public-private institutional coordination that transcends mere tar-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iff protection.</w:t>
      </w:r>
    </w:p>
    <w:p>
      <w:pPr>
        <w:autoSpaceDN w:val="0"/>
        <w:autoSpaceDE w:val="0"/>
        <w:widowControl/>
        <w:spacing w:line="288" w:lineRule="exact" w:before="5836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38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98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57"/>
        <w:gridCol w:w="4857"/>
      </w:tblGrid>
      <w:tr>
        <w:trPr>
          <w:trHeight w:hRule="exact" w:val="1958"/>
        </w:trPr>
        <w:tc>
          <w:tcPr>
            <w:tcW w:type="dxa" w:w="5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72" w:lineRule="exact" w:before="150" w:after="0"/>
              <w:ind w:left="4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 xml:space="preserve">6 </w:t>
            </w:r>
            <w:r>
              <w:br/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6.1</w:t>
            </w:r>
          </w:p>
        </w:tc>
        <w:tc>
          <w:tcPr>
            <w:tcW w:type="dxa" w:w="884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6" w:val="left"/>
              </w:tabs>
              <w:autoSpaceDE w:val="0"/>
              <w:widowControl/>
              <w:spacing w:line="872" w:lineRule="exact" w:before="150" w:after="0"/>
              <w:ind w:left="100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 xml:space="preserve">Institutional Readiness for GVC Integration </w:t>
            </w:r>
            <w:r>
              <w:br/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Analytical Framework: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Institutions as GVC Entry Condi-</w:t>
            </w:r>
          </w:p>
        </w:tc>
      </w:tr>
    </w:tbl>
    <w:p>
      <w:pPr>
        <w:autoSpaceDN w:val="0"/>
        <w:autoSpaceDE w:val="0"/>
        <w:widowControl/>
        <w:spacing w:line="344" w:lineRule="exact" w:before="138" w:after="0"/>
        <w:ind w:left="1036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tions</w:t>
      </w:r>
    </w:p>
    <w:p>
      <w:pPr>
        <w:autoSpaceDN w:val="0"/>
        <w:autoSpaceDE w:val="0"/>
        <w:widowControl/>
        <w:spacing w:line="424" w:lineRule="exact" w:before="184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GVC literature increasingly recognises that institutional quality is not merely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 background condition for development but a proximate determinant of whether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FDI translates into domestic capability accumulation. Kaplinsky and Morris (2001)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argue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participation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requires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minimum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institutional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threshold: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func-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tioning contract enforcement (so that supplier relationships are credible), property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rights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protection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(so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technology-intensive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firms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regulatory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predictability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(so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investors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plan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multi-year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production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schedules).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low this threshold, FDI flows are possible but tend to be confined to extractive or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infrastructure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generate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enclave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duction networks.</w:t>
      </w:r>
    </w:p>
    <w:p>
      <w:pPr>
        <w:autoSpaceDN w:val="0"/>
        <w:autoSpaceDE w:val="0"/>
        <w:widowControl/>
        <w:spacing w:line="424" w:lineRule="exact" w:before="0" w:after="0"/>
        <w:ind w:left="260" w:right="98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Gereffi and Lee (2016) elaborate this point in the context of GVC governance: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firms selecting between “captive” and “relational” governance arrangements will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gravitate toward captive (controlling) arrangements in markets where institutional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weak,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precisely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because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cannot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contract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enforcement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information asymmetries are high.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 creates a self-reinforcing trap: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low insti-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attracts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arrangements,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generate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limited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technology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transfer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thus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limited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institutional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upgrading.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Breaking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trap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requires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institutional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visible,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credible,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verifiable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potential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partners.</w:t>
      </w:r>
    </w:p>
    <w:p>
      <w:pPr>
        <w:autoSpaceDN w:val="0"/>
        <w:autoSpaceDE w:val="0"/>
        <w:widowControl/>
        <w:spacing w:line="424" w:lineRule="exact" w:before="0" w:after="0"/>
        <w:ind w:left="260" w:right="98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 Uzbekistan, this framework predicts that the institutional constraints doc-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umented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below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merely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inconveniences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determinants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type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achievable.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scores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below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regional median on governance indicators, it will attract infrastructure-linked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(which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requires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institutional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trust,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assets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physical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observable) but will struggle to attract the relational manufacturing investment of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Japanese and Korean type that drove Vietnamese upgrading.</w:t>
      </w:r>
    </w:p>
    <w:p>
      <w:pPr>
        <w:autoSpaceDN w:val="0"/>
        <w:autoSpaceDE w:val="0"/>
        <w:widowControl/>
        <w:spacing w:line="288" w:lineRule="exact" w:before="1808" w:after="0"/>
        <w:ind w:left="0" w:right="4632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39</w:t>
      </w:r>
    </w:p>
    <w:p>
      <w:pPr>
        <w:sectPr>
          <w:pgSz w:w="11906" w:h="16838"/>
          <w:pgMar w:top="184" w:right="752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58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37"/>
        <w:gridCol w:w="4837"/>
      </w:tblGrid>
      <w:tr>
        <w:trPr>
          <w:trHeight w:hRule="exact" w:val="1018"/>
        </w:trPr>
        <w:tc>
          <w:tcPr>
            <w:tcW w:type="dxa" w:w="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4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6.2</w:t>
            </w:r>
          </w:p>
        </w:tc>
        <w:tc>
          <w:tcPr>
            <w:tcW w:type="dxa" w:w="87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176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World Governance Indicators: Uzbekistan in Comparative</w:t>
            </w:r>
          </w:p>
        </w:tc>
      </w:tr>
    </w:tbl>
    <w:p>
      <w:pPr>
        <w:autoSpaceDN w:val="0"/>
        <w:autoSpaceDE w:val="0"/>
        <w:widowControl/>
        <w:spacing w:line="344" w:lineRule="exact" w:before="140" w:after="0"/>
        <w:ind w:left="1036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Perspective</w:t>
      </w:r>
    </w:p>
    <w:p>
      <w:pPr>
        <w:autoSpaceDN w:val="0"/>
        <w:autoSpaceDE w:val="0"/>
        <w:widowControl/>
        <w:spacing w:line="288" w:lineRule="exact" w:before="31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 14 presents Uzbekistan’s percentile scores on six World Bank Governance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Indicators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(WGI)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2023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their</w:t>
      </w:r>
    </w:p>
    <w:p>
      <w:pPr>
        <w:autoSpaceDN w:val="0"/>
        <w:autoSpaceDE w:val="0"/>
        <w:widowControl/>
        <w:spacing w:line="286" w:lineRule="exact" w:before="136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respective six-year-post-reform stages and to the global median.</w:t>
      </w:r>
    </w:p>
    <w:p>
      <w:pPr>
        <w:autoSpaceDN w:val="0"/>
        <w:autoSpaceDE w:val="0"/>
        <w:widowControl/>
        <w:spacing w:line="240" w:lineRule="auto" w:before="312" w:after="0"/>
        <w:ind w:left="63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64810" cy="300609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64810" cy="3006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8" w:lineRule="exact" w:before="168" w:after="0"/>
        <w:ind w:left="260" w:right="58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 14: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World Governance Indicators: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Uzbekistan (2023) vs. Vietnam (2007)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(1984)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stages.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Scores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country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percentile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ranks (0–100);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higher is better.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Global median = 50.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World Bank WGI;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pre-WGI Thailand values interpolated from ICRG political risk indices.</w:t>
      </w:r>
    </w:p>
    <w:p>
      <w:pPr>
        <w:autoSpaceDN w:val="0"/>
        <w:autoSpaceDE w:val="0"/>
        <w:widowControl/>
        <w:spacing w:line="288" w:lineRule="exact" w:before="668" w:after="232"/>
        <w:ind w:left="918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 5: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World Governance Indicators: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Comparative Percentile Ranks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1935"/>
        <w:gridCol w:w="1935"/>
        <w:gridCol w:w="1935"/>
        <w:gridCol w:w="1935"/>
        <w:gridCol w:w="1935"/>
      </w:tblGrid>
      <w:tr>
        <w:trPr>
          <w:trHeight w:hRule="exact" w:val="504"/>
        </w:trPr>
        <w:tc>
          <w:tcPr>
            <w:tcW w:type="dxa" w:w="2640"/>
            <w:tcBorders>
              <w:top w:sz="8.79999999999927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WGI Dimension</w:t>
            </w:r>
          </w:p>
        </w:tc>
        <w:tc>
          <w:tcPr>
            <w:tcW w:type="dxa" w:w="1840"/>
            <w:tcBorders>
              <w:top w:sz="8.79999999999927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Uzbekistan 2023</w:t>
            </w:r>
          </w:p>
        </w:tc>
        <w:tc>
          <w:tcPr>
            <w:tcW w:type="dxa" w:w="1600"/>
            <w:tcBorders>
              <w:top w:sz="8.79999999999927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Vietnam 2007</w:t>
            </w:r>
          </w:p>
        </w:tc>
        <w:tc>
          <w:tcPr>
            <w:tcW w:type="dxa" w:w="1740"/>
            <w:tcBorders>
              <w:top w:sz="8.79999999999927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Thailand 1984*</w:t>
            </w:r>
          </w:p>
        </w:tc>
        <w:tc>
          <w:tcPr>
            <w:tcW w:type="dxa" w:w="1568"/>
            <w:tcBorders>
              <w:top w:sz="8.79999999999927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12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Global Median</w:t>
            </w:r>
          </w:p>
        </w:tc>
      </w:tr>
      <w:tr>
        <w:trPr>
          <w:trHeight w:hRule="exact" w:val="432"/>
        </w:trPr>
        <w:tc>
          <w:tcPr>
            <w:tcW w:type="dxa" w:w="264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Voice &amp; Accountability</w:t>
            </w:r>
          </w:p>
        </w:tc>
        <w:tc>
          <w:tcPr>
            <w:tcW w:type="dxa" w:w="184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5.2</w:t>
            </w:r>
          </w:p>
        </w:tc>
        <w:tc>
          <w:tcPr>
            <w:tcW w:type="dxa" w:w="160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10.1</w:t>
            </w:r>
          </w:p>
        </w:tc>
        <w:tc>
          <w:tcPr>
            <w:tcW w:type="dxa" w:w="174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18.4</w:t>
            </w:r>
          </w:p>
        </w:tc>
        <w:tc>
          <w:tcPr>
            <w:tcW w:type="dxa" w:w="1568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51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50.0</w:t>
            </w:r>
          </w:p>
        </w:tc>
      </w:tr>
      <w:tr>
        <w:trPr>
          <w:trHeight w:hRule="exact" w:val="360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Political Stability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38.1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41.3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28.9</w:t>
            </w:r>
          </w:p>
        </w:tc>
        <w:tc>
          <w:tcPr>
            <w:tcW w:type="dxa" w:w="1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0" w:right="51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50.0</w:t>
            </w:r>
          </w:p>
        </w:tc>
      </w:tr>
      <w:tr>
        <w:trPr>
          <w:trHeight w:hRule="exact" w:val="340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Government Effectiveness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38.7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44.2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49.6</w:t>
            </w:r>
          </w:p>
        </w:tc>
        <w:tc>
          <w:tcPr>
            <w:tcW w:type="dxa" w:w="1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51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50.0</w:t>
            </w:r>
          </w:p>
        </w:tc>
      </w:tr>
      <w:tr>
        <w:trPr>
          <w:trHeight w:hRule="exact" w:val="360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8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Regulatory Quality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35.2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40.5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51.3</w:t>
            </w:r>
          </w:p>
        </w:tc>
        <w:tc>
          <w:tcPr>
            <w:tcW w:type="dxa" w:w="1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8" w:after="0"/>
              <w:ind w:left="0" w:right="51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50.0</w:t>
            </w:r>
          </w:p>
        </w:tc>
      </w:tr>
      <w:tr>
        <w:trPr>
          <w:trHeight w:hRule="exact" w:val="340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Rule of Law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30.6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38.7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47.1</w:t>
            </w:r>
          </w:p>
        </w:tc>
        <w:tc>
          <w:tcPr>
            <w:tcW w:type="dxa" w:w="1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" w:after="0"/>
              <w:ind w:left="0" w:right="51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50.0</w:t>
            </w:r>
          </w:p>
        </w:tc>
      </w:tr>
      <w:tr>
        <w:trPr>
          <w:trHeight w:hRule="exact" w:val="410"/>
        </w:trPr>
        <w:tc>
          <w:tcPr>
            <w:tcW w:type="dxa" w:w="2640"/>
            <w:tcBorders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6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Control of Corruption</w:t>
            </w:r>
          </w:p>
        </w:tc>
        <w:tc>
          <w:tcPr>
            <w:tcW w:type="dxa" w:w="1840"/>
            <w:tcBorders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24.0</w:t>
            </w:r>
          </w:p>
        </w:tc>
        <w:tc>
          <w:tcPr>
            <w:tcW w:type="dxa" w:w="1600"/>
            <w:tcBorders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27.3</w:t>
            </w:r>
          </w:p>
        </w:tc>
        <w:tc>
          <w:tcPr>
            <w:tcW w:type="dxa" w:w="1740"/>
            <w:tcBorders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42.8</w:t>
            </w:r>
          </w:p>
        </w:tc>
        <w:tc>
          <w:tcPr>
            <w:tcW w:type="dxa" w:w="1568"/>
            <w:tcBorders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6" w:after="0"/>
              <w:ind w:left="0" w:right="51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50.0</w:t>
            </w:r>
          </w:p>
        </w:tc>
      </w:tr>
      <w:tr>
        <w:trPr>
          <w:trHeight w:hRule="exact" w:val="504"/>
        </w:trPr>
        <w:tc>
          <w:tcPr>
            <w:tcW w:type="dxa" w:w="2640"/>
            <w:tcBorders>
              <w:top w:sz="5.736000061035156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4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4"/>
              </w:rPr>
              <w:t>WGI Composite (mean)</w:t>
            </w:r>
          </w:p>
        </w:tc>
        <w:tc>
          <w:tcPr>
            <w:tcW w:type="dxa" w:w="1840"/>
            <w:tcBorders>
              <w:top w:sz="5.736000061035156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4"/>
              </w:rPr>
              <w:t>28.6</w:t>
            </w:r>
          </w:p>
        </w:tc>
        <w:tc>
          <w:tcPr>
            <w:tcW w:type="dxa" w:w="1600"/>
            <w:tcBorders>
              <w:top w:sz="5.736000061035156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4"/>
              </w:rPr>
              <w:t>33.7</w:t>
            </w:r>
          </w:p>
        </w:tc>
        <w:tc>
          <w:tcPr>
            <w:tcW w:type="dxa" w:w="1740"/>
            <w:tcBorders>
              <w:top w:sz="5.736000061035156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4"/>
              </w:rPr>
              <w:t>39.7</w:t>
            </w:r>
          </w:p>
        </w:tc>
        <w:tc>
          <w:tcPr>
            <w:tcW w:type="dxa" w:w="1568"/>
            <w:tcBorders>
              <w:top w:sz="5.736000061035156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4" w:after="0"/>
              <w:ind w:left="0" w:right="512" w:firstLine="0"/>
              <w:jc w:val="righ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24"/>
              </w:rPr>
              <w:t>50.0</w:t>
            </w:r>
          </w:p>
        </w:tc>
      </w:tr>
    </w:tbl>
    <w:p>
      <w:pPr>
        <w:autoSpaceDN w:val="0"/>
        <w:autoSpaceDE w:val="0"/>
        <w:widowControl/>
        <w:spacing w:line="238" w:lineRule="exact" w:before="60" w:after="0"/>
        <w:ind w:left="332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* Pre-WGI Thailand estimates interpolated from ICRG Risk Ratings; Vietnam 2007 from World</w:t>
      </w:r>
    </w:p>
    <w:p>
      <w:pPr>
        <w:autoSpaceDN w:val="0"/>
        <w:autoSpaceDE w:val="0"/>
        <w:widowControl/>
        <w:spacing w:line="240" w:lineRule="exact" w:before="110" w:after="0"/>
        <w:ind w:left="39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Bank WGI database.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All values are percentile ranks (0–100).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Source: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World Bank Governance</w:t>
      </w:r>
    </w:p>
    <w:p>
      <w:pPr>
        <w:autoSpaceDN w:val="0"/>
        <w:autoSpaceDE w:val="0"/>
        <w:widowControl/>
        <w:spacing w:line="238" w:lineRule="exact" w:before="110" w:after="0"/>
        <w:ind w:left="0" w:right="2910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Indicators; ICRG; author calculations.</w:t>
      </w:r>
    </w:p>
    <w:p>
      <w:pPr>
        <w:autoSpaceDN w:val="0"/>
        <w:autoSpaceDE w:val="0"/>
        <w:widowControl/>
        <w:spacing w:line="288" w:lineRule="exact" w:before="462" w:after="0"/>
        <w:ind w:left="0" w:right="4592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40</w:t>
      </w:r>
    </w:p>
    <w:p>
      <w:pPr>
        <w:sectPr>
          <w:pgSz w:w="11906" w:h="16838"/>
          <w:pgMar w:top="184" w:right="792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reveals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consistent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pattern: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year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+6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(2023)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scores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approximately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5–10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percentile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points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below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year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+6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(2007)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every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governance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dimension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except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Stability.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gaps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largest in Control of Corruption (6-point deficit) and Rule of Law (8-point deficit)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— precisely the dimensions most critical for manufacturing investment decisions,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determine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reliability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supplier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contracts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security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prietary technology brought by investing firms.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comparison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(1984)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complex,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tutional environment at that stage was shaped by a different post-colonial history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bureaucratic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tradition.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However,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even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scored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above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Uzbekistan on Regulatory Quality and Government Effectiveness, suggesting that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nothing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inevitable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about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current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gap: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reflects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current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 choices rather than irreversible institutional legacies.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1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6.3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Regulatory Quality: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Investment Climate Dimensions</w:t>
      </w:r>
    </w:p>
    <w:p>
      <w:pPr>
        <w:autoSpaceDN w:val="0"/>
        <w:autoSpaceDE w:val="0"/>
        <w:widowControl/>
        <w:spacing w:line="424" w:lineRule="exact" w:before="184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World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Bank’s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B-READY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(Business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Ready)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Index,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replaced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Doing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Business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2023,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offers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granular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picture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regulatory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relevant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 manufacturing investment.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Table 6 presents Uzbekistan’s scores on dimensions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most critical for export-oriented manufacturing FDI.</w:t>
      </w:r>
    </w:p>
    <w:p>
      <w:pPr>
        <w:autoSpaceDN w:val="0"/>
        <w:autoSpaceDE w:val="0"/>
        <w:widowControl/>
        <w:spacing w:line="340" w:lineRule="exact" w:before="206" w:after="23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 6: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Selected B-READY / Doing Business Indicators: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 and Com-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parators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10.0" w:type="dxa"/>
      </w:tblPr>
      <w:tblGrid>
        <w:gridCol w:w="2410"/>
        <w:gridCol w:w="2410"/>
        <w:gridCol w:w="2410"/>
        <w:gridCol w:w="2410"/>
      </w:tblGrid>
      <w:tr>
        <w:trPr>
          <w:trHeight w:hRule="exact" w:val="502"/>
        </w:trPr>
        <w:tc>
          <w:tcPr>
            <w:tcW w:type="dxa" w:w="3710"/>
            <w:tcBorders>
              <w:top w:sz="9.600000000000364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Indicator</w:t>
            </w:r>
          </w:p>
        </w:tc>
        <w:tc>
          <w:tcPr>
            <w:tcW w:type="dxa" w:w="1840"/>
            <w:tcBorders>
              <w:top w:sz="9.600000000000364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Uzbekistan 2023</w:t>
            </w:r>
          </w:p>
        </w:tc>
        <w:tc>
          <w:tcPr>
            <w:tcW w:type="dxa" w:w="1580"/>
            <w:tcBorders>
              <w:top w:sz="9.600000000000364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Vietnam 2023</w:t>
            </w:r>
          </w:p>
        </w:tc>
        <w:tc>
          <w:tcPr>
            <w:tcW w:type="dxa" w:w="1528"/>
            <w:tcBorders>
              <w:top w:sz="9.600000000000364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13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Thailand 2023</w:t>
            </w:r>
          </w:p>
        </w:tc>
      </w:tr>
      <w:tr>
        <w:trPr>
          <w:trHeight w:hRule="exact" w:val="430"/>
        </w:trPr>
        <w:tc>
          <w:tcPr>
            <w:tcW w:type="dxa" w:w="371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Starting a Business (days)</w:t>
            </w:r>
          </w:p>
        </w:tc>
        <w:tc>
          <w:tcPr>
            <w:tcW w:type="dxa" w:w="184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8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28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636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trHeight w:hRule="exact" w:val="360"/>
        </w:trPr>
        <w:tc>
          <w:tcPr>
            <w:tcW w:type="dxa" w:w="37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4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Registering Property (days)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57</w:t>
            </w:r>
          </w:p>
        </w:tc>
        <w:tc>
          <w:tcPr>
            <w:tcW w:type="dxa" w:w="1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4" w:after="0"/>
              <w:ind w:left="0" w:right="636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trHeight w:hRule="exact" w:val="340"/>
        </w:trPr>
        <w:tc>
          <w:tcPr>
            <w:tcW w:type="dxa" w:w="37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Trading Across Borders: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Export (hrs)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89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1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576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18</w:t>
            </w:r>
          </w:p>
        </w:tc>
      </w:tr>
      <w:tr>
        <w:trPr>
          <w:trHeight w:hRule="exact" w:val="360"/>
        </w:trPr>
        <w:tc>
          <w:tcPr>
            <w:tcW w:type="dxa" w:w="37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Trading Across Borders: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Import (hrs)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112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55</w:t>
            </w:r>
          </w:p>
        </w:tc>
        <w:tc>
          <w:tcPr>
            <w:tcW w:type="dxa" w:w="1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0" w:right="576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trHeight w:hRule="exact" w:val="340"/>
        </w:trPr>
        <w:tc>
          <w:tcPr>
            <w:tcW w:type="dxa" w:w="37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Enforcing Contracts (days)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290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400</w:t>
            </w:r>
          </w:p>
        </w:tc>
        <w:tc>
          <w:tcPr>
            <w:tcW w:type="dxa" w:w="1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516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420</w:t>
            </w:r>
          </w:p>
        </w:tc>
      </w:tr>
      <w:tr>
        <w:trPr>
          <w:trHeight w:hRule="exact" w:val="360"/>
        </w:trPr>
        <w:tc>
          <w:tcPr>
            <w:tcW w:type="dxa" w:w="37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8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Resolving Insolvency (years)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8" w:after="0"/>
              <w:ind w:left="0" w:right="546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1.5</w:t>
            </w:r>
          </w:p>
        </w:tc>
      </w:tr>
      <w:tr>
        <w:trPr>
          <w:trHeight w:hRule="exact" w:val="406"/>
        </w:trPr>
        <w:tc>
          <w:tcPr>
            <w:tcW w:type="dxa" w:w="3710"/>
            <w:tcBorders>
              <w:bottom w:sz="9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8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Getting Electricity (days)</w:t>
            </w:r>
          </w:p>
        </w:tc>
        <w:tc>
          <w:tcPr>
            <w:tcW w:type="dxa" w:w="1840"/>
            <w:tcBorders>
              <w:bottom w:sz="9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80"/>
            <w:tcBorders>
              <w:bottom w:sz="9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28"/>
            <w:tcBorders>
              <w:bottom w:sz="9.59999999999945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8" w:after="0"/>
              <w:ind w:left="0" w:right="576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332" w:lineRule="exact" w:before="0" w:after="0"/>
        <w:ind w:left="432" w:right="144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Source: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World Bank B-READY 2023; World Bank Doing Business 2020 (Vietnam/Thailand).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Uzbekistan Doing Business data from last available survey (2020) where B-READY not yet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published.</w:t>
      </w:r>
    </w:p>
    <w:p>
      <w:pPr>
        <w:autoSpaceDN w:val="0"/>
        <w:autoSpaceDE w:val="0"/>
        <w:widowControl/>
        <w:spacing w:line="424" w:lineRule="exact" w:before="290" w:after="0"/>
        <w:ind w:left="260" w:right="0" w:firstLine="422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Two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dimensions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out.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First,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across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borders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directly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relevant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indicator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export-oriented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shows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bor-</w:t>
      </w:r>
    </w:p>
    <w:p>
      <w:pPr>
        <w:autoSpaceDN w:val="0"/>
        <w:autoSpaceDE w:val="0"/>
        <w:widowControl/>
        <w:spacing w:line="288" w:lineRule="exact" w:before="310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41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crossing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(89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hours)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nearly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double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(48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hours)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five times Thailand’s (18 hours).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This is not merely a bureaucratic inconvenience: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 71-hour additional delay per export shipment, compounded across a supply chain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requiring regular just-in-time component delivery, can render time-sensitive man-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ufacturing economically unviable regardless of labour cost advantages.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Second, contract enforcement time (290 days) is notably shorter than Vietnam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(400 days) and Thailand (420 days), suggesting that Uzbekistan’s judicial system,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while weak on independence (as captured in Rule of Law), is relatively efficient in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processing commercial disputes.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This represents an underappreciated institutional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asset that should be emphasised in investment promotion.</w:t>
      </w:r>
    </w:p>
    <w:p>
      <w:pPr>
        <w:autoSpaceDN w:val="0"/>
        <w:tabs>
          <w:tab w:pos="1036" w:val="left"/>
        </w:tabs>
        <w:autoSpaceDE w:val="0"/>
        <w:widowControl/>
        <w:spacing w:line="346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6.4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Investment Treaty Architecture</w:t>
      </w:r>
    </w:p>
    <w:p>
      <w:pPr>
        <w:autoSpaceDN w:val="0"/>
        <w:autoSpaceDE w:val="0"/>
        <w:widowControl/>
        <w:spacing w:line="424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 country’s bilateral investment treaty (BIT) network constitutes a credible com-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mitment device that reduces political risk for foreign investors by establishing in-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ternational arbitration mechanisms, national treatment guarantees, and protections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against expropriation.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UNCTAD’s Investment Policy Framework records Uzbek-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istan as party to 49 BITs in force as of 2023, compared to Vietnam (66 BITs) 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(41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BITs).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coverage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therefore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systematically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inferior to Thailand’s, though it is weaker than Vietnam’s.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However,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quality and enforceability of BITs matters as much as quantity.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Several of Uzbekistan’s BITs — including those with China, Russia, and several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Gulf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were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concluded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before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2010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outdated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templates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lack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investor-state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dispute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settlement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(ISDS)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provisions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consistent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modern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dards (UNCITRAL Rules 2013, ICSID Convention). The absence of a functioning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double-taxation treaty (DTT) with Japan until 2023 represented a particular deter-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rent to Japanese manufacturing investment, as Japanese conglomerates’ corporate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treasury departments treat DTT coverage as a threshold requirement for long-term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equity investment.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Japan-Uzbekistan DTT signed in 2023 is therefore a sig-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nificant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institutional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post-dates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period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but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should be monitored as a leading indicator of Japanese FDI.</w:t>
      </w:r>
    </w:p>
    <w:p>
      <w:pPr>
        <w:autoSpaceDN w:val="0"/>
        <w:autoSpaceDE w:val="0"/>
        <w:widowControl/>
        <w:spacing w:line="288" w:lineRule="exact" w:before="2008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42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7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45"/>
        <w:gridCol w:w="4845"/>
      </w:tblGrid>
      <w:tr>
        <w:trPr>
          <w:trHeight w:hRule="exact" w:val="1018"/>
        </w:trPr>
        <w:tc>
          <w:tcPr>
            <w:tcW w:type="dxa" w:w="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4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6.5</w:t>
            </w:r>
          </w:p>
        </w:tc>
        <w:tc>
          <w:tcPr>
            <w:tcW w:type="dxa" w:w="87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176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Human Capital: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The Skill Supply Constraint</w:t>
            </w:r>
          </w:p>
        </w:tc>
      </w:tr>
    </w:tbl>
    <w:p>
      <w:pPr>
        <w:autoSpaceDN w:val="0"/>
        <w:autoSpaceDE w:val="0"/>
        <w:widowControl/>
        <w:spacing w:line="424" w:lineRule="exact" w:before="118" w:after="0"/>
        <w:ind w:left="144" w:right="0" w:firstLine="0"/>
        <w:jc w:val="center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Manufacturing GVC integration at the relational level — the type associated with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technology transfer and upgrading — requires not merely abundant low-cost labour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workers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sufficient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technical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skills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operate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maintain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capital-intensive equipment, middle managers who can interface with foreign part-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ners, and engineers capable of product adaptation and process improvement. These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capabilities are measured imperfectly by standard human development indicators.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0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Table 7 presents a comparative overview of human capital indicators relevant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 manufacturing.</w:t>
      </w:r>
    </w:p>
    <w:p>
      <w:pPr>
        <w:autoSpaceDN w:val="0"/>
        <w:autoSpaceDE w:val="0"/>
        <w:widowControl/>
        <w:spacing w:line="288" w:lineRule="exact" w:before="330" w:after="230"/>
        <w:ind w:left="1198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 7: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Human Capital Indicators: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 and Comparators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96.0" w:type="dxa"/>
      </w:tblPr>
      <w:tblGrid>
        <w:gridCol w:w="2422"/>
        <w:gridCol w:w="2422"/>
        <w:gridCol w:w="2422"/>
        <w:gridCol w:w="2422"/>
      </w:tblGrid>
      <w:tr>
        <w:trPr>
          <w:trHeight w:hRule="exact" w:val="502"/>
        </w:trPr>
        <w:tc>
          <w:tcPr>
            <w:tcW w:type="dxa" w:w="4744"/>
            <w:tcBorders>
              <w:top w:sz="8.80000000000018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8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Indicator</w:t>
            </w:r>
          </w:p>
        </w:tc>
        <w:tc>
          <w:tcPr>
            <w:tcW w:type="dxa" w:w="1320"/>
            <w:tcBorders>
              <w:top w:sz="8.80000000000018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Uzbekistan</w:t>
            </w:r>
          </w:p>
        </w:tc>
        <w:tc>
          <w:tcPr>
            <w:tcW w:type="dxa" w:w="1040"/>
            <w:tcBorders>
              <w:top w:sz="8.80000000000018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Vietnam</w:t>
            </w:r>
          </w:p>
        </w:tc>
        <w:tc>
          <w:tcPr>
            <w:tcW w:type="dxa" w:w="980"/>
            <w:tcBorders>
              <w:top w:sz="8.800000000000182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8" w:after="0"/>
              <w:ind w:left="13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Thailand</w:t>
            </w:r>
          </w:p>
        </w:tc>
      </w:tr>
      <w:tr>
        <w:trPr>
          <w:trHeight w:hRule="exact" w:val="430"/>
        </w:trPr>
        <w:tc>
          <w:tcPr>
            <w:tcW w:type="dxa" w:w="4744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Human Capital Index (HCI, 2020)</w:t>
            </w:r>
          </w:p>
        </w:tc>
        <w:tc>
          <w:tcPr>
            <w:tcW w:type="dxa" w:w="132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0.58</w:t>
            </w:r>
          </w:p>
        </w:tc>
        <w:tc>
          <w:tcPr>
            <w:tcW w:type="dxa" w:w="104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0.69</w:t>
            </w:r>
          </w:p>
        </w:tc>
        <w:tc>
          <w:tcPr>
            <w:tcW w:type="dxa" w:w="98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0" w:right="21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0.61</w:t>
            </w:r>
          </w:p>
        </w:tc>
      </w:tr>
      <w:tr>
        <w:trPr>
          <w:trHeight w:hRule="exact" w:val="360"/>
        </w:trPr>
        <w:tc>
          <w:tcPr>
            <w:tcW w:type="dxa" w:w="47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4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Tertiary enrolment ratio (%, 2022)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28.1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31.7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4" w:after="0"/>
              <w:ind w:left="0" w:right="21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49.3</w:t>
            </w:r>
          </w:p>
        </w:tc>
      </w:tr>
      <w:tr>
        <w:trPr>
          <w:trHeight w:hRule="exact" w:val="340"/>
        </w:trPr>
        <w:tc>
          <w:tcPr>
            <w:tcW w:type="dxa" w:w="47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STEM graduates (% of tertiary, 2021)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22.4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27.3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21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19.8</w:t>
            </w:r>
          </w:p>
        </w:tc>
      </w:tr>
      <w:tr>
        <w:trPr>
          <w:trHeight w:hRule="exact" w:val="360"/>
        </w:trPr>
        <w:tc>
          <w:tcPr>
            <w:tcW w:type="dxa" w:w="47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Technical/vocational enrolment (2022, %)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12.3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16.1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2" w:after="0"/>
              <w:ind w:left="0" w:right="21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24.7</w:t>
            </w:r>
          </w:p>
        </w:tc>
      </w:tr>
      <w:tr>
        <w:trPr>
          <w:trHeight w:hRule="exact" w:val="340"/>
        </w:trPr>
        <w:tc>
          <w:tcPr>
            <w:tcW w:type="dxa" w:w="47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Labour force growth rate (avg., 2017–22)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2.1%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1.0%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17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0.5%</w:t>
            </w:r>
          </w:p>
        </w:tc>
      </w:tr>
      <w:tr>
        <w:trPr>
          <w:trHeight w:hRule="exact" w:val="418"/>
        </w:trPr>
        <w:tc>
          <w:tcPr>
            <w:tcW w:type="dxa" w:w="4744"/>
            <w:tcBorders>
              <w:bottom w:sz="9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8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Avg.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monthly manufacturing wage (USD, 2022)</w:t>
            </w:r>
          </w:p>
        </w:tc>
        <w:tc>
          <w:tcPr>
            <w:tcW w:type="dxa" w:w="1320"/>
            <w:tcBorders>
              <w:bottom w:sz="9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$280</w:t>
            </w:r>
          </w:p>
        </w:tc>
        <w:tc>
          <w:tcPr>
            <w:tcW w:type="dxa" w:w="1040"/>
            <w:tcBorders>
              <w:bottom w:sz="9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$315</w:t>
            </w:r>
          </w:p>
        </w:tc>
        <w:tc>
          <w:tcPr>
            <w:tcW w:type="dxa" w:w="980"/>
            <w:tcBorders>
              <w:bottom w:sz="9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8" w:after="0"/>
              <w:ind w:left="0" w:right="186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$470</w:t>
            </w:r>
          </w:p>
        </w:tc>
      </w:tr>
    </w:tbl>
    <w:p>
      <w:pPr>
        <w:autoSpaceDN w:val="0"/>
        <w:autoSpaceDE w:val="0"/>
        <w:widowControl/>
        <w:spacing w:line="240" w:lineRule="exact" w:before="62" w:after="0"/>
        <w:ind w:left="684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Sources: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World Bank HCI 2020; UNESCO Institute for Statistics; ILO Labour Statistics.</w:t>
      </w:r>
    </w:p>
    <w:p>
      <w:pPr>
        <w:autoSpaceDN w:val="0"/>
        <w:autoSpaceDE w:val="0"/>
        <w:widowControl/>
        <w:spacing w:line="424" w:lineRule="exact" w:before="344" w:after="0"/>
        <w:ind w:left="260" w:right="7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 presents a contradictory human capital picture.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On the one hand,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its labour force is young and growing rapidly (2.1% annually), its STEM graduate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share (22.4%) is higher than Thailand’s, and its manufacturing wage ($280/month)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meaningfully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below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($315)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($470)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preserving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 competitiveness advantage in labour-intensive assembly.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On the other hand,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its Human Capital Index (0.58) is significantly below Vietnam’s (0.69), reflecting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deficits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health,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schooling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quality,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adult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skills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measured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PIAAC-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aligned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competency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assessments.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Crucially,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technical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vocational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education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enrolment (12.3%) is substantially below the comparators, meaning that the sup-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ply of industry-ready technical workers is constrained relative to the demand that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expansion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would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generate.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Soviet-era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technical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education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infrastructure,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though partially preserved,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 not calibrated to the electronics,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tomotive,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precision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skills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demanded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Japanese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Korean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 partners.</w:t>
      </w:r>
    </w:p>
    <w:p>
      <w:pPr>
        <w:autoSpaceDN w:val="0"/>
        <w:autoSpaceDE w:val="0"/>
        <w:widowControl/>
        <w:spacing w:line="288" w:lineRule="exact" w:before="722" w:after="0"/>
        <w:ind w:left="0" w:right="460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43</w:t>
      </w:r>
    </w:p>
    <w:p>
      <w:pPr>
        <w:sectPr>
          <w:pgSz w:w="11906" w:h="16838"/>
          <w:pgMar w:top="184" w:right="77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018"/>
        </w:trPr>
        <w:tc>
          <w:tcPr>
            <w:tcW w:type="dxa" w:w="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4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6.6</w:t>
            </w:r>
          </w:p>
        </w:tc>
        <w:tc>
          <w:tcPr>
            <w:tcW w:type="dxa" w:w="87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176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Synthesis: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The Institutional Gap Score</w:t>
            </w:r>
          </w:p>
        </w:tc>
      </w:tr>
    </w:tbl>
    <w:p>
      <w:pPr>
        <w:autoSpaceDN w:val="0"/>
        <w:autoSpaceDE w:val="0"/>
        <w:widowControl/>
        <w:spacing w:line="424" w:lineRule="exact" w:before="11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summarise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institutional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readiness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assessment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suitable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parison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SEZ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constraint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analyses,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15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presents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normalised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radar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scoring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across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seven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institutional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dimensions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to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 at comparable reform stage.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Scores are normalised on a 0–10 scale, with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10 representing the maximum observed value in the comparator set.</w:t>
      </w:r>
    </w:p>
    <w:p>
      <w:pPr>
        <w:autoSpaceDN w:val="0"/>
        <w:autoSpaceDE w:val="0"/>
        <w:widowControl/>
        <w:spacing w:line="240" w:lineRule="auto" w:before="312" w:after="0"/>
        <w:ind w:left="166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157980" cy="415797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57980" cy="4157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0" w:lineRule="exact" w:before="164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 15: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Institutional Readiness Radar: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Uzbekistan vs. Vietnam at Reform Year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+6. Scores normalised 0–10; 10 = best in comparator set. Dimensions: WGI Com-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posite,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Efficiency,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Contract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Enforcement,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Coverage,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HCI,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STEM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Supply, Labour Cost.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World Bank, UNCTAD, ILO; author calculations.</w:t>
      </w:r>
    </w:p>
    <w:p>
      <w:pPr>
        <w:autoSpaceDN w:val="0"/>
        <w:autoSpaceDE w:val="0"/>
        <w:widowControl/>
        <w:spacing w:line="424" w:lineRule="exact" w:before="398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scores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competitively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Labour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STEM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relative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 Vietnam, and favourably on Trading Efficiency’s contract-enforcement dimen-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sion. The most significant deficits are in WGI Composite (governance quality) 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Trading Efficiency (border crossing time). These dimensions map directly onto 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type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upgrade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needed: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(infrastructure,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resource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extraction)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relational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(technology-intensive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requires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precisely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governance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facilitation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speed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currently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under-</w:t>
      </w:r>
    </w:p>
    <w:p>
      <w:pPr>
        <w:autoSpaceDN w:val="0"/>
        <w:autoSpaceDE w:val="0"/>
        <w:widowControl/>
        <w:spacing w:line="288" w:lineRule="exact" w:before="440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44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286" w:lineRule="exact" w:before="586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delivers relative to its comparators.</w:t>
      </w:r>
    </w:p>
    <w:p>
      <w:pPr>
        <w:autoSpaceDN w:val="0"/>
        <w:autoSpaceDE w:val="0"/>
        <w:widowControl/>
        <w:spacing w:line="288" w:lineRule="exact" w:before="14602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45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958"/>
        </w:trPr>
        <w:tc>
          <w:tcPr>
            <w:tcW w:type="dxa" w:w="5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72" w:lineRule="exact" w:before="150" w:after="0"/>
              <w:ind w:left="4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 xml:space="preserve">7 </w:t>
            </w:r>
            <w:r>
              <w:br/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7.1</w:t>
            </w:r>
          </w:p>
        </w:tc>
        <w:tc>
          <w:tcPr>
            <w:tcW w:type="dxa" w:w="884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6" w:val="left"/>
              </w:tabs>
              <w:autoSpaceDE w:val="0"/>
              <w:widowControl/>
              <w:spacing w:line="872" w:lineRule="exact" w:before="150" w:after="0"/>
              <w:ind w:left="100" w:right="1152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 xml:space="preserve">Special Economic Zone Effectiveness </w:t>
            </w:r>
            <w:r>
              <w:br/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The Theoretical Role of SEZs in GVC Embedding</w:t>
            </w:r>
          </w:p>
        </w:tc>
      </w:tr>
    </w:tbl>
    <w:p>
      <w:pPr>
        <w:autoSpaceDN w:val="0"/>
        <w:autoSpaceDE w:val="0"/>
        <w:widowControl/>
        <w:spacing w:line="424" w:lineRule="exact" w:before="11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Special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zones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represent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spatial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instrument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country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governments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attempt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create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investment-grade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institutional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condi-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constrained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geographic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perimeter,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bypassing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slower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litically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difficult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process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national-level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logic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straightfor-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ward: if regulatory quality, customs efficiency, and infrastructure are inadequate at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national level to attract export-oriented FDI, create a bounded territory where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those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conditions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prevail,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both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attractor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as a demonstration project that can generate political support for broader reforms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(Farole 2011).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literature on SEZ effectiveness is, however, sharply divided.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Wang (2013)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finds large positive effects of Chinese SEZs on manufacturing output and FDI in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treated regions.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Farole (2011),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analysing SEZs across Africa and South Asia for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IFC,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finds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fewer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one-third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SEZs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countries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achieve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their FDI attraction targets, primarily due to inadequate infrastructure investment,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overly restrictive land allocation processes, and failure to develop backward link-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ages with the domestic economy.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critical distinction,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 Zeng (2016) identi-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fies, is between “standalone” SEZs — isolated industrial estates with no backward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linkage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“networked”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SEZs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national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educa-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tion,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supplier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development,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logistics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systems.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processing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zones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(EPZs)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widely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cited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exemplary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networked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model;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several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of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 zones more closely resemble the standalone model.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7.2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Uzbekistan’s SEZ Landscape</w:t>
      </w:r>
    </w:p>
    <w:p>
      <w:pPr>
        <w:autoSpaceDN w:val="0"/>
        <w:autoSpaceDE w:val="0"/>
        <w:widowControl/>
        <w:spacing w:line="424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2023,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operates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21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free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zones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(FEZs)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over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100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small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industrial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zones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technology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parks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level,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making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one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of the most SEZ-intensive economies in the post-Soviet space by zone count per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capita.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 8 summarises the principal zones with national significance.</w:t>
      </w:r>
    </w:p>
    <w:p>
      <w:pPr>
        <w:autoSpaceDN w:val="0"/>
        <w:autoSpaceDE w:val="0"/>
        <w:widowControl/>
        <w:spacing w:line="288" w:lineRule="exact" w:before="1618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46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286" w:lineRule="exact" w:before="544" w:after="234"/>
        <w:ind w:left="978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 8: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Principal Special Economic Zones in Uzbekistan: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Overview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70.0" w:type="dxa"/>
      </w:tblPr>
      <w:tblGrid>
        <w:gridCol w:w="1607"/>
        <w:gridCol w:w="1607"/>
        <w:gridCol w:w="1607"/>
        <w:gridCol w:w="1607"/>
        <w:gridCol w:w="1607"/>
        <w:gridCol w:w="1607"/>
      </w:tblGrid>
      <w:tr>
        <w:trPr>
          <w:trHeight w:hRule="exact" w:val="436"/>
        </w:trPr>
        <w:tc>
          <w:tcPr>
            <w:tcW w:type="dxa" w:w="1110"/>
            <w:vMerge w:val="restart"/>
            <w:tcBorders>
              <w:top w:sz="8.80000000000006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SEZ</w:t>
            </w:r>
          </w:p>
        </w:tc>
        <w:tc>
          <w:tcPr>
            <w:tcW w:type="dxa" w:w="1380"/>
            <w:vMerge w:val="restart"/>
            <w:tcBorders>
              <w:top w:sz="8.80000000000006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29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Est.</w:t>
            </w:r>
          </w:p>
        </w:tc>
        <w:tc>
          <w:tcPr>
            <w:tcW w:type="dxa" w:w="1180"/>
            <w:tcBorders>
              <w:top w:sz="8.80000000000006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9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Primary</w:t>
            </w:r>
          </w:p>
        </w:tc>
        <w:tc>
          <w:tcPr>
            <w:tcW w:type="dxa" w:w="660"/>
            <w:vMerge w:val="restart"/>
            <w:tcBorders>
              <w:top w:sz="8.80000000000006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Sec-</w:t>
            </w:r>
          </w:p>
        </w:tc>
        <w:tc>
          <w:tcPr>
            <w:tcW w:type="dxa" w:w="1080"/>
            <w:tcBorders>
              <w:top w:sz="8.80000000000006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FDI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At-</w:t>
            </w:r>
          </w:p>
        </w:tc>
        <w:tc>
          <w:tcPr>
            <w:tcW w:type="dxa" w:w="1726"/>
            <w:tcBorders>
              <w:top w:sz="8.80000000000006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6" w:after="0"/>
              <w:ind w:left="13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Northeast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Asian</w:t>
            </w:r>
          </w:p>
        </w:tc>
      </w:tr>
      <w:tr>
        <w:trPr>
          <w:trHeight w:hRule="exact" w:val="364"/>
        </w:trPr>
        <w:tc>
          <w:tcPr>
            <w:tcW w:type="dxa" w:w="1607"/>
            <w:vMerge/>
            <w:tcBorders>
              <w:top w:sz="8.800000000000068" w:val="single" w:color="#000000"/>
            </w:tcBorders>
          </w:tcPr>
          <w:p/>
        </w:tc>
        <w:tc>
          <w:tcPr>
            <w:tcW w:type="dxa" w:w="1607"/>
            <w:vMerge/>
            <w:tcBorders>
              <w:top w:sz="8.800000000000068" w:val="single" w:color="#000000"/>
            </w:tcBorders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0" w:right="60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tor</w:t>
            </w:r>
          </w:p>
        </w:tc>
        <w:tc>
          <w:tcPr>
            <w:tcW w:type="dxa" w:w="1607"/>
            <w:vMerge/>
            <w:tcBorders>
              <w:top w:sz="8.800000000000068" w:val="single" w:color="#000000"/>
            </w:tcBorders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13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tracted</w:t>
            </w:r>
          </w:p>
        </w:tc>
        <w:tc>
          <w:tcPr>
            <w:tcW w:type="dxa" w:w="17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13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Anchor</w:t>
            </w:r>
          </w:p>
        </w:tc>
      </w:tr>
    </w:tbl>
    <w:p>
      <w:pPr>
        <w:autoSpaceDN w:val="0"/>
        <w:autoSpaceDE w:val="0"/>
        <w:widowControl/>
        <w:spacing w:line="240" w:lineRule="exact" w:before="44" w:after="0"/>
        <w:ind w:left="0" w:right="3260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(cum.</w:t>
      </w:r>
    </w:p>
    <w:p>
      <w:pPr>
        <w:autoSpaceDN w:val="0"/>
        <w:autoSpaceDE w:val="0"/>
        <w:widowControl/>
        <w:spacing w:line="238" w:lineRule="exact" w:before="110" w:after="100"/>
        <w:ind w:left="0" w:right="3008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USD m)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62.0" w:type="dxa"/>
      </w:tblPr>
      <w:tblGrid>
        <w:gridCol w:w="1607"/>
        <w:gridCol w:w="1607"/>
        <w:gridCol w:w="1607"/>
        <w:gridCol w:w="1607"/>
        <w:gridCol w:w="1607"/>
        <w:gridCol w:w="1607"/>
      </w:tblGrid>
      <w:tr>
        <w:trPr>
          <w:trHeight w:hRule="exact" w:val="446"/>
        </w:trPr>
        <w:tc>
          <w:tcPr>
            <w:tcW w:type="dxa" w:w="1558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4" w:after="0"/>
              <w:ind w:left="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Navoiy FIEZ</w:t>
            </w:r>
          </w:p>
        </w:tc>
        <w:tc>
          <w:tcPr>
            <w:tcW w:type="dxa" w:w="100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2008</w:t>
            </w:r>
          </w:p>
        </w:tc>
        <w:tc>
          <w:tcPr>
            <w:tcW w:type="dxa" w:w="178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4" w:after="0"/>
              <w:ind w:left="25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Aviation logis-</w:t>
            </w:r>
          </w:p>
        </w:tc>
        <w:tc>
          <w:tcPr>
            <w:tcW w:type="dxa" w:w="90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4" w:after="0"/>
              <w:ind w:left="13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$580</w:t>
            </w:r>
          </w:p>
        </w:tc>
        <w:tc>
          <w:tcPr>
            <w:tcW w:type="dxa" w:w="130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Korean</w:t>
            </w:r>
          </w:p>
        </w:tc>
        <w:tc>
          <w:tcPr>
            <w:tcW w:type="dxa" w:w="614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4" w:after="0"/>
              <w:ind w:left="0" w:right="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Air</w:t>
            </w:r>
          </w:p>
        </w:tc>
      </w:tr>
      <w:tr>
        <w:trPr>
          <w:trHeight w:hRule="exact" w:val="348"/>
        </w:trPr>
        <w:tc>
          <w:tcPr>
            <w:tcW w:type="dxa" w:w="155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04" w:after="0"/>
              <w:ind w:left="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Jizzakh FEZ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0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4" w:after="0"/>
              <w:ind w:left="25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tics, textiles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04" w:after="0"/>
              <w:ind w:left="13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$320</w:t>
            </w:r>
          </w:p>
        </w:tc>
        <w:tc>
          <w:tcPr>
            <w:tcW w:type="dxa" w:w="191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4" w:after="0"/>
              <w:ind w:left="31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Cargo (logist.)</w:t>
            </w:r>
          </w:p>
        </w:tc>
      </w:tr>
      <w:tr>
        <w:trPr>
          <w:trHeight w:hRule="exact" w:val="332"/>
        </w:trPr>
        <w:tc>
          <w:tcPr>
            <w:tcW w:type="dxa" w:w="1607"/>
            <w:vMerge/>
            <w:tcBorders/>
          </w:tcPr>
          <w:p/>
        </w:tc>
        <w:tc>
          <w:tcPr>
            <w:tcW w:type="dxa" w:w="1607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6" w:after="0"/>
              <w:ind w:left="25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Electronics,</w:t>
            </w:r>
          </w:p>
        </w:tc>
        <w:tc>
          <w:tcPr>
            <w:tcW w:type="dxa" w:w="1607"/>
            <w:vMerge/>
            <w:tcBorders/>
          </w:tcPr>
          <w:p/>
        </w:tc>
        <w:tc>
          <w:tcPr>
            <w:tcW w:type="dxa" w:w="191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6" w:after="0"/>
              <w:ind w:left="31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Artel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(Samsung</w:t>
            </w:r>
          </w:p>
        </w:tc>
      </w:tr>
      <w:tr>
        <w:trPr>
          <w:trHeight w:hRule="exact" w:val="366"/>
        </w:trPr>
        <w:tc>
          <w:tcPr>
            <w:tcW w:type="dxa" w:w="155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20" w:after="0"/>
              <w:ind w:left="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Urgench FEZ</w:t>
            </w:r>
          </w:p>
        </w:tc>
        <w:tc>
          <w:tcPr>
            <w:tcW w:type="dxa" w:w="1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2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2" w:after="0"/>
              <w:ind w:left="25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light mfg.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20" w:after="0"/>
              <w:ind w:left="13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$140</w:t>
            </w:r>
          </w:p>
        </w:tc>
        <w:tc>
          <w:tcPr>
            <w:tcW w:type="dxa" w:w="191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2" w:after="0"/>
              <w:ind w:left="31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tech)</w:t>
            </w:r>
          </w:p>
        </w:tc>
      </w:tr>
      <w:tr>
        <w:trPr>
          <w:trHeight w:hRule="exact" w:val="350"/>
        </w:trPr>
        <w:tc>
          <w:tcPr>
            <w:tcW w:type="dxa" w:w="1607"/>
            <w:vMerge/>
            <w:tcBorders/>
          </w:tcPr>
          <w:p/>
        </w:tc>
        <w:tc>
          <w:tcPr>
            <w:tcW w:type="dxa" w:w="1607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4" w:after="0"/>
              <w:ind w:left="25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Textiles,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food</w:t>
            </w:r>
          </w:p>
        </w:tc>
        <w:tc>
          <w:tcPr>
            <w:tcW w:type="dxa" w:w="1607"/>
            <w:vMerge/>
            <w:tcBorders/>
          </w:tcPr>
          <w:p/>
        </w:tc>
        <w:tc>
          <w:tcPr>
            <w:tcW w:type="dxa" w:w="191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4" w:after="0"/>
              <w:ind w:left="31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autoSpaceDN w:val="0"/>
        <w:autoSpaceDE w:val="0"/>
        <w:widowControl/>
        <w:spacing w:line="238" w:lineRule="exact" w:before="46" w:after="54"/>
        <w:ind w:left="0" w:right="444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processing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1928"/>
        <w:gridCol w:w="1928"/>
        <w:gridCol w:w="1928"/>
        <w:gridCol w:w="1928"/>
        <w:gridCol w:w="1928"/>
      </w:tblGrid>
      <w:tr>
        <w:trPr>
          <w:trHeight w:hRule="exact" w:val="350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" w:after="0"/>
              <w:ind w:left="0" w:right="24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Sirdaryo FEZ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" w:after="0"/>
              <w:ind w:left="25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Chemical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$90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" w:after="0"/>
              <w:ind w:left="37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autoSpaceDN w:val="0"/>
        <w:autoSpaceDE w:val="0"/>
        <w:widowControl/>
        <w:spacing w:line="238" w:lineRule="exact" w:before="56" w:after="56"/>
        <w:ind w:left="0" w:right="464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products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rHeight w:hRule="exact" w:val="338"/>
        </w:trPr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4" w:after="0"/>
              <w:ind w:left="0" w:right="6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Angren FEZ</w:t>
            </w:r>
          </w:p>
        </w:tc>
        <w:tc>
          <w:tcPr>
            <w:tcW w:type="dxa" w:w="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5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IT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4" w:after="0"/>
              <w:ind w:left="13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4" w:after="0"/>
              <w:ind w:left="25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Metals,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con-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4" w:after="0"/>
              <w:ind w:left="13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$210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Peng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4" w:after="0"/>
              <w:ind w:left="1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Cheng</w:t>
            </w:r>
          </w:p>
        </w:tc>
      </w:tr>
      <w:tr>
        <w:trPr>
          <w:trHeight w:hRule="exact" w:val="358"/>
        </w:trPr>
        <w:tc>
          <w:tcPr>
            <w:tcW w:type="dxa" w:w="1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14" w:after="0"/>
              <w:ind w:left="0" w:right="41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Tashkent</w:t>
            </w:r>
          </w:p>
        </w:tc>
        <w:tc>
          <w:tcPr>
            <w:tcW w:type="dxa" w:w="1205"/>
            <w:vMerge/>
            <w:tcBorders/>
          </w:tcPr>
          <w:p/>
        </w:tc>
        <w:tc>
          <w:tcPr>
            <w:tcW w:type="dxa" w:w="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14" w:after="0"/>
              <w:ind w:left="13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1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struction mat.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14" w:after="0"/>
              <w:ind w:left="13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$45</w:t>
            </w:r>
          </w:p>
        </w:tc>
        <w:tc>
          <w:tcPr>
            <w:tcW w:type="dxa" w:w="2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4" w:after="0"/>
              <w:ind w:left="31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Park (CHN)</w:t>
            </w:r>
          </w:p>
        </w:tc>
      </w:tr>
      <w:tr>
        <w:trPr>
          <w:trHeight w:hRule="exact" w:val="342"/>
        </w:trPr>
        <w:tc>
          <w:tcPr>
            <w:tcW w:type="dxa" w:w="1205"/>
            <w:vMerge/>
            <w:tcBorders/>
          </w:tcPr>
          <w:p/>
        </w:tc>
        <w:tc>
          <w:tcPr>
            <w:tcW w:type="dxa" w:w="1205"/>
            <w:vMerge/>
            <w:tcBorders/>
          </w:tcPr>
          <w:p/>
        </w:tc>
        <w:tc>
          <w:tcPr>
            <w:tcW w:type="dxa" w:w="1205"/>
            <w:vMerge/>
            <w:tcBorders/>
          </w:tcPr>
          <w:p/>
        </w:tc>
        <w:tc>
          <w:tcPr>
            <w:tcW w:type="dxa" w:w="17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ICT services</w:t>
            </w:r>
          </w:p>
        </w:tc>
        <w:tc>
          <w:tcPr>
            <w:tcW w:type="dxa" w:w="1205"/>
            <w:vMerge/>
            <w:tcBorders/>
          </w:tcPr>
          <w:p/>
        </w:tc>
        <w:tc>
          <w:tcPr>
            <w:tcW w:type="dxa" w:w="2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6" w:after="0"/>
              <w:ind w:left="31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Samsung,</w:t>
            </w:r>
          </w:p>
        </w:tc>
      </w:tr>
      <w:tr>
        <w:trPr>
          <w:trHeight w:hRule="exact" w:val="356"/>
        </w:trPr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2" w:after="0"/>
              <w:ind w:left="0" w:right="836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Park</w:t>
            </w:r>
          </w:p>
        </w:tc>
        <w:tc>
          <w:tcPr>
            <w:tcW w:type="dxa" w:w="1205"/>
            <w:vMerge/>
            <w:tcBorders/>
          </w:tcPr>
          <w:p/>
        </w:tc>
        <w:tc>
          <w:tcPr>
            <w:tcW w:type="dxa" w:w="1205"/>
            <w:vMerge/>
            <w:tcBorders/>
          </w:tcPr>
          <w:p/>
        </w:tc>
        <w:tc>
          <w:tcPr>
            <w:tcW w:type="dxa" w:w="2410"/>
            <w:gridSpan w:val="2"/>
            <w:vMerge/>
            <w:tcBorders/>
          </w:tcPr>
          <w:p/>
        </w:tc>
        <w:tc>
          <w:tcPr>
            <w:tcW w:type="dxa" w:w="1205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2" w:after="0"/>
              <w:ind w:left="0" w:right="10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Huawei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2" w:after="0"/>
              <w:ind w:left="26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(tech</w:t>
            </w:r>
          </w:p>
        </w:tc>
      </w:tr>
    </w:tbl>
    <w:p>
      <w:pPr>
        <w:autoSpaceDN w:val="0"/>
        <w:autoSpaceDE w:val="0"/>
        <w:widowControl/>
        <w:spacing w:line="240" w:lineRule="exact" w:before="54" w:after="54"/>
        <w:ind w:left="0" w:right="1912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transfer)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rHeight w:hRule="exact" w:val="336"/>
        </w:trPr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6" w:after="0"/>
              <w:ind w:left="0" w:right="116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Termez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Logis-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6" w:after="0"/>
              <w:ind w:left="13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2021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6" w:after="0"/>
              <w:ind w:left="25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Transit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logis-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6" w:after="0"/>
              <w:ind w:left="13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$30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6" w:after="0"/>
              <w:ind w:left="37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rPr>
          <w:trHeight w:hRule="exact" w:val="362"/>
        </w:trPr>
        <w:tc>
          <w:tcPr>
            <w:tcW w:type="dxa" w:w="2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8" w:after="0"/>
              <w:ind w:left="0" w:right="135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tics</w:t>
            </w:r>
          </w:p>
        </w:tc>
        <w:tc>
          <w:tcPr>
            <w:tcW w:type="dxa" w:w="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16" w:after="0"/>
              <w:ind w:left="13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8" w:after="0"/>
              <w:ind w:left="25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tics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16" w:after="0"/>
              <w:ind w:left="0" w:right="110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ce-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16" w:after="0"/>
              <w:ind w:left="13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$20</w:t>
            </w:r>
          </w:p>
        </w:tc>
        <w:tc>
          <w:tcPr>
            <w:tcW w:type="dxa" w:w="1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16" w:after="0"/>
              <w:ind w:left="37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rPr>
          <w:trHeight w:hRule="exact" w:val="350"/>
        </w:trPr>
        <w:tc>
          <w:tcPr>
            <w:tcW w:type="dxa" w:w="2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4" w:after="0"/>
              <w:ind w:left="0" w:right="316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Khorezm FEZ</w:t>
            </w:r>
          </w:p>
        </w:tc>
        <w:tc>
          <w:tcPr>
            <w:tcW w:type="dxa" w:w="1377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4" w:after="0"/>
              <w:ind w:left="25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Textiles,</w:t>
            </w:r>
          </w:p>
        </w:tc>
        <w:tc>
          <w:tcPr>
            <w:tcW w:type="dxa" w:w="1377"/>
            <w:vMerge/>
            <w:tcBorders/>
          </w:tcPr>
          <w:p/>
        </w:tc>
        <w:tc>
          <w:tcPr>
            <w:tcW w:type="dxa" w:w="1377"/>
            <w:vMerge/>
            <w:tcBorders/>
          </w:tcPr>
          <w:p/>
        </w:tc>
        <w:tc>
          <w:tcPr>
            <w:tcW w:type="dxa" w:w="137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8" w:lineRule="exact" w:before="54" w:after="0"/>
        <w:ind w:left="0" w:right="4830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ramics</w:t>
      </w:r>
    </w:p>
    <w:p>
      <w:pPr>
        <w:autoSpaceDN w:val="0"/>
        <w:autoSpaceDE w:val="0"/>
        <w:widowControl/>
        <w:spacing w:line="350" w:lineRule="exact" w:before="72" w:after="0"/>
        <w:ind w:left="864" w:right="576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FDI attracted: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cumulative investment received from inception through 2023.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Source: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Uzinfoinvest; Uzbek Ministry of Investments and Foreign Trade; author collation.</w:t>
      </w:r>
    </w:p>
    <w:p>
      <w:pPr>
        <w:autoSpaceDN w:val="0"/>
        <w:autoSpaceDE w:val="0"/>
        <w:widowControl/>
        <w:spacing w:line="424" w:lineRule="exact" w:before="36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landscape reveals several features relevant to GVC embedding.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First, 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cumulative FDI attracted across all major FEZs totals approximately $1.4 billion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 a figure that is modest relative to the scale needed for transformative industri-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alisation (Vietnam’s single Binh Duong Province attracted over $30 billion FDI in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first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years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operation).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Second,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Northeast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anchor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present but thin: Korean Air’s cargo hub at Navoiy, Artel’s (Samsung-technology-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licensed) electronics assembly at Jizzakh, and China’s Peng Cheng industrial park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 Angren represent the principal GVC-relevant investments.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Third, the zones are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geographically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dispersed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across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without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clear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spatial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centration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pattern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diffuses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infrastructure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across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multiple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cations rather than creating a single high-quality industrial cluster.</w:t>
      </w:r>
    </w:p>
    <w:p>
      <w:pPr>
        <w:autoSpaceDN w:val="0"/>
        <w:autoSpaceDE w:val="0"/>
        <w:widowControl/>
        <w:spacing w:line="288" w:lineRule="exact" w:before="1090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47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018"/>
        </w:trPr>
        <w:tc>
          <w:tcPr>
            <w:tcW w:type="dxa" w:w="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4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7.3</w:t>
            </w:r>
          </w:p>
        </w:tc>
        <w:tc>
          <w:tcPr>
            <w:tcW w:type="dxa" w:w="87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176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SEZ Incentive Structure</w:t>
            </w:r>
          </w:p>
        </w:tc>
      </w:tr>
    </w:tbl>
    <w:p>
      <w:pPr>
        <w:autoSpaceDN w:val="0"/>
        <w:autoSpaceDE w:val="0"/>
        <w:widowControl/>
        <w:spacing w:line="424" w:lineRule="exact" w:before="11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FEZ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incentive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packages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include: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(i)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ten-year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corporate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income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tax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exemption;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(ii)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exemption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tax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property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tax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exemption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riod; (iii) VAT exemption on imported capital goods and raw materials; (iv) 50%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reduction in personal income tax for foreign workers; and (v) streamlined single-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window customs procedures within zone boundaries.</w:t>
      </w:r>
    </w:p>
    <w:p>
      <w:pPr>
        <w:autoSpaceDN w:val="0"/>
        <w:tabs>
          <w:tab w:pos="682" w:val="left"/>
        </w:tabs>
        <w:autoSpaceDE w:val="0"/>
        <w:widowControl/>
        <w:spacing w:line="422" w:lineRule="exact" w:before="0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incentive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broadly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competitive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EPZ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incen-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tives at the comparable stage.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 9 provides a direct comparison.</w:t>
      </w:r>
    </w:p>
    <w:p>
      <w:pPr>
        <w:autoSpaceDN w:val="0"/>
        <w:autoSpaceDE w:val="0"/>
        <w:widowControl/>
        <w:spacing w:line="340" w:lineRule="exact" w:before="278" w:after="23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 9: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SEZ Incentive Comparison: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Uzbekistan FEZ versus Vietnam EPZ versus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 BOI Zone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95.99999999999994" w:type="dxa"/>
      </w:tblPr>
      <w:tblGrid>
        <w:gridCol w:w="2410"/>
        <w:gridCol w:w="2410"/>
        <w:gridCol w:w="2410"/>
        <w:gridCol w:w="2410"/>
      </w:tblGrid>
      <w:tr>
        <w:trPr>
          <w:trHeight w:hRule="exact" w:val="98"/>
        </w:trPr>
        <w:tc>
          <w:tcPr>
            <w:tcW w:type="dxa" w:w="8884"/>
            <w:gridSpan w:val="4"/>
            <w:tcBorders>
              <w:top w:sz="9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6"/>
        </w:trPr>
        <w:tc>
          <w:tcPr>
            <w:tcW w:type="dxa" w:w="3304"/>
            <w:tcBorders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Incentive Dimension</w:t>
            </w:r>
          </w:p>
        </w:tc>
        <w:tc>
          <w:tcPr>
            <w:tcW w:type="dxa" w:w="1800"/>
            <w:tcBorders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Uzbekistan FEZ</w:t>
            </w:r>
          </w:p>
        </w:tc>
        <w:tc>
          <w:tcPr>
            <w:tcW w:type="dxa" w:w="1540"/>
            <w:tcBorders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Vietnam EPZ</w:t>
            </w:r>
          </w:p>
        </w:tc>
        <w:tc>
          <w:tcPr>
            <w:tcW w:type="dxa" w:w="2240"/>
            <w:tcBorders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Thailand BOI Zone A</w:t>
            </w:r>
          </w:p>
        </w:tc>
      </w:tr>
      <w:tr>
        <w:trPr>
          <w:trHeight w:hRule="exact" w:val="432"/>
        </w:trPr>
        <w:tc>
          <w:tcPr>
            <w:tcW w:type="dxa" w:w="3304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4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Corporate tax holiday (years)</w:t>
            </w:r>
          </w:p>
        </w:tc>
        <w:tc>
          <w:tcPr>
            <w:tcW w:type="dxa" w:w="180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4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4 (renewable)</w:t>
            </w:r>
          </w:p>
        </w:tc>
        <w:tc>
          <w:tcPr>
            <w:tcW w:type="dxa" w:w="224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4" w:after="0"/>
              <w:ind w:left="0" w:right="99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trHeight w:hRule="exact" w:val="360"/>
        </w:trPr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0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Import duty on capital goods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0" w:after="0"/>
              <w:ind w:left="0" w:right="89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0%</w:t>
            </w:r>
          </w:p>
        </w:tc>
      </w:tr>
      <w:tr>
        <w:trPr>
          <w:trHeight w:hRule="exact" w:val="340"/>
        </w:trPr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Import duty on raw materials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89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0%</w:t>
            </w:r>
          </w:p>
        </w:tc>
      </w:tr>
      <w:tr>
        <w:trPr>
          <w:trHeight w:hRule="exact" w:val="340"/>
        </w:trPr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6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Export duty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6" w:after="0"/>
              <w:ind w:left="0" w:right="89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0%</w:t>
            </w:r>
          </w:p>
        </w:tc>
      </w:tr>
      <w:tr>
        <w:trPr>
          <w:trHeight w:hRule="exact" w:val="360"/>
        </w:trPr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34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Land lease rate (USD/m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2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/year)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$1.0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$2.5–$4.0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6" w:after="0"/>
              <w:ind w:left="0" w:right="57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$3.0–$5.0</w:t>
            </w:r>
          </w:p>
        </w:tc>
      </w:tr>
      <w:tr>
        <w:trPr>
          <w:trHeight w:hRule="exact" w:val="340"/>
        </w:trPr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4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One-stop shop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Partial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Full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4" w:after="0"/>
              <w:ind w:left="0" w:right="85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Full</w:t>
            </w:r>
          </w:p>
        </w:tc>
      </w:tr>
      <w:tr>
        <w:trPr>
          <w:trHeight w:hRule="exact" w:val="372"/>
        </w:trPr>
        <w:tc>
          <w:tcPr>
            <w:tcW w:type="dxa" w:w="3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4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Infrastructure quality (index 0–5)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3.8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74" w:after="0"/>
              <w:ind w:left="0" w:right="90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4.2</w:t>
            </w:r>
          </w:p>
        </w:tc>
      </w:tr>
      <w:tr>
        <w:trPr>
          <w:trHeight w:hRule="exact" w:val="50"/>
        </w:trPr>
        <w:tc>
          <w:tcPr>
            <w:tcW w:type="dxa" w:w="8884"/>
            <w:gridSpan w:val="4"/>
            <w:tcBorders>
              <w:bottom w:sz="9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32" w:lineRule="exact" w:before="0" w:after="0"/>
        <w:ind w:left="144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Infrastructure quality index: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author assessment based on World Bank Enterprise Surveys and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ADB infrastructure assessments.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Source: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UNCTAD Investment Policy Monitor; Vietnam EPZ/IZ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Law; Thailand BOI Promotion Criteria 2023.</w:t>
      </w:r>
    </w:p>
    <w:p>
      <w:pPr>
        <w:autoSpaceDN w:val="0"/>
        <w:autoSpaceDE w:val="0"/>
        <w:widowControl/>
        <w:spacing w:line="424" w:lineRule="exact" w:before="344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incentive packages are not the binding constraint: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 tax holi-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days are longer and land costs lower than Vietnam’s and Thailand’s.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critical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deficits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one-stop-shop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completeness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infrastructure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quality.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Investors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consistently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“single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window”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FEZs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remains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frag-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mented across multiple agencies, with customs, sanitary inspection, and fire safety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approvals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requiring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separate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applications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separate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authorities.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full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single-window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system,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established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Decree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23/2007,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consolidates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provals into a single agency interface; Uzbekistan’s Presidential Decree No. 5564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(2019) mandated equivalent consolidation but implementation has been uneven.</w:t>
      </w:r>
    </w:p>
    <w:p>
      <w:pPr>
        <w:autoSpaceDN w:val="0"/>
        <w:autoSpaceDE w:val="0"/>
        <w:widowControl/>
        <w:spacing w:line="288" w:lineRule="exact" w:before="1878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48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150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83"/>
        <w:gridCol w:w="4883"/>
      </w:tblGrid>
      <w:tr>
        <w:trPr>
          <w:trHeight w:hRule="exact" w:val="1018"/>
        </w:trPr>
        <w:tc>
          <w:tcPr>
            <w:tcW w:type="dxa" w:w="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4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7.4</w:t>
            </w:r>
          </w:p>
        </w:tc>
        <w:tc>
          <w:tcPr>
            <w:tcW w:type="dxa" w:w="888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176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The Navoiy Model: Aviation Logistics as a Landlocked GVC</w:t>
            </w:r>
          </w:p>
        </w:tc>
      </w:tr>
    </w:tbl>
    <w:p>
      <w:pPr>
        <w:autoSpaceDN w:val="0"/>
        <w:autoSpaceDE w:val="0"/>
        <w:widowControl/>
        <w:spacing w:line="344" w:lineRule="exact" w:before="140" w:after="0"/>
        <w:ind w:left="1036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Solution</w:t>
      </w:r>
    </w:p>
    <w:p>
      <w:pPr>
        <w:autoSpaceDN w:val="0"/>
        <w:autoSpaceDE w:val="0"/>
        <w:widowControl/>
        <w:spacing w:line="424" w:lineRule="exact" w:before="182" w:after="0"/>
        <w:ind w:left="260" w:right="150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Navoiy FIEZ represents Uzbekistan’s most successful SEZ by international stan-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dards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deserves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detailed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attention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because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represents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integration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model specifically tailored to landlocked geography.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Rather than competing with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coastal economies on maritime freight logistics, Navoiy has positioned itself as 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transcontinental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air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cargo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hub,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leveraging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geographic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position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centre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Eurasian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landmass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existing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airport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infrastructure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(originally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structed for Soviet aviation).</w:t>
      </w:r>
    </w:p>
    <w:p>
      <w:pPr>
        <w:autoSpaceDN w:val="0"/>
        <w:tabs>
          <w:tab w:pos="682" w:val="left"/>
          <w:tab w:pos="3314" w:val="left"/>
        </w:tabs>
        <w:autoSpaceDE w:val="0"/>
        <w:widowControl/>
        <w:spacing w:line="424" w:lineRule="exact" w:before="0" w:after="0"/>
        <w:ind w:left="260" w:right="144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Korean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Air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Cargo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operates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hub-and-spoke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air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cargo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service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Navoiy,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connecting Northeast Asia (Incheon, Narita) to European destinations via Navoiy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hub.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arrangement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provides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relevant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service: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enables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high-value,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time-sensitive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(electronics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ponents, pharmaceutical intermediates, automotive electronics) to transit through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Uzbekistan, with the potential for value-adding processing within the FEZ before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re-export.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Garment manufacturers in Navoiy can use Korean Air Cargo to receive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fabric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Korea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ship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finished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garments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European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buyers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within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24–48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hours,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achievable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rail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road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Central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 corridors.</w:t>
      </w:r>
    </w:p>
    <w:p>
      <w:pPr>
        <w:autoSpaceDN w:val="0"/>
        <w:autoSpaceDE w:val="0"/>
        <w:widowControl/>
        <w:spacing w:line="424" w:lineRule="exact" w:before="0" w:after="0"/>
        <w:ind w:left="260" w:right="150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Navoiy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directly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replicable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across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entire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economy: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air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freight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limit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applicability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high-value-to-weight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ratios.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demon-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strates that landlocked geography is not a universal constraint — for specific prod-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uct categories, air connectivity can substitute for maritime access and enable GVC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surface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cannot.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insight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should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product-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sector targeting of Uzbekistan’s SEZ promotion strategy.</w:t>
      </w:r>
    </w:p>
    <w:p>
      <w:pPr>
        <w:autoSpaceDN w:val="0"/>
        <w:tabs>
          <w:tab w:pos="1036" w:val="left"/>
        </w:tabs>
        <w:autoSpaceDE w:val="0"/>
        <w:widowControl/>
        <w:spacing w:line="346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7.5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SEZ Performance Assessment: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A Comparative Scorecard</w:t>
      </w:r>
    </w:p>
    <w:p>
      <w:pPr>
        <w:autoSpaceDN w:val="0"/>
        <w:autoSpaceDE w:val="0"/>
        <w:widowControl/>
        <w:spacing w:line="424" w:lineRule="exact" w:before="182" w:after="0"/>
        <w:ind w:left="260" w:right="150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Figure 16 presents a comparative assessment of SEZ performance across the key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effectiveness dimensions identified by Farole (2011): FDI intensity, export perfor-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mance,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employment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generation,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backward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linkage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development,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technology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transfer.</w:t>
      </w:r>
    </w:p>
    <w:p>
      <w:pPr>
        <w:autoSpaceDN w:val="0"/>
        <w:autoSpaceDE w:val="0"/>
        <w:widowControl/>
        <w:spacing w:line="288" w:lineRule="exact" w:before="1162" w:after="0"/>
        <w:ind w:left="0" w:right="4684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49</w:t>
      </w:r>
    </w:p>
    <w:p>
      <w:pPr>
        <w:sectPr>
          <w:pgSz w:w="11906" w:h="16838"/>
          <w:pgMar w:top="184" w:right="700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240" w:lineRule="auto" w:before="524" w:after="0"/>
        <w:ind w:left="72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346700" cy="29400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6700" cy="2940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8" w:lineRule="exact" w:before="16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16: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SEZ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Effectiveness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Scorecard: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FEZs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EPZs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 Thailand BOI Zones.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Bars represent normalised performance scores (0–100,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where 100 = best practice benchmark).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Farole (2011) framework;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Uzin-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foinvest; Vietnam EPZ Authority; Thailand BOI Annual Reports; author calcula-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tions.</w:t>
      </w:r>
    </w:p>
    <w:p>
      <w:pPr>
        <w:autoSpaceDN w:val="0"/>
        <w:autoSpaceDE w:val="0"/>
        <w:widowControl/>
        <w:spacing w:line="424" w:lineRule="exact" w:before="40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assessment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reveals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FEZs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above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parator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benchmarks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fiscal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incentive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competitiveness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attractive-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ness,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confirming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design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appropriate.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underperformance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concentrated in export performance, backward linkage development, and technol-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ogy transfer — the outcomes most critical for GVC embedding rather than simple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 attraction.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pattern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consistent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Farole’s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(2011)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characterisation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“stunted”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SEZs: zones that succeed in attracting initial investment (and thus appear success-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ful by FDI headline metrics) but fail to generate the multiplier effects — domes-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development,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knowledge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spillovers,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worker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skill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upgrading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make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SEZs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engines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broader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transformation.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impli-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cation is that Uzbekistan’s SEZ strategy needs to shift from incentive competition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ecosystem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development: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building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supplier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networks,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training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institutions,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logistics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connectors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would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make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existing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zone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deepen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expand.</w:t>
      </w:r>
    </w:p>
    <w:p>
      <w:pPr>
        <w:autoSpaceDN w:val="0"/>
        <w:autoSpaceDE w:val="0"/>
        <w:widowControl/>
        <w:spacing w:line="288" w:lineRule="exact" w:before="1708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50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958"/>
        </w:trPr>
        <w:tc>
          <w:tcPr>
            <w:tcW w:type="dxa" w:w="5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72" w:lineRule="exact" w:before="150" w:after="0"/>
              <w:ind w:left="4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 xml:space="preserve">8 </w:t>
            </w:r>
            <w:r>
              <w:br/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8.1</w:t>
            </w:r>
          </w:p>
        </w:tc>
        <w:tc>
          <w:tcPr>
            <w:tcW w:type="dxa" w:w="884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6" w:val="left"/>
              </w:tabs>
              <w:autoSpaceDE w:val="0"/>
              <w:widowControl/>
              <w:spacing w:line="872" w:lineRule="exact" w:before="150" w:after="0"/>
              <w:ind w:left="100" w:right="1008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 xml:space="preserve">Structural Constraints on GVC Integration 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A Framework for Constraint Analysis</w:t>
            </w:r>
          </w:p>
        </w:tc>
      </w:tr>
    </w:tbl>
    <w:p>
      <w:pPr>
        <w:autoSpaceDN w:val="0"/>
        <w:autoSpaceDE w:val="0"/>
        <w:widowControl/>
        <w:spacing w:line="424" w:lineRule="exact" w:before="11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distinction between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binding constraints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and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peripheral constraints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is analyt-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ically important for policy prioritisation.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Hausman, Rodrik, and Velasco’s (2008)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growth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diagnostics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framework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argues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“tree”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potential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constraints on growth, and that policy resources are most productively allocated to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binding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constraint — the one whose relaxation yields the greatest increment to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growth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distributed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across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observed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constraints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simultaneously.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Applied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challenge,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question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straint, if relaxed, would most immediately accelerate the transition from captive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 relational GVC participation?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assesses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candidate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binding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constraints: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landlockedness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costs;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energy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utility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infrastructure;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financial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depth;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currency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regime residual uncertainty; and political economy constraints on reform deepen-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ing.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For each, the magnitude of the constraint is quantified where data permit, 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 counterfactual comparison with comparator economies is drawn.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8.2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Constraint 1: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Landlockedness and Transit Costs</w:t>
      </w:r>
    </w:p>
    <w:p>
      <w:pPr>
        <w:autoSpaceDN w:val="0"/>
        <w:autoSpaceDE w:val="0"/>
        <w:widowControl/>
        <w:spacing w:line="424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Lim˜ao &amp; Venables (2001) originally estimated that landlocked countries face trade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costs approximately 55% higher than coastal comparators, all else equal.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More re-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cent literature corroborates this structural penalty, demonstrating that geographical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disadvantages profoundly constrain a nation’s ability to participate in high-value,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time-sensitive GVCs.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For Uzbekistan — doubly landlocked, surrounded only by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other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landlocked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(Kazakhstan,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Kyrgyzstan,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Tajikistan,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Afghanistan,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Turk-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menistan) — this penalty is compounded: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minimum number of border cross-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ings to reach deep-water ports is three (via Kazakhstan to Russia to the Black Sea,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or via Turkmenistan to Iran to the Persian Gulf), versus zero for Vietnam and one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 Thailand.</w:t>
      </w:r>
    </w:p>
    <w:p>
      <w:pPr>
        <w:autoSpaceDN w:val="0"/>
        <w:tabs>
          <w:tab w:pos="682" w:val="left"/>
        </w:tabs>
        <w:autoSpaceDE w:val="0"/>
        <w:widowControl/>
        <w:spacing w:line="422" w:lineRule="exact" w:before="0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Empirical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measurement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premium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presented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 10.</w:t>
      </w:r>
    </w:p>
    <w:p>
      <w:pPr>
        <w:autoSpaceDN w:val="0"/>
        <w:autoSpaceDE w:val="0"/>
        <w:widowControl/>
        <w:spacing w:line="288" w:lineRule="exact" w:before="1194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51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318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340" w:lineRule="exact" w:before="490" w:after="230"/>
        <w:ind w:left="260" w:right="288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10: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Comparison: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versus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Benchmark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Economies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(2022)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trHeight w:hRule="exact" w:val="502"/>
        </w:trPr>
        <w:tc>
          <w:tcPr>
            <w:tcW w:type="dxa" w:w="1220"/>
            <w:tcBorders>
              <w:top w:sz="9.600000000000023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Country</w:t>
            </w:r>
          </w:p>
        </w:tc>
        <w:tc>
          <w:tcPr>
            <w:tcW w:type="dxa" w:w="2780"/>
            <w:tcBorders>
              <w:top w:sz="9.600000000000023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Container cost (USD/20ft)</w:t>
            </w:r>
          </w:p>
        </w:tc>
        <w:tc>
          <w:tcPr>
            <w:tcW w:type="dxa" w:w="1400"/>
            <w:tcBorders>
              <w:top w:sz="9.600000000000023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Transit days</w:t>
            </w:r>
          </w:p>
        </w:tc>
        <w:tc>
          <w:tcPr>
            <w:tcW w:type="dxa" w:w="1860"/>
            <w:tcBorders>
              <w:top w:sz="9.600000000000023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Border crossings</w:t>
            </w:r>
          </w:p>
        </w:tc>
        <w:tc>
          <w:tcPr>
            <w:tcW w:type="dxa" w:w="1160"/>
            <w:tcBorders>
              <w:top w:sz="9.600000000000023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LPI score</w:t>
            </w:r>
          </w:p>
        </w:tc>
        <w:tc>
          <w:tcPr>
            <w:tcW w:type="dxa" w:w="1226"/>
            <w:tcBorders>
              <w:top w:sz="9.600000000000023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13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Trade/GDP</w:t>
            </w:r>
          </w:p>
        </w:tc>
      </w:tr>
      <w:tr>
        <w:trPr>
          <w:trHeight w:hRule="exact" w:val="436"/>
        </w:trPr>
        <w:tc>
          <w:tcPr>
            <w:tcW w:type="dxa" w:w="122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Uzbekistan</w:t>
            </w:r>
          </w:p>
        </w:tc>
        <w:tc>
          <w:tcPr>
            <w:tcW w:type="dxa" w:w="278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$3,400</w:t>
            </w:r>
          </w:p>
        </w:tc>
        <w:tc>
          <w:tcPr>
            <w:tcW w:type="dxa" w:w="140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25–40</w:t>
            </w:r>
          </w:p>
        </w:tc>
        <w:tc>
          <w:tcPr>
            <w:tcW w:type="dxa" w:w="186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3–4</w:t>
            </w:r>
          </w:p>
        </w:tc>
        <w:tc>
          <w:tcPr>
            <w:tcW w:type="dxa" w:w="116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2.57</w:t>
            </w:r>
          </w:p>
        </w:tc>
        <w:tc>
          <w:tcPr>
            <w:tcW w:type="dxa" w:w="1226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32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52%</w:t>
            </w:r>
          </w:p>
        </w:tc>
      </w:tr>
      <w:tr>
        <w:trPr>
          <w:trHeight w:hRule="exact" w:val="360"/>
        </w:trPr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8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Vietnam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$890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3–5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3.27</w:t>
            </w:r>
          </w:p>
        </w:tc>
        <w:tc>
          <w:tcPr>
            <w:tcW w:type="dxa" w:w="12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8" w:after="0"/>
              <w:ind w:left="0" w:right="26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210%</w:t>
            </w:r>
          </w:p>
        </w:tc>
      </w:tr>
      <w:tr>
        <w:trPr>
          <w:trHeight w:hRule="exact" w:val="340"/>
        </w:trPr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Thailand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$750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2–4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3.41</w:t>
            </w:r>
          </w:p>
        </w:tc>
        <w:tc>
          <w:tcPr>
            <w:tcW w:type="dxa" w:w="12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" w:after="0"/>
              <w:ind w:left="0" w:right="26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125%</w:t>
            </w:r>
          </w:p>
        </w:tc>
      </w:tr>
      <w:tr>
        <w:trPr>
          <w:trHeight w:hRule="exact" w:val="320"/>
        </w:trPr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4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Kazakhstan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$2,100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2–3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2.85</w:t>
            </w:r>
          </w:p>
        </w:tc>
        <w:tc>
          <w:tcPr>
            <w:tcW w:type="dxa" w:w="12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4" w:after="0"/>
              <w:ind w:left="0" w:right="32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65%</w:t>
            </w:r>
          </w:p>
        </w:tc>
      </w:tr>
      <w:tr>
        <w:trPr>
          <w:trHeight w:hRule="exact" w:val="442"/>
        </w:trPr>
        <w:tc>
          <w:tcPr>
            <w:tcW w:type="dxa" w:w="1220"/>
            <w:tcBorders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6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Ethiopia</w:t>
            </w:r>
            <w:r>
              <w:rPr>
                <w:rFonts w:ascii="CMSY10" w:hAnsi="CMSY10" w:eastAsia="CMSY10"/>
                <w:b w:val="0"/>
                <w:i/>
                <w:color w:val="000000"/>
                <w:sz w:val="18"/>
              </w:rPr>
              <w:t>∗</w:t>
            </w:r>
          </w:p>
        </w:tc>
        <w:tc>
          <w:tcPr>
            <w:tcW w:type="dxa" w:w="2780"/>
            <w:tcBorders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9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$2,800</w:t>
            </w:r>
          </w:p>
        </w:tc>
        <w:tc>
          <w:tcPr>
            <w:tcW w:type="dxa" w:w="1400"/>
            <w:tcBorders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9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20–35</w:t>
            </w:r>
          </w:p>
        </w:tc>
        <w:tc>
          <w:tcPr>
            <w:tcW w:type="dxa" w:w="1860"/>
            <w:tcBorders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9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160"/>
            <w:tcBorders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9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2.31</w:t>
            </w:r>
          </w:p>
        </w:tc>
        <w:tc>
          <w:tcPr>
            <w:tcW w:type="dxa" w:w="1226"/>
            <w:tcBorders>
              <w:bottom w:sz="8.7999999999999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94" w:after="0"/>
              <w:ind w:left="0" w:right="32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28%</w:t>
            </w:r>
          </w:p>
        </w:tc>
      </w:tr>
    </w:tbl>
    <w:p>
      <w:pPr>
        <w:autoSpaceDN w:val="0"/>
        <w:autoSpaceDE w:val="0"/>
        <w:widowControl/>
        <w:spacing w:line="336" w:lineRule="exact" w:before="0" w:after="0"/>
        <w:ind w:left="144" w:right="288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* Ethiopia included as a landlocked comparator (GVC-active in garments).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Container cost =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estimated door-to-port cost for standard 20ft container (export).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Transit days = typical delay from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factory gate to destination port.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Source: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World Bank Logistics Performance Index 2023; IFC Cost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of Doing Business; author compilation.</w:t>
      </w:r>
    </w:p>
    <w:p>
      <w:pPr>
        <w:autoSpaceDN w:val="0"/>
        <w:autoSpaceDE w:val="0"/>
        <w:widowControl/>
        <w:spacing w:line="424" w:lineRule="exact" w:before="362" w:after="0"/>
        <w:ind w:left="260" w:right="318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premium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stark: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container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proximately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four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times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carries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5–8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times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time.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makes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non-competitive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task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where: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(i)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just-in-time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delivery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required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(electronics,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automotive),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(ii)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uct perishability is relevant (agro-processing beyond dried products), or (iii) final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buyer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specifications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require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rapid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replenishment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cycles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(fast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fashion).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tors in which Uzbekistan remains potentially competitive despite transit costs are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those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value-to-weight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ratios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(precision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instruments,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pharmaceuticals,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ICT hardware) or with high labour cost sensitivity relative to logistics costs (low-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complexity textiles, basic automotive components for the CIS market).</w:t>
      </w:r>
    </w:p>
    <w:p>
      <w:pPr>
        <w:autoSpaceDN w:val="0"/>
        <w:autoSpaceDE w:val="0"/>
        <w:widowControl/>
        <w:spacing w:line="424" w:lineRule="exact" w:before="0" w:after="0"/>
        <w:ind w:left="260" w:right="318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Three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infrastructure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could materially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reduce 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constraint.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China-Kyrgyzstan-Uzbekistan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(CKU)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railway,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negotiation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1990s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construction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beginning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2024,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would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reduce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rail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from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Chinese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ports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approximately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30%.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However,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Belt and Road Initiative warn that such infrastructure must be carefully managed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ensure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facilitates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symmetrical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merely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extractive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outflows.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Trans-Caspian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International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Route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(Middle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Corridor)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connect-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China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Kazakhstan,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Caspian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Sea,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Azerbaijan,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Georgia,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Turkey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to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European markets — has seen freight volumes grow 88% in 2022–2023 following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Russia-related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rerouting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could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accommodate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cargo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scale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if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 develops feeder rail connections.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Air freight from Navoiy (the Navoiy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model discussed in Section 7) offers a partial solution for high-value products.</w:t>
      </w:r>
    </w:p>
    <w:p>
      <w:pPr>
        <w:autoSpaceDN w:val="0"/>
        <w:autoSpaceDE w:val="0"/>
        <w:widowControl/>
        <w:spacing w:line="288" w:lineRule="exact" w:before="626" w:after="0"/>
        <w:ind w:left="0" w:right="0" w:firstLine="0"/>
        <w:jc w:val="center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52</w:t>
      </w:r>
    </w:p>
    <w:p>
      <w:pPr>
        <w:sectPr>
          <w:pgSz w:w="11906" w:h="16838"/>
          <w:pgMar w:top="184" w:right="532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018"/>
        </w:trPr>
        <w:tc>
          <w:tcPr>
            <w:tcW w:type="dxa" w:w="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4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8.3</w:t>
            </w:r>
          </w:p>
        </w:tc>
        <w:tc>
          <w:tcPr>
            <w:tcW w:type="dxa" w:w="87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176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Constraint 2: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Energy and Utility Infrastructure</w:t>
            </w:r>
          </w:p>
        </w:tc>
      </w:tr>
    </w:tbl>
    <w:p>
      <w:pPr>
        <w:autoSpaceDN w:val="0"/>
        <w:tabs>
          <w:tab w:pos="1312" w:val="left"/>
        </w:tabs>
        <w:autoSpaceDE w:val="0"/>
        <w:widowControl/>
        <w:spacing w:line="424" w:lineRule="exact" w:before="11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productivity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depends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critically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reliable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affordable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energy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supply.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experienced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periodic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electricity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shortages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2020,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driven by the deterioration of Soviet-era power generation infrastructure and grow-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ing domestic demand from a young,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urbanising population.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Table 11 documents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energy constraint relative to comparators.</w:t>
      </w:r>
    </w:p>
    <w:p>
      <w:pPr>
        <w:autoSpaceDN w:val="0"/>
        <w:autoSpaceDE w:val="0"/>
        <w:widowControl/>
        <w:spacing w:line="288" w:lineRule="exact" w:before="330" w:after="230"/>
        <w:ind w:left="1382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 11: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Energy Infrastructure: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 and Comparators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76.0" w:type="dxa"/>
      </w:tblPr>
      <w:tblGrid>
        <w:gridCol w:w="1928"/>
        <w:gridCol w:w="1928"/>
        <w:gridCol w:w="1928"/>
        <w:gridCol w:w="1928"/>
        <w:gridCol w:w="1928"/>
      </w:tblGrid>
      <w:tr>
        <w:trPr>
          <w:trHeight w:hRule="exact" w:val="502"/>
        </w:trPr>
        <w:tc>
          <w:tcPr>
            <w:tcW w:type="dxa" w:w="3764"/>
            <w:tcBorders>
              <w:top w:sz="9.59999999999990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Indicator</w:t>
            </w:r>
          </w:p>
        </w:tc>
        <w:tc>
          <w:tcPr>
            <w:tcW w:type="dxa" w:w="1320"/>
            <w:tcBorders>
              <w:top w:sz="9.59999999999990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Uzbekistan</w:t>
            </w:r>
          </w:p>
        </w:tc>
        <w:tc>
          <w:tcPr>
            <w:tcW w:type="dxa" w:w="1040"/>
            <w:tcBorders>
              <w:top w:sz="9.59999999999990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Vietnam</w:t>
            </w:r>
          </w:p>
        </w:tc>
        <w:tc>
          <w:tcPr>
            <w:tcW w:type="dxa" w:w="1100"/>
            <w:tcBorders>
              <w:top w:sz="9.59999999999990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Thailand</w:t>
            </w:r>
          </w:p>
        </w:tc>
        <w:tc>
          <w:tcPr>
            <w:tcW w:type="dxa" w:w="700"/>
            <w:tcBorders>
              <w:top w:sz="9.599999999999909" w:val="single" w:color="#000000"/>
              <w:bottom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46" w:after="0"/>
              <w:ind w:left="1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China</w:t>
            </w:r>
          </w:p>
        </w:tc>
      </w:tr>
      <w:tr>
        <w:trPr>
          <w:trHeight w:hRule="exact" w:val="440"/>
        </w:trPr>
        <w:tc>
          <w:tcPr>
            <w:tcW w:type="dxa" w:w="3764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Electricity access (%, 2022)</w:t>
            </w:r>
          </w:p>
        </w:tc>
        <w:tc>
          <w:tcPr>
            <w:tcW w:type="dxa" w:w="132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100</w:t>
            </w:r>
          </w:p>
        </w:tc>
        <w:tc>
          <w:tcPr>
            <w:tcW w:type="dxa" w:w="104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100</w:t>
            </w:r>
          </w:p>
        </w:tc>
        <w:tc>
          <w:tcPr>
            <w:tcW w:type="dxa" w:w="110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100</w:t>
            </w:r>
          </w:p>
        </w:tc>
        <w:tc>
          <w:tcPr>
            <w:tcW w:type="dxa" w:w="700"/>
            <w:tcBorders>
              <w:top w:sz="5.73600006103515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48" w:after="0"/>
              <w:ind w:left="0" w:right="10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100</w:t>
            </w:r>
          </w:p>
        </w:tc>
      </w:tr>
      <w:tr>
        <w:trPr>
          <w:trHeight w:hRule="exact" w:val="340"/>
        </w:trPr>
        <w:tc>
          <w:tcPr>
            <w:tcW w:type="dxa" w:w="3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4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Power outages (hrs/year, mfg.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firms)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4" w:after="0"/>
              <w:ind w:left="0" w:right="226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trHeight w:hRule="exact" w:val="360"/>
        </w:trPr>
        <w:tc>
          <w:tcPr>
            <w:tcW w:type="dxa" w:w="3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2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Electricity tariff (USD/kWh, industry)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$0.06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$0.09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$0.12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2" w:after="0"/>
              <w:ind w:left="14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$0.08</w:t>
            </w:r>
          </w:p>
        </w:tc>
      </w:tr>
      <w:tr>
        <w:trPr>
          <w:trHeight w:hRule="exact" w:val="340"/>
        </w:trPr>
        <w:tc>
          <w:tcPr>
            <w:tcW w:type="dxa" w:w="3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2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Electr.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losses in distribution (%)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18.3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9.8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6.2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2" w:after="0"/>
              <w:ind w:left="0" w:right="13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5.4</w:t>
            </w:r>
          </w:p>
        </w:tc>
      </w:tr>
      <w:tr>
        <w:trPr>
          <w:trHeight w:hRule="exact" w:val="418"/>
        </w:trPr>
        <w:tc>
          <w:tcPr>
            <w:tcW w:type="dxa" w:w="3764"/>
            <w:tcBorders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Renewable share of generation (%)</w:t>
            </w:r>
          </w:p>
        </w:tc>
        <w:tc>
          <w:tcPr>
            <w:tcW w:type="dxa" w:w="1320"/>
            <w:tcBorders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40"/>
            <w:tcBorders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1100"/>
            <w:tcBorders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00"/>
            <w:tcBorders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70" w:after="0"/>
              <w:ind w:left="0" w:right="16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28</w:t>
            </w:r>
          </w:p>
        </w:tc>
      </w:tr>
    </w:tbl>
    <w:p>
      <w:pPr>
        <w:autoSpaceDN w:val="0"/>
        <w:autoSpaceDE w:val="0"/>
        <w:widowControl/>
        <w:spacing w:line="324" w:lineRule="exact" w:before="0" w:after="0"/>
        <w:ind w:left="144" w:right="0" w:firstLine="0"/>
        <w:jc w:val="center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Power outages: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World Bank Enterprise Surveys (latest available year).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Source: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World Bank WDI;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IEA; World Bank Enterprise Surveys.</w:t>
      </w:r>
    </w:p>
    <w:p>
      <w:pPr>
        <w:autoSpaceDN w:val="0"/>
        <w:autoSpaceDE w:val="0"/>
        <w:widowControl/>
        <w:spacing w:line="424" w:lineRule="exact" w:before="362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electricity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tariff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industry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($0.06/kWh)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lowest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comparator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genuine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advantage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energy-intensive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manufacturing.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120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hours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power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outages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year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(versus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18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land)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imposes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hidden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excess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tariff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advantage: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manufacturers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facing unreliable power must invest in backup generation, cannot run continuous-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process manufacturing at full capacity, and face product quality risks in precision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 operations.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18.3% distribution loss rate reflects ageing grid in-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frastructure and represents a structural inefficiency that limits the power available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 industry even when generation capacity is technically sufficient.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planned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energy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programme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including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privatisation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of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distribution companies, tariff rebalancing (currently below cost recovery), and in-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vestment in renewable generation (solar: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5 GW by 2030) — would address these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constraints,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higher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industrial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electricity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prices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would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tially offset the current tariff advantage.</w:t>
      </w:r>
    </w:p>
    <w:p>
      <w:pPr>
        <w:autoSpaceDN w:val="0"/>
        <w:autoSpaceDE w:val="0"/>
        <w:widowControl/>
        <w:spacing w:line="288" w:lineRule="exact" w:before="1974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53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018"/>
        </w:trPr>
        <w:tc>
          <w:tcPr>
            <w:tcW w:type="dxa" w:w="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4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8.4</w:t>
            </w:r>
          </w:p>
        </w:tc>
        <w:tc>
          <w:tcPr>
            <w:tcW w:type="dxa" w:w="87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176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Constraint 3: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Financial Sector Depth and Trade Finance</w:t>
            </w:r>
          </w:p>
        </w:tc>
      </w:tr>
    </w:tbl>
    <w:p>
      <w:pPr>
        <w:autoSpaceDN w:val="0"/>
        <w:autoSpaceDE w:val="0"/>
        <w:widowControl/>
        <w:spacing w:line="424" w:lineRule="exact" w:before="11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Export-oriented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requires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access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finance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(letters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credit,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 credit guarantees) and medium-term investment finance for capital equip-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ment acquisition.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 banking sector remains shallow by regional stan-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dards: domestic credit to the private sector stood at 38% of GDP in 2022 (Vietnam: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131%; Thailand: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164%), and the sector remains dominated by state-owned banks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(NBU,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Ipotekabank,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Asaka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Bank)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subject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directed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credit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allocation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rather than commercial lending criteria.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practical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consequence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twofold.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First,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domestic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firms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aspiring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become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suppliers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Northeast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production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networks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access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capital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needed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upgrade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equipment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certify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international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standards.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Second,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foreign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investors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SEZs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difficulty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repatriating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profits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formal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banking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channels,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creating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FX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liquidity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risk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discour-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ages long-term equity commitment.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Central Bank of Uzbekistan’s post-2017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liberalisation has reduced but not eliminated these frictions: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som became for-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mally convertible in 2017, but large USD transactions still face informal scrutiny,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exchange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market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insufficiently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liquid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corporate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risk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agement purposes.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8.5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Constraint 4: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Political Economy of Reform Continuity</w:t>
      </w:r>
    </w:p>
    <w:p>
      <w:pPr>
        <w:autoSpaceDN w:val="0"/>
        <w:autoSpaceDE w:val="0"/>
        <w:widowControl/>
        <w:spacing w:line="422" w:lineRule="exact" w:before="186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constraint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tractable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quantification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analytically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important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continuity.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Mirziyoyev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programme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was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launched through presidential decree rather than through legislative process, cre-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ating a reform architecture that depends on sustained executive commitment rather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than entrenched institutional rules.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 creates two risks.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First,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reversal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risk: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established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decree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reversed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by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decree,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particularly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generate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distributional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losers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(import-competing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industries,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enterprise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managers,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elites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benefiting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rent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allocation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system).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Several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episodes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partial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reversal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already observable: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export restrictions on copper and aluminium were reimposed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2021–2022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industrial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rationales,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partially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contradicting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open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 commitments of the 2017 reforms.</w:t>
      </w:r>
    </w:p>
    <w:p>
      <w:pPr>
        <w:autoSpaceDN w:val="0"/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Second,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elite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SEZs: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rapid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proliferation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FEZs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small</w:t>
      </w:r>
    </w:p>
    <w:p>
      <w:pPr>
        <w:autoSpaceDN w:val="0"/>
        <w:autoSpaceDE w:val="0"/>
        <w:widowControl/>
        <w:spacing w:line="288" w:lineRule="exact" w:before="440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54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industrial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zones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creates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opportunities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politically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connected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firms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capture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SEZ benefits (land, tax holidays, import duty exemptions) without generating 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export-oriented manufacturing activity that justifies the fiscal cost.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OECD (2022)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documents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several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cases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Central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FEZs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where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primary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beneficiaries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were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domestic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zone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status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avoid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tariffs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exporters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generating value addition.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These political economy constraints are not unique to Uzbekistan — Vietnam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both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experienced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similar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tensions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between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coalitions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rent-seeking incumbents.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difference is that Vietnam’s WTO accession (2007)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 Thailand’s ASEAN obligations provided binding external commitment mech-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anisms that constrained reversal and reduced the space for elite capture.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Further-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more, institutional economists observe that weak formal institutions can severely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hinder long-term innovation and upgrading, forcing firms to rely on fragile infor-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mal networks.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Uzbekistan’s WTO accession process (observer status since 1994,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active negotiations ongoing) represents the equivalent mechanism, and its acceler-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ation should be treated as a first-order policy priority for this reason.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8.6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Constraint Hierarchy and the Binding Constraint</w:t>
      </w:r>
    </w:p>
    <w:p>
      <w:pPr>
        <w:autoSpaceDN w:val="0"/>
        <w:autoSpaceDE w:val="0"/>
        <w:widowControl/>
        <w:spacing w:line="424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17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synthesises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constraint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prioritisation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matrix,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scoring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each constraint on two dimensions: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(i) severity (how large is the constraint’s cur-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effect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potential?)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(ii)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tractability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(how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amenable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constraint to policy intervention within a 5–7 year horizon?).</w:t>
      </w:r>
    </w:p>
    <w:p>
      <w:pPr>
        <w:autoSpaceDN w:val="0"/>
        <w:autoSpaceDE w:val="0"/>
        <w:widowControl/>
        <w:spacing w:line="288" w:lineRule="exact" w:before="5396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55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240" w:lineRule="auto" w:before="524" w:after="160"/>
        <w:ind w:left="82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227320" cy="40652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406527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3213"/>
        <w:gridCol w:w="3213"/>
        <w:gridCol w:w="3213"/>
      </w:tblGrid>
      <w:tr>
        <w:trPr>
          <w:trHeight w:hRule="exact" w:val="372"/>
        </w:trPr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Figure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17:</w:t>
            </w:r>
          </w:p>
        </w:tc>
        <w:tc>
          <w:tcPr>
            <w:tcW w:type="dxa" w:w="5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0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Structural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Constraint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Prioritisation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Matrix:</w:t>
            </w:r>
          </w:p>
        </w:tc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142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Severity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vs.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Policy</w:t>
            </w:r>
          </w:p>
        </w:tc>
      </w:tr>
    </w:tbl>
    <w:p>
      <w:pPr>
        <w:autoSpaceDN w:val="0"/>
        <w:autoSpaceDE w:val="0"/>
        <w:widowControl/>
        <w:spacing w:line="330" w:lineRule="exact" w:before="0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Tractability.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Upper-left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quadrant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severe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intractable;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upper-right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quadrant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severe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tractable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(highest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priority).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Each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constraint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0–10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each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mension.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Author assessment based on World Bank, IFC, ADB data.</w:t>
      </w:r>
    </w:p>
    <w:p>
      <w:pPr>
        <w:autoSpaceDN w:val="0"/>
        <w:autoSpaceDE w:val="0"/>
        <w:widowControl/>
        <w:spacing w:line="424" w:lineRule="exact" w:before="364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places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cost/logistics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severe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constraint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(score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8.5/10)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partially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tractable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run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(score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5/10),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given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pendence on multilateral infrastructure projects (CKU railway,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Middle Corridor)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outside Uzbekistan’s unilateral control.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Energy infrastructure is severe (7/10) but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tractable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domestic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tariff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(tractability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7/10).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Financial sector depth is moderately severe (6/10) and tractable through ongoing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banking sector reform (6/10).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Political economy constraints are severe (7/10) but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lowest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tractability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(4/10),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given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their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dependence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external anchor mechanisms.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growth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diagnostics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conclusion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logistics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border-crossing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effi-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ciency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constitutes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nearest-term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binding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constraint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amenable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action,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followed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energy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reliability.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Both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should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take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precedence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infrastructure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vestment sequencing over the proliferation of additional SEZs, which are unlikely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attract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qualitatively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superior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until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logistical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infrastructure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connecting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them to export markets is improved.</w:t>
      </w:r>
    </w:p>
    <w:p>
      <w:pPr>
        <w:autoSpaceDN w:val="0"/>
        <w:autoSpaceDE w:val="0"/>
        <w:widowControl/>
        <w:spacing w:line="288" w:lineRule="exact" w:before="310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56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850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513"/>
        <w:gridCol w:w="4513"/>
      </w:tblGrid>
      <w:tr>
        <w:trPr>
          <w:trHeight w:hRule="exact" w:val="1018"/>
        </w:trPr>
        <w:tc>
          <w:tcPr>
            <w:tcW w:type="dxa" w:w="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4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8.7</w:t>
            </w:r>
          </w:p>
        </w:tc>
        <w:tc>
          <w:tcPr>
            <w:tcW w:type="dxa" w:w="87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176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Regression Analysis</w:t>
            </w:r>
          </w:p>
        </w:tc>
      </w:tr>
    </w:tbl>
    <w:p>
      <w:pPr>
        <w:autoSpaceDN w:val="0"/>
        <w:autoSpaceDE w:val="0"/>
        <w:widowControl/>
        <w:spacing w:line="340" w:lineRule="exact" w:before="478" w:after="0"/>
        <w:ind w:left="260" w:right="72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12: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Regression: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Determinants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Added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(%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GDP), Uzbekistan 2010–2023</w:t>
      </w:r>
    </w:p>
    <w:p>
      <w:pPr>
        <w:autoSpaceDN w:val="0"/>
        <w:autoSpaceDE w:val="0"/>
        <w:widowControl/>
        <w:spacing w:line="288" w:lineRule="exact" w:before="1294" w:after="0"/>
        <w:ind w:left="0" w:right="6226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(1)</w:t>
      </w:r>
    </w:p>
    <w:p>
      <w:pPr>
        <w:autoSpaceDN w:val="0"/>
        <w:autoSpaceDE w:val="0"/>
        <w:widowControl/>
        <w:spacing w:line="286" w:lineRule="exact" w:before="158" w:after="34"/>
        <w:ind w:left="0" w:right="6226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(1)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513"/>
        <w:gridCol w:w="4513"/>
      </w:tblGrid>
      <w:tr>
        <w:trPr>
          <w:trHeight w:hRule="exact" w:val="442"/>
        </w:trPr>
        <w:tc>
          <w:tcPr>
            <w:tcW w:type="dxa" w:w="22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4" w:after="0"/>
              <w:ind w:left="4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FDI (t-1)</w:t>
            </w:r>
          </w:p>
        </w:tc>
        <w:tc>
          <w:tcPr>
            <w:tcW w:type="dxa" w:w="794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4" w:after="0"/>
              <w:ind w:left="1230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0.054</w:t>
            </w:r>
          </w:p>
        </w:tc>
      </w:tr>
    </w:tbl>
    <w:p>
      <w:pPr>
        <w:autoSpaceDN w:val="0"/>
        <w:autoSpaceDE w:val="0"/>
        <w:widowControl/>
        <w:spacing w:line="286" w:lineRule="exact" w:before="22" w:after="0"/>
        <w:ind w:left="0" w:right="5974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(0.310)</w:t>
      </w:r>
    </w:p>
    <w:p>
      <w:pPr>
        <w:autoSpaceDN w:val="0"/>
        <w:autoSpaceDE w:val="0"/>
        <w:widowControl/>
        <w:spacing w:line="286" w:lineRule="exact" w:before="392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 (t-2)</w:t>
      </w:r>
    </w:p>
    <w:p>
      <w:pPr>
        <w:autoSpaceDN w:val="0"/>
        <w:tabs>
          <w:tab w:pos="3568" w:val="left"/>
          <w:tab w:pos="3584" w:val="left"/>
        </w:tabs>
        <w:autoSpaceDE w:val="0"/>
        <w:widowControl/>
        <w:spacing w:line="350" w:lineRule="exact" w:before="654" w:after="0"/>
        <w:ind w:left="260" w:right="576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 share</w:t>
      </w:r>
      <w:r>
        <w:tab/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−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19.340 </w:t>
      </w:r>
      <w:r>
        <w:br/>
      </w:r>
      <w:r>
        <w:tab/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(18.820)</w:t>
      </w:r>
    </w:p>
    <w:p>
      <w:pPr>
        <w:autoSpaceDN w:val="0"/>
        <w:tabs>
          <w:tab w:pos="3656" w:val="left"/>
          <w:tab w:pos="3750" w:val="left"/>
        </w:tabs>
        <w:autoSpaceDE w:val="0"/>
        <w:widowControl/>
        <w:spacing w:line="340" w:lineRule="exact" w:before="338" w:after="0"/>
        <w:ind w:left="260" w:right="5904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Trade openness </w:t>
      </w:r>
      <w:r>
        <w:tab/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0.070 </w:t>
      </w:r>
      <w:r>
        <w:br/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(0.054)</w:t>
      </w:r>
    </w:p>
    <w:p>
      <w:pPr>
        <w:autoSpaceDN w:val="0"/>
        <w:tabs>
          <w:tab w:pos="3640" w:val="left"/>
          <w:tab w:pos="3656" w:val="left"/>
        </w:tabs>
        <w:autoSpaceDE w:val="0"/>
        <w:widowControl/>
        <w:spacing w:line="350" w:lineRule="exact" w:before="316" w:after="0"/>
        <w:ind w:left="260" w:right="5904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Post-2017 dummy</w:t>
      </w:r>
      <w:r>
        <w:tab/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−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0.234 </w:t>
      </w:r>
      <w:r>
        <w:br/>
      </w:r>
      <w:r>
        <w:tab/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(1.181)</w:t>
      </w:r>
    </w:p>
    <w:p>
      <w:pPr>
        <w:autoSpaceDN w:val="0"/>
        <w:tabs>
          <w:tab w:pos="3582" w:val="left"/>
          <w:tab w:pos="3656" w:val="left"/>
        </w:tabs>
        <w:autoSpaceDE w:val="0"/>
        <w:widowControl/>
        <w:spacing w:line="400" w:lineRule="exact" w:before="216" w:after="0"/>
        <w:ind w:left="260" w:right="5904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Time trend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0.723</w:t>
      </w:r>
      <w:r>
        <w:rPr>
          <w:rFonts w:ascii="CMSY10" w:hAnsi="CMSY10" w:eastAsia="CMSY10"/>
          <w:b w:val="0"/>
          <w:i/>
          <w:color w:val="000000"/>
          <w:sz w:val="22"/>
        </w:rPr>
        <w:t>∗∗∗</w:t>
      </w:r>
      <w:r>
        <w:br/>
      </w:r>
      <w:r>
        <w:tab/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(0.148)</w:t>
      </w:r>
    </w:p>
    <w:p>
      <w:pPr>
        <w:autoSpaceDN w:val="0"/>
        <w:tabs>
          <w:tab w:pos="3584" w:val="left"/>
          <w:tab w:pos="3680" w:val="left"/>
        </w:tabs>
        <w:autoSpaceDE w:val="0"/>
        <w:widowControl/>
        <w:spacing w:line="340" w:lineRule="exact" w:before="336" w:after="370"/>
        <w:ind w:left="260" w:right="576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Constant </w:t>
      </w:r>
      <w:r>
        <w:tab/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22.610 </w:t>
      </w:r>
      <w:r>
        <w:br/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(14.280)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513"/>
        <w:gridCol w:w="4513"/>
      </w:tblGrid>
      <w:tr>
        <w:trPr>
          <w:trHeight w:hRule="exact" w:val="1834"/>
        </w:trPr>
        <w:tc>
          <w:tcPr>
            <w:tcW w:type="dxa" w:w="2424"/>
            <w:tcBorders>
              <w:top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62" w:after="0"/>
              <w:ind w:left="4" w:right="864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Observations 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R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 xml:space="preserve">2 </w:t>
            </w:r>
            <w:r>
              <w:br/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Adjusted R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2</w:t>
            </w:r>
          </w:p>
          <w:p>
            <w:pPr>
              <w:autoSpaceDN w:val="0"/>
              <w:autoSpaceDE w:val="0"/>
              <w:widowControl/>
              <w:spacing w:line="288" w:lineRule="exact" w:before="52" w:after="0"/>
              <w:ind w:left="4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Residual Std.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Error</w:t>
            </w:r>
          </w:p>
          <w:p>
            <w:pPr>
              <w:autoSpaceDN w:val="0"/>
              <w:autoSpaceDE w:val="0"/>
              <w:widowControl/>
              <w:spacing w:line="286" w:lineRule="exact" w:before="52" w:after="0"/>
              <w:ind w:left="4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F Statistic</w:t>
            </w:r>
          </w:p>
        </w:tc>
        <w:tc>
          <w:tcPr>
            <w:tcW w:type="dxa" w:w="7836"/>
            <w:tcBorders>
              <w:top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8" w:after="0"/>
              <w:ind w:left="144" w:right="5184" w:firstLine="0"/>
              <w:jc w:val="center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13 </w:t>
            </w:r>
            <w:r>
              <w:br/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0.968 </w:t>
            </w:r>
            <w:r>
              <w:br/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0.945 </w:t>
            </w:r>
            <w:r>
              <w:br/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 xml:space="preserve">0.822 (df = 7) </w:t>
            </w:r>
            <w:r>
              <w:br/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42.150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∗∗∗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(df = 5; 7)</w:t>
            </w:r>
          </w:p>
        </w:tc>
      </w:tr>
      <w:tr>
        <w:trPr>
          <w:trHeight w:hRule="exact" w:val="518"/>
        </w:trPr>
        <w:tc>
          <w:tcPr>
            <w:tcW w:type="dxa" w:w="24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62" w:after="0"/>
              <w:ind w:left="4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/>
                <w:color w:val="000000"/>
                <w:sz w:val="29"/>
              </w:rPr>
              <w:t>Note:</w:t>
            </w:r>
          </w:p>
        </w:tc>
        <w:tc>
          <w:tcPr>
            <w:tcW w:type="dxa" w:w="783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66" w:after="0"/>
              <w:ind w:left="208" w:right="0" w:firstLine="0"/>
              <w:jc w:val="left"/>
            </w:pP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OLS estimates.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Standard errors in parentheses.</w:t>
            </w:r>
            <w:r>
              <w:rPr>
                <w:w w:val="98.93931027116447"/>
                <w:rFonts w:ascii="NimbusRomNo9L" w:hAnsi="NimbusRomNo9L" w:eastAsia="NimbusRomNo9L"/>
                <w:b w:val="0"/>
                <w:i w:val="0"/>
                <w:color w:val="000000"/>
                <w:sz w:val="29"/>
              </w:rPr>
              <w:t>IntermShare = valu</w:t>
            </w:r>
          </w:p>
        </w:tc>
      </w:tr>
    </w:tbl>
    <w:p>
      <w:pPr>
        <w:autoSpaceDN w:val="0"/>
        <w:autoSpaceDE w:val="0"/>
        <w:widowControl/>
        <w:spacing w:line="286" w:lineRule="exact" w:before="308" w:after="0"/>
        <w:ind w:left="682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OLS results in Table 12 report associations between FDI inflows (lagged</w:t>
      </w:r>
    </w:p>
    <w:p>
      <w:pPr>
        <w:autoSpaceDN w:val="0"/>
        <w:autoSpaceDE w:val="0"/>
        <w:widowControl/>
        <w:spacing w:line="286" w:lineRule="exact" w:before="13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one and two periods), trade openness, the intermediate goods import share of NE</w:t>
      </w:r>
    </w:p>
    <w:p>
      <w:pPr>
        <w:autoSpaceDN w:val="0"/>
        <w:autoSpaceDE w:val="0"/>
        <w:widowControl/>
        <w:spacing w:line="288" w:lineRule="exact" w:before="600" w:after="0"/>
        <w:ind w:left="0" w:right="5384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57</w:t>
      </w:r>
    </w:p>
    <w:p>
      <w:pPr>
        <w:sectPr>
          <w:pgSz w:w="11906" w:h="16838"/>
          <w:pgMar w:top="184" w:right="0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 imports, the post-2017 reform dummy, and a linear time trend, on manufac-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turing value added as a share of GDP for Uzbekistan 2010–2023 (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N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13).</w:t>
      </w:r>
    </w:p>
    <w:p>
      <w:pPr>
        <w:autoSpaceDN w:val="0"/>
        <w:autoSpaceDE w:val="0"/>
        <w:widowControl/>
        <w:spacing w:line="420" w:lineRule="exact" w:before="26" w:after="0"/>
        <w:ind w:left="144" w:right="24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sole statistically significant predictor is the linear time trend (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>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>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723, 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p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 xml:space="preserve"> &lt;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>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01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other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regressors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lags,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openness,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post-2017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dummy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individually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insignifi-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cant.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This is an expected and methodologically honest result for a 13-observation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single-country time series: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 VA, FDI, trade openness, and interme-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flows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co-integrated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trends.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collinearity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between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these co-moving regressors means the OLS cannot isolate their individual contri-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butions; the time trend absorbs their shared variance.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post-2017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dummy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insignificant,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consistent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pretation: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effect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slope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change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(accelerating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trend)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discrete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level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shift,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dummy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variable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tests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Industrial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capacity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takes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build,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regime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change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manifests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steepened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trajectory,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overnight jump.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(computed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bilateral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HS-section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BACI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data)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enters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negatively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insignificantly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−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19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>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34,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p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>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34).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This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irrelevant;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implies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single-country OLS cannot distinguish this mechanism from others moving along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same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path.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descriptive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evidence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??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documents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remained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persistently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above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78%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throughout the period and rose sharply post-2017 — providing descriptive support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 the GVC mechanism that the OLS cannot identify in isolation.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These results must be interpreted cautiously.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sample of 13 annual obser-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vations leaves the model severely underpowered for precise coefficient estimation.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panel robustness check (Table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 ??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), which adds cross-country variation from 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five-country comparator set, provides the additional identification needed to assess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whether the NE Asian trade mechanisms matter beyond the common trend.</w:t>
      </w:r>
    </w:p>
    <w:p>
      <w:pPr>
        <w:autoSpaceDN w:val="0"/>
        <w:autoSpaceDE w:val="0"/>
        <w:widowControl/>
        <w:spacing w:line="288" w:lineRule="exact" w:before="3170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58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018"/>
        </w:trPr>
        <w:tc>
          <w:tcPr>
            <w:tcW w:type="dxa" w:w="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4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8.8</w:t>
            </w:r>
          </w:p>
        </w:tc>
        <w:tc>
          <w:tcPr>
            <w:tcW w:type="dxa" w:w="87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176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Scenario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Forecasts: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Manufacturing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Value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Added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through</w:t>
            </w:r>
          </w:p>
        </w:tc>
      </w:tr>
    </w:tbl>
    <w:p>
      <w:pPr>
        <w:autoSpaceDN w:val="0"/>
        <w:autoSpaceDE w:val="0"/>
        <w:widowControl/>
        <w:spacing w:line="344" w:lineRule="exact" w:before="140" w:after="0"/>
        <w:ind w:left="1036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2030</w:t>
      </w:r>
    </w:p>
    <w:p>
      <w:pPr>
        <w:autoSpaceDN w:val="0"/>
        <w:autoSpaceDE w:val="0"/>
        <w:widowControl/>
        <w:spacing w:line="240" w:lineRule="auto" w:before="596" w:after="0"/>
        <w:ind w:left="72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346700" cy="29159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46700" cy="291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8" w:lineRule="exact" w:before="16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 18: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 Manufacturing Value Added Forecast,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2010–2030.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Three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policy scenarios diverge from 2024; shaded band is 80% baseline forecast interval.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World Bank WDI and author calculations.</w:t>
      </w:r>
    </w:p>
    <w:p>
      <w:pPr>
        <w:autoSpaceDN w:val="0"/>
        <w:autoSpaceDE w:val="0"/>
        <w:widowControl/>
        <w:spacing w:line="424" w:lineRule="exact" w:before="400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18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presents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three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scenarios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added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2030.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Under Scenario A (Status Quo), the post-2017 trend extrapolated linearly projects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manufacturing VA reaching approximately 24–25% of GDP by 2030, with an 80%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prediction interval spanning roughly 19–27%.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 scenario assumes no accelera-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tion in FDI attraction, no major logistics breakthrough, and continuation of current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Northeast Asian trade composition.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Scenario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(Accelerated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Embedding),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reflecting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successful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traction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export-oriented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Japanese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Korean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analogous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to Samsung’s investment in Vietnam, manufacturing VA could reach 27–29% by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2030.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scenario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requires: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inflows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rising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GDP,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LPI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provement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2.6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2.8,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domestic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chain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increase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ratios,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establishment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one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anchor manufacturing investor comparable to Samsung SDI or Hyundai Motor in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dedicated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special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zone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(e.g.,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formalising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2023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Samsung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ploratory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discussions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Central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battery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chains,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expanding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existing Hyundai MOU into full-scale assembly).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probability of this scenario</w:t>
      </w:r>
    </w:p>
    <w:p>
      <w:pPr>
        <w:autoSpaceDN w:val="0"/>
        <w:autoSpaceDE w:val="0"/>
        <w:widowControl/>
        <w:spacing w:line="288" w:lineRule="exact" w:before="392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59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remains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low-to-moderate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without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logistics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institutional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outlined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 the policy recommendations.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 Scenario C (Vietnam Trajectory),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applying Vietnam’s observed manu-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growth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stages,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would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reach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approximately 29% by 2030 — the most optimistic scenario and one that requires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intensity,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logistics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transformation,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diversifi-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cation within six years.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Given the current FDI gap (2.4% vs target 9%+ of GDP)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 landlocked infrastructure constraints,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this scenario represents an aspirational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benchmark rather than a baseline expectation.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scenario dashboard (Figure 21) additionally projects FDI inflows and ECI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 each scenario.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ECI projection is particularly important: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under Scenario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forecast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approach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zero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(global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average)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2030.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Scenarios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could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turn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positive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qualitative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threshold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indicating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export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basket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complex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world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average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would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position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to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sustain income convergence.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20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8.9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Mechanisms: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Trade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Openness,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ECI,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and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the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Complexity</w:t>
      </w:r>
    </w:p>
    <w:p>
      <w:pPr>
        <w:autoSpaceDN w:val="0"/>
        <w:autoSpaceDE w:val="0"/>
        <w:widowControl/>
        <w:spacing w:line="344" w:lineRule="exact" w:before="204" w:after="0"/>
        <w:ind w:left="1036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Trajectory</w:t>
      </w:r>
    </w:p>
    <w:p>
      <w:pPr>
        <w:autoSpaceDN w:val="0"/>
        <w:autoSpaceDE w:val="0"/>
        <w:widowControl/>
        <w:spacing w:line="240" w:lineRule="auto" w:before="544" w:after="0"/>
        <w:ind w:left="9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49520" cy="31889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9520" cy="3188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8" w:lineRule="exact" w:before="16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 19: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Trade Openness, Manufacturing VA, and ECI Trajectory, 2010–2023.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size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colour reflect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level;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traces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annual move-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ment.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World Bank WDI and OEC.</w:t>
      </w:r>
    </w:p>
    <w:p>
      <w:pPr>
        <w:autoSpaceDN w:val="0"/>
        <w:autoSpaceDE w:val="0"/>
        <w:widowControl/>
        <w:spacing w:line="288" w:lineRule="exact" w:before="412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60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Figure 19 traces Uzbekistan’s annual position in a three-dimensional space of trade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openness (x-axis), manufacturing VA (y-axis), and ECI (dot colour/size).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tra-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jectory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reveals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counterintuitive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pattern: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between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2010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2016,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ness declined (from index 100 to approximately 60) while manufacturing VA was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slowly rising.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 reflects the Karimov government’s deliberate import substitu-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expanded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domestic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behind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protective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wall of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 restrictions and currency controls.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After 2017, the trajectory reverses sharply: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 openness jumps as the econ-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omy opens, manufacturing VA accelerates, and critically, the ECI dots begin shift-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ing from deep red (ECI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≈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-0.6) toward orange and eventually yellow-green (ECI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≈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-0.2) by 2023.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simultaneous movement in all three dimensions supports 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interpretation that openness, manufacturing growth, and complexity upgrading are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co-evolving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mechanism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enabling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mestic value addition.</w:t>
      </w:r>
    </w:p>
    <w:p>
      <w:pPr>
        <w:autoSpaceDN w:val="0"/>
        <w:tabs>
          <w:tab w:pos="682" w:val="left"/>
          <w:tab w:pos="5426" w:val="left"/>
        </w:tabs>
        <w:autoSpaceDE w:val="0"/>
        <w:widowControl/>
        <w:spacing w:line="424" w:lineRule="exact" w:before="0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However,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trajectory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also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shows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concerning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plateau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beginning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around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2021–2022: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stabilised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19%,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openness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lev-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elled,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improvement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slowed.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suggests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initial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”easy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gains”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simply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opening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exhausted,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further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upgrading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requires a qualitatively different policy intervention — specifically, the attraction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of knowledge-intensive FDI from Japan and South Korea that can shift Uzbekistan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 captive to relational GVC governance.</w:t>
      </w:r>
    </w:p>
    <w:p>
      <w:pPr>
        <w:autoSpaceDN w:val="0"/>
        <w:autoSpaceDE w:val="0"/>
        <w:widowControl/>
        <w:spacing w:line="288" w:lineRule="exact" w:before="6134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61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086"/>
        </w:trPr>
        <w:tc>
          <w:tcPr>
            <w:tcW w:type="dxa" w:w="4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608" w:after="0"/>
              <w:ind w:left="4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>9</w:t>
            </w:r>
          </w:p>
        </w:tc>
        <w:tc>
          <w:tcPr>
            <w:tcW w:type="dxa" w:w="89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608" w:after="0"/>
              <w:ind w:left="220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>Discussion: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>Synthesis,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>Theory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>Revisited,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>and</w:t>
            </w: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>the</w:t>
            </w:r>
          </w:p>
        </w:tc>
      </w:tr>
    </w:tbl>
    <w:p>
      <w:pPr>
        <w:autoSpaceDN w:val="0"/>
        <w:autoSpaceDE w:val="0"/>
        <w:widowControl/>
        <w:spacing w:line="412" w:lineRule="exact" w:before="146" w:after="0"/>
        <w:ind w:left="88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41"/>
        </w:rPr>
        <w:t>Road Not Taken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528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9.1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Revisiting the Central Research Question</w:t>
      </w:r>
    </w:p>
    <w:p>
      <w:pPr>
        <w:autoSpaceDN w:val="0"/>
        <w:autoSpaceDE w:val="0"/>
        <w:widowControl/>
        <w:spacing w:line="292" w:lineRule="exact" w:before="314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 dissertation asked: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to what extent can Uzbekistan achieve structural transfor-</w:t>
      </w:r>
    </w:p>
    <w:p>
      <w:pPr>
        <w:autoSpaceDN w:val="0"/>
        <w:autoSpaceDE w:val="0"/>
        <w:widowControl/>
        <w:spacing w:line="286" w:lineRule="exact" w:before="132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mation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strategic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into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Northeast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production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networks?</w:t>
      </w:r>
    </w:p>
    <w:p>
      <w:pPr>
        <w:autoSpaceDN w:val="0"/>
        <w:autoSpaceDE w:val="0"/>
        <w:widowControl/>
        <w:spacing w:line="286" w:lineRule="exact" w:before="142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empirical evidence assembled across Sections 4–12 allows a nuanced, gradu-</w:t>
      </w:r>
    </w:p>
    <w:p>
      <w:pPr>
        <w:autoSpaceDN w:val="0"/>
        <w:autoSpaceDE w:val="0"/>
        <w:widowControl/>
        <w:spacing w:line="286" w:lineRule="exact" w:before="13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ated answer rather than a binary one.</w:t>
      </w:r>
    </w:p>
    <w:p>
      <w:pPr>
        <w:autoSpaceDN w:val="0"/>
        <w:autoSpaceDE w:val="0"/>
        <w:widowControl/>
        <w:spacing w:line="288" w:lineRule="exact" w:before="11048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62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6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286" w:lineRule="exact" w:before="544" w:after="234"/>
        <w:ind w:left="1518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Table 13: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Synthesis of Empirical Findings and Implications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5.99999999999994" w:type="dxa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rHeight w:hRule="exact" w:val="476"/>
        </w:trPr>
        <w:tc>
          <w:tcPr>
            <w:tcW w:type="dxa" w:w="1254"/>
            <w:gridSpan w:val="2"/>
            <w:tcBorders>
              <w:top w:sz="8.80000000000006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4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Evidence</w:t>
            </w:r>
          </w:p>
        </w:tc>
        <w:tc>
          <w:tcPr>
            <w:tcW w:type="dxa" w:w="800"/>
            <w:tcBorders>
              <w:top w:sz="8.80000000000006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4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Base</w:t>
            </w:r>
          </w:p>
        </w:tc>
        <w:tc>
          <w:tcPr>
            <w:tcW w:type="dxa" w:w="320"/>
            <w:tcBorders>
              <w:top w:sz="8.80000000000006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4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/</w:t>
            </w:r>
          </w:p>
        </w:tc>
        <w:tc>
          <w:tcPr>
            <w:tcW w:type="dxa" w:w="4100"/>
            <w:vMerge w:val="restart"/>
            <w:tcBorders>
              <w:top w:sz="8.800000000000068" w:val="single" w:color="#000000"/>
              <w:bottom w:sz="5.28979635238647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4" w:after="0"/>
              <w:ind w:left="114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Key Empirical Finding</w:t>
            </w:r>
          </w:p>
        </w:tc>
        <w:tc>
          <w:tcPr>
            <w:tcW w:type="dxa" w:w="2816"/>
            <w:gridSpan w:val="2"/>
            <w:tcBorders>
              <w:top w:sz="8.80000000000006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4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Implication</w:t>
            </w: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for</w:t>
            </w: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GVC</w:t>
            </w:r>
          </w:p>
        </w:tc>
      </w:tr>
      <w:tr>
        <w:trPr>
          <w:trHeight w:hRule="exact" w:val="444"/>
        </w:trPr>
        <w:tc>
          <w:tcPr>
            <w:tcW w:type="dxa" w:w="2374"/>
            <w:gridSpan w:val="4"/>
            <w:tcBorders>
              <w:bottom w:sz="5.28979635238647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72" w:after="0"/>
              <w:ind w:left="112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Method</w:t>
            </w:r>
          </w:p>
        </w:tc>
        <w:tc>
          <w:tcPr>
            <w:tcW w:type="dxa" w:w="1377"/>
            <w:vMerge/>
            <w:tcBorders>
              <w:top w:sz="8.800000000000068" w:val="single" w:color="#000000"/>
              <w:bottom w:sz="5.289796352386475" w:val="single" w:color="#000000"/>
            </w:tcBorders>
          </w:tcPr>
          <w:p/>
        </w:tc>
        <w:tc>
          <w:tcPr>
            <w:tcW w:type="dxa" w:w="2816"/>
            <w:gridSpan w:val="2"/>
            <w:tcBorders>
              <w:bottom w:sz="5.28979635238647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72" w:after="0"/>
              <w:ind w:left="116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Governance</w:t>
            </w:r>
          </w:p>
        </w:tc>
      </w:tr>
      <w:tr>
        <w:trPr>
          <w:trHeight w:hRule="exact" w:val="416"/>
        </w:trPr>
        <w:tc>
          <w:tcPr>
            <w:tcW w:type="dxa" w:w="914"/>
            <w:tcBorders>
              <w:top w:sz="5.28979635238647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46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Chow</w:t>
            </w:r>
          </w:p>
        </w:tc>
        <w:tc>
          <w:tcPr>
            <w:tcW w:type="dxa" w:w="1460"/>
            <w:gridSpan w:val="3"/>
            <w:tcBorders>
              <w:top w:sz="5.28979635238647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46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Structural</w:t>
            </w:r>
          </w:p>
        </w:tc>
        <w:tc>
          <w:tcPr>
            <w:tcW w:type="dxa" w:w="4100"/>
            <w:tcBorders>
              <w:top w:sz="5.28979635238647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46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2017 confirmed as a structural break</w:t>
            </w:r>
          </w:p>
        </w:tc>
        <w:tc>
          <w:tcPr>
            <w:tcW w:type="dxa" w:w="1340"/>
            <w:tcBorders>
              <w:top w:sz="5.28979635238647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46" w:after="0"/>
              <w:ind w:left="116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Reforms</w:t>
            </w:r>
          </w:p>
        </w:tc>
        <w:tc>
          <w:tcPr>
            <w:tcW w:type="dxa" w:w="1476"/>
            <w:tcBorders>
              <w:top w:sz="5.28979635238647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46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successfully</w:t>
            </w:r>
          </w:p>
        </w:tc>
      </w:tr>
      <w:tr>
        <w:trPr>
          <w:trHeight w:hRule="exact" w:val="440"/>
        </w:trPr>
        <w:tc>
          <w:tcPr>
            <w:tcW w:type="dxa" w:w="2374"/>
            <w:gridSpan w:val="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0" w:after="0"/>
              <w:ind w:left="112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Break Test</w:t>
            </w:r>
          </w:p>
        </w:tc>
        <w:tc>
          <w:tcPr>
            <w:tcW w:type="dxa" w:w="4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26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for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manufacturing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(</w:t>
            </w:r>
            <w:r>
              <w:rPr>
                <w:w w:val="101.7708338223971"/>
                <w:rFonts w:ascii="NimbusRomNo9L" w:hAnsi="NimbusRomNo9L" w:eastAsia="NimbusRomNo9L"/>
                <w:b w:val="0"/>
                <w:i/>
                <w:color w:val="000000"/>
                <w:sz w:val="26"/>
              </w:rPr>
              <w:t>F</w:t>
            </w:r>
            <w:r>
              <w:rPr>
                <w:w w:val="101.7708338223971"/>
                <w:rFonts w:ascii="CMR10" w:hAnsi="CMR10" w:eastAsia="CMR10"/>
                <w:b w:val="0"/>
                <w:i w:val="0"/>
                <w:color w:val="000000"/>
                <w:sz w:val="26"/>
              </w:rPr>
              <w:t>=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6</w:t>
            </w:r>
            <w:r>
              <w:rPr>
                <w:w w:val="101.7708338223971"/>
                <w:rFonts w:ascii="CMMI10" w:hAnsi="CMMI10" w:eastAsia="CMMI10"/>
                <w:b w:val="0"/>
                <w:i/>
                <w:color w:val="000000"/>
                <w:sz w:val="26"/>
              </w:rPr>
              <w:t>.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937</w:t>
            </w:r>
            <w:r>
              <w:rPr>
                <w:w w:val="101.7708338223971"/>
                <w:rFonts w:ascii="CMMI10" w:hAnsi="CMMI10" w:eastAsia="CMMI10"/>
                <w:b w:val="0"/>
                <w:i/>
                <w:color w:val="000000"/>
                <w:sz w:val="26"/>
              </w:rPr>
              <w:t>,</w:t>
            </w:r>
            <w:r>
              <w:rPr>
                <w:w w:val="101.7708338223971"/>
                <w:rFonts w:ascii="NimbusRomNo9L" w:hAnsi="NimbusRomNo9L" w:eastAsia="NimbusRomNo9L"/>
                <w:b w:val="0"/>
                <w:i/>
                <w:color w:val="000000"/>
                <w:sz w:val="26"/>
              </w:rPr>
              <w:t xml:space="preserve"> p</w:t>
            </w:r>
            <w:r>
              <w:rPr>
                <w:w w:val="101.7708338223971"/>
                <w:rFonts w:ascii="CMR10" w:hAnsi="CMR10" w:eastAsia="CMR10"/>
                <w:b w:val="0"/>
                <w:i w:val="0"/>
                <w:color w:val="000000"/>
                <w:sz w:val="26"/>
              </w:rPr>
              <w:t>=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2" w:after="0"/>
              <w:ind w:left="116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accelerated</w:t>
            </w:r>
          </w:p>
        </w:tc>
        <w:tc>
          <w:tcPr>
            <w:tcW w:type="dxa" w:w="14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2" w:after="0"/>
              <w:ind w:left="366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industrial</w:t>
            </w:r>
          </w:p>
        </w:tc>
      </w:tr>
      <w:tr>
        <w:trPr>
          <w:trHeight w:hRule="exact" w:val="408"/>
        </w:trPr>
        <w:tc>
          <w:tcPr>
            <w:tcW w:type="dxa" w:w="5508"/>
            <w:gridSpan w:val="4"/>
            <w:vMerge/>
            <w:tcBorders/>
          </w:tcPr>
          <w:p/>
        </w:tc>
        <w:tc>
          <w:tcPr>
            <w:tcW w:type="dxa" w:w="4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78" w:after="0"/>
              <w:ind w:left="114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0</w:t>
            </w:r>
            <w:r>
              <w:rPr>
                <w:w w:val="101.7708338223971"/>
                <w:rFonts w:ascii="CMMI10" w:hAnsi="CMMI10" w:eastAsia="CMMI10"/>
                <w:b w:val="0"/>
                <w:i/>
                <w:color w:val="000000"/>
                <w:sz w:val="26"/>
              </w:rPr>
              <w:t>.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013)</w:t>
            </w:r>
          </w:p>
        </w:tc>
        <w:tc>
          <w:tcPr>
            <w:tcW w:type="dxa" w:w="28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4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output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but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without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nec-</w:t>
            </w:r>
          </w:p>
        </w:tc>
      </w:tr>
    </w:tbl>
    <w:p>
      <w:pPr>
        <w:autoSpaceDN w:val="0"/>
        <w:autoSpaceDE w:val="0"/>
        <w:widowControl/>
        <w:spacing w:line="264" w:lineRule="exact" w:before="54" w:after="0"/>
        <w:ind w:left="0" w:right="138" w:firstLine="0"/>
        <w:jc w:val="right"/>
      </w:pPr>
      <w:r>
        <w:rPr>
          <w:w w:val="101.7708338223971"/>
          <w:rFonts w:ascii="NimbusRomNo9L" w:hAnsi="NimbusRomNo9L" w:eastAsia="NimbusRomNo9L"/>
          <w:b w:val="0"/>
          <w:i w:val="0"/>
          <w:color w:val="000000"/>
          <w:sz w:val="26"/>
        </w:rPr>
        <w:t>essarily</w:t>
      </w:r>
      <w:r>
        <w:rPr>
          <w:w w:val="101.7708338223971"/>
          <w:rFonts w:ascii="NimbusRomNo9L" w:hAnsi="NimbusRomNo9L" w:eastAsia="NimbusRomNo9L"/>
          <w:b w:val="0"/>
          <w:i w:val="0"/>
          <w:color w:val="000000"/>
          <w:sz w:val="26"/>
        </w:rPr>
        <w:t>altering</w:t>
      </w:r>
      <w:r>
        <w:rPr>
          <w:w w:val="101.7708338223971"/>
          <w:rFonts w:ascii="NimbusRomNo9L" w:hAnsi="NimbusRomNo9L" w:eastAsia="NimbusRomNo9L"/>
          <w:b w:val="0"/>
          <w:i w:val="0"/>
          <w:color w:val="000000"/>
          <w:sz w:val="26"/>
        </w:rPr>
        <w:t>GVC</w:t>
      </w:r>
    </w:p>
    <w:p>
      <w:pPr>
        <w:autoSpaceDN w:val="0"/>
        <w:autoSpaceDE w:val="0"/>
        <w:widowControl/>
        <w:spacing w:line="264" w:lineRule="exact" w:before="126" w:after="196"/>
        <w:ind w:left="0" w:right="1468" w:firstLine="0"/>
        <w:jc w:val="right"/>
      </w:pPr>
      <w:r>
        <w:rPr>
          <w:w w:val="101.7708338223971"/>
          <w:rFonts w:ascii="NimbusRomNo9L" w:hAnsi="NimbusRomNo9L" w:eastAsia="NimbusRomNo9L"/>
          <w:b w:val="0"/>
          <w:i w:val="0"/>
          <w:color w:val="000000"/>
          <w:sz w:val="26"/>
        </w:rPr>
        <w:t>positioning.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0.0" w:type="dxa"/>
      </w:tblPr>
      <w:tblGrid>
        <w:gridCol w:w="1607"/>
        <w:gridCol w:w="1607"/>
        <w:gridCol w:w="1607"/>
        <w:gridCol w:w="1607"/>
        <w:gridCol w:w="1607"/>
        <w:gridCol w:w="1607"/>
      </w:tblGrid>
      <w:tr>
        <w:trPr>
          <w:trHeight w:hRule="exact" w:val="316"/>
        </w:trPr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238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RCA</w:t>
            </w: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Index</w:t>
            </w: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Analy-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114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Comparative</w:t>
            </w:r>
          </w:p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322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advantages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remain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Failure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to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achieve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func-</w:t>
            </w:r>
          </w:p>
        </w:tc>
      </w:tr>
      <w:tr>
        <w:trPr>
          <w:trHeight w:hRule="exact" w:val="460"/>
        </w:trPr>
        <w:tc>
          <w:tcPr>
            <w:tcW w:type="dxa" w:w="2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6" w:after="0"/>
              <w:ind w:left="238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sis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8" w:after="0"/>
              <w:ind w:left="114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concentrated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8" w:after="0"/>
              <w:ind w:left="0" w:right="182" w:firstLine="0"/>
              <w:jc w:val="righ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in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8" w:after="0"/>
              <w:ind w:left="206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resources/low-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8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tional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upgrading;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lock-</w:t>
            </w:r>
          </w:p>
        </w:tc>
      </w:tr>
      <w:tr>
        <w:trPr>
          <w:trHeight w:hRule="exact" w:val="392"/>
        </w:trPr>
        <w:tc>
          <w:tcPr>
            <w:tcW w:type="dxa" w:w="1607"/>
            <w:vMerge/>
            <w:tcBorders/>
          </w:tcPr>
          <w:p/>
        </w:tc>
        <w:tc>
          <w:tcPr>
            <w:tcW w:type="dxa" w:w="41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8" w:after="0"/>
              <w:ind w:left="114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complexity goods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8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in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to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primary/extractive</w:t>
            </w:r>
          </w:p>
        </w:tc>
      </w:tr>
    </w:tbl>
    <w:p>
      <w:pPr>
        <w:autoSpaceDN w:val="0"/>
        <w:autoSpaceDE w:val="0"/>
        <w:widowControl/>
        <w:spacing w:line="264" w:lineRule="exact" w:before="66" w:after="194"/>
        <w:ind w:left="0" w:right="2042" w:firstLine="0"/>
        <w:jc w:val="right"/>
      </w:pPr>
      <w:r>
        <w:rPr>
          <w:w w:val="101.7708338223971"/>
          <w:rFonts w:ascii="NimbusRomNo9L" w:hAnsi="NimbusRomNo9L" w:eastAsia="NimbusRomNo9L"/>
          <w:b w:val="0"/>
          <w:i w:val="0"/>
          <w:color w:val="000000"/>
          <w:sz w:val="26"/>
        </w:rPr>
        <w:t>nodes.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0.0" w:type="dxa"/>
      </w:tblPr>
      <w:tblGrid>
        <w:gridCol w:w="1607"/>
        <w:gridCol w:w="1607"/>
        <w:gridCol w:w="1607"/>
        <w:gridCol w:w="1607"/>
        <w:gridCol w:w="1607"/>
        <w:gridCol w:w="1607"/>
      </w:tblGrid>
      <w:tr>
        <w:trPr>
          <w:trHeight w:hRule="exact" w:val="324"/>
        </w:trPr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8" w:after="0"/>
              <w:ind w:left="238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OLS</w:t>
            </w: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&amp;</w:t>
            </w: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Panel</w:t>
            </w: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Re-</w:t>
            </w:r>
          </w:p>
        </w:tc>
        <w:tc>
          <w:tcPr>
            <w:tcW w:type="dxa" w:w="4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0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Time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trend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significant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(</w:t>
            </w:r>
            <w:r>
              <w:rPr>
                <w:w w:val="101.7708338223971"/>
                <w:rFonts w:ascii="StandardSymL" w:hAnsi="StandardSymL" w:eastAsia="StandardSymL"/>
                <w:b w:val="0"/>
                <w:i/>
                <w:color w:val="000000"/>
                <w:sz w:val="26"/>
              </w:rPr>
              <w:t>β</w:t>
            </w:r>
            <w:r>
              <w:rPr>
                <w:w w:val="101.7708338223971"/>
                <w:rFonts w:ascii="CMR10" w:hAnsi="CMR10" w:eastAsia="CMR10"/>
                <w:b w:val="0"/>
                <w:i w:val="0"/>
                <w:color w:val="000000"/>
                <w:sz w:val="26"/>
              </w:rPr>
              <w:t>=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0</w:t>
            </w:r>
            <w:r>
              <w:rPr>
                <w:w w:val="101.7708338223971"/>
                <w:rFonts w:ascii="CMMI10" w:hAnsi="CMMI10" w:eastAsia="CMMI10"/>
                <w:b w:val="0"/>
                <w:i/>
                <w:color w:val="000000"/>
                <w:sz w:val="26"/>
              </w:rPr>
              <w:t>.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72,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0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Structural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0" w:after="0"/>
              <w:ind w:left="212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growth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0" w:after="0"/>
              <w:ind w:left="0" w:right="56" w:firstLine="0"/>
              <w:jc w:val="righ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is</w:t>
            </w:r>
          </w:p>
        </w:tc>
      </w:tr>
      <w:tr>
        <w:trPr>
          <w:trHeight w:hRule="exact" w:val="76"/>
        </w:trPr>
        <w:tc>
          <w:tcPr>
            <w:tcW w:type="dxa" w:w="2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0" w:after="0"/>
              <w:ind w:left="238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gression</w:t>
            </w:r>
          </w:p>
        </w:tc>
        <w:tc>
          <w:tcPr>
            <w:tcW w:type="dxa" w:w="1607"/>
            <w:vMerge/>
            <w:tcBorders/>
          </w:tcPr>
          <w:p/>
        </w:tc>
        <w:tc>
          <w:tcPr>
            <w:tcW w:type="dxa" w:w="15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2" w:after="0"/>
              <w:ind w:left="116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trend-driven;</w:t>
            </w:r>
          </w:p>
        </w:tc>
        <w:tc>
          <w:tcPr>
            <w:tcW w:type="dxa" w:w="12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2" w:after="0"/>
              <w:ind w:left="0" w:right="56" w:firstLine="0"/>
              <w:jc w:val="righ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causal</w:t>
            </w:r>
          </w:p>
        </w:tc>
      </w:tr>
      <w:tr>
        <w:trPr>
          <w:trHeight w:hRule="exact" w:val="364"/>
        </w:trPr>
        <w:tc>
          <w:tcPr>
            <w:tcW w:type="dxa" w:w="1607"/>
            <w:vMerge/>
            <w:tcBorders/>
          </w:tcPr>
          <w:p/>
        </w:tc>
        <w:tc>
          <w:tcPr>
            <w:tcW w:type="dxa" w:w="4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50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/>
                <w:color w:val="000000"/>
                <w:sz w:val="26"/>
              </w:rPr>
              <w:t>p</w:t>
            </w:r>
            <w:r>
              <w:rPr>
                <w:w w:val="101.7708338223971"/>
                <w:rFonts w:ascii="CMMI10" w:hAnsi="CMMI10" w:eastAsia="CMMI10"/>
                <w:b w:val="0"/>
                <w:i/>
                <w:color w:val="000000"/>
                <w:sz w:val="26"/>
              </w:rPr>
              <w:t>&lt;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0</w:t>
            </w:r>
            <w:r>
              <w:rPr>
                <w:w w:val="101.7708338223971"/>
                <w:rFonts w:ascii="CMMI10" w:hAnsi="CMMI10" w:eastAsia="CMMI10"/>
                <w:b w:val="0"/>
                <w:i/>
                <w:color w:val="000000"/>
                <w:sz w:val="26"/>
              </w:rPr>
              <w:t>.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01);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FDI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and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intermediate</w:t>
            </w:r>
          </w:p>
        </w:tc>
        <w:tc>
          <w:tcPr>
            <w:tcW w:type="dxa" w:w="3214"/>
            <w:gridSpan w:val="2"/>
            <w:vMerge/>
            <w:tcBorders/>
          </w:tcPr>
          <w:p/>
        </w:tc>
        <w:tc>
          <w:tcPr>
            <w:tcW w:type="dxa" w:w="3214"/>
            <w:gridSpan w:val="2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607"/>
            <w:vMerge/>
            <w:tcBorders/>
          </w:tcPr>
          <w:p/>
        </w:tc>
        <w:tc>
          <w:tcPr>
            <w:tcW w:type="dxa" w:w="4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76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goods share both insignificant at</w:t>
            </w:r>
            <w:r>
              <w:rPr>
                <w:w w:val="101.7708338223971"/>
                <w:rFonts w:ascii="NimbusRomNo9L" w:hAnsi="NimbusRomNo9L" w:eastAsia="NimbusRomNo9L"/>
                <w:b w:val="0"/>
                <w:i/>
                <w:color w:val="000000"/>
                <w:sz w:val="26"/>
              </w:rPr>
              <w:t xml:space="preserve"> N</w:t>
            </w:r>
            <w:r>
              <w:rPr>
                <w:w w:val="101.7708338223971"/>
                <w:rFonts w:ascii="CMR10" w:hAnsi="CMR10" w:eastAsia="CMR10"/>
                <w:b w:val="0"/>
                <w:i w:val="0"/>
                <w:color w:val="000000"/>
                <w:sz w:val="26"/>
              </w:rPr>
              <w:t xml:space="preserve"> =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2" w:after="0"/>
              <w:ind w:left="116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identification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2" w:after="0"/>
              <w:ind w:left="0" w:right="238" w:firstLine="0"/>
              <w:jc w:val="righ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of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2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NE</w:t>
            </w:r>
          </w:p>
        </w:tc>
      </w:tr>
      <w:tr>
        <w:trPr>
          <w:trHeight w:hRule="exact" w:val="398"/>
        </w:trPr>
        <w:tc>
          <w:tcPr>
            <w:tcW w:type="dxa" w:w="1607"/>
            <w:vMerge/>
            <w:tcBorders/>
          </w:tcPr>
          <w:p/>
        </w:tc>
        <w:tc>
          <w:tcPr>
            <w:tcW w:type="dxa" w:w="4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2" w:after="0"/>
              <w:ind w:left="114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13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2" w:after="0"/>
              <w:ind w:left="116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Asian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72" w:after="0"/>
              <w:ind w:left="136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mechanisms</w:t>
            </w:r>
          </w:p>
        </w:tc>
      </w:tr>
    </w:tbl>
    <w:p>
      <w:pPr>
        <w:autoSpaceDN w:val="0"/>
        <w:autoSpaceDE w:val="0"/>
        <w:widowControl/>
        <w:spacing w:line="264" w:lineRule="exact" w:before="66" w:after="0"/>
        <w:ind w:left="0" w:right="138" w:firstLine="0"/>
        <w:jc w:val="right"/>
      </w:pPr>
      <w:r>
        <w:rPr>
          <w:w w:val="101.7708338223971"/>
          <w:rFonts w:ascii="NimbusRomNo9L" w:hAnsi="NimbusRomNo9L" w:eastAsia="NimbusRomNo9L"/>
          <w:b w:val="0"/>
          <w:i w:val="0"/>
          <w:color w:val="000000"/>
          <w:sz w:val="26"/>
        </w:rPr>
        <w:t>requires panel extension</w:t>
      </w:r>
    </w:p>
    <w:p>
      <w:pPr>
        <w:autoSpaceDN w:val="0"/>
        <w:autoSpaceDE w:val="0"/>
        <w:widowControl/>
        <w:spacing w:line="264" w:lineRule="exact" w:before="126" w:after="0"/>
        <w:ind w:left="0" w:right="138" w:firstLine="0"/>
        <w:jc w:val="right"/>
      </w:pPr>
      <w:r>
        <w:rPr>
          <w:w w:val="101.7708338223971"/>
          <w:rFonts w:ascii="NimbusRomNo9L" w:hAnsi="NimbusRomNo9L" w:eastAsia="NimbusRomNo9L"/>
          <w:b w:val="0"/>
          <w:i w:val="0"/>
          <w:color w:val="000000"/>
          <w:sz w:val="26"/>
        </w:rPr>
        <w:t>with</w:t>
      </w:r>
      <w:r>
        <w:rPr>
          <w:w w:val="101.7708338223971"/>
          <w:rFonts w:ascii="NimbusRomNo9L" w:hAnsi="NimbusRomNo9L" w:eastAsia="NimbusRomNo9L"/>
          <w:b w:val="0"/>
          <w:i w:val="0"/>
          <w:color w:val="000000"/>
          <w:sz w:val="26"/>
        </w:rPr>
        <w:t>country-level</w:t>
      </w:r>
      <w:r>
        <w:rPr>
          <w:w w:val="101.7708338223971"/>
          <w:rFonts w:ascii="NimbusRomNo9L" w:hAnsi="NimbusRomNo9L" w:eastAsia="NimbusRomNo9L"/>
          <w:b w:val="0"/>
          <w:i w:val="0"/>
          <w:color w:val="000000"/>
          <w:sz w:val="26"/>
        </w:rPr>
        <w:t>vari-</w:t>
      </w:r>
    </w:p>
    <w:p>
      <w:pPr>
        <w:autoSpaceDN w:val="0"/>
        <w:autoSpaceDE w:val="0"/>
        <w:widowControl/>
        <w:spacing w:line="264" w:lineRule="exact" w:before="126" w:after="196"/>
        <w:ind w:left="0" w:right="2130" w:firstLine="0"/>
        <w:jc w:val="right"/>
      </w:pPr>
      <w:r>
        <w:rPr>
          <w:w w:val="101.7708338223971"/>
          <w:rFonts w:ascii="NimbusRomNo9L" w:hAnsi="NimbusRomNo9L" w:eastAsia="NimbusRomNo9L"/>
          <w:b w:val="0"/>
          <w:i w:val="0"/>
          <w:color w:val="000000"/>
          <w:sz w:val="26"/>
        </w:rPr>
        <w:t>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0.0" w:type="dxa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rHeight w:hRule="exact" w:val="316"/>
        </w:trPr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52" w:after="0"/>
              <w:ind w:left="238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Trade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0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Network</w:t>
            </w:r>
          </w:p>
        </w:tc>
        <w:tc>
          <w:tcPr>
            <w:tcW w:type="dxa" w:w="4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High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betweenness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(0.26)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and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in-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Conduit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0" w:right="26" w:firstLine="0"/>
              <w:jc w:val="righ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for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50" w:after="0"/>
              <w:ind w:left="210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imported</w:t>
            </w:r>
          </w:p>
        </w:tc>
      </w:tr>
      <w:tr>
        <w:trPr>
          <w:trHeight w:hRule="exact" w:val="460"/>
        </w:trPr>
        <w:tc>
          <w:tcPr>
            <w:tcW w:type="dxa" w:w="1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34" w:after="0"/>
              <w:ind w:left="238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Metrics</w:t>
            </w:r>
          </w:p>
        </w:tc>
        <w:tc>
          <w:tcPr>
            <w:tcW w:type="dxa" w:w="1377"/>
            <w:vMerge/>
            <w:tcBorders/>
          </w:tcPr>
          <w:p/>
        </w:tc>
        <w:tc>
          <w:tcPr>
            <w:tcW w:type="dxa" w:w="4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8" w:after="0"/>
              <w:ind w:left="114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degree; low forward integration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8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components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8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but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8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lacks</w:t>
            </w:r>
          </w:p>
        </w:tc>
      </w:tr>
      <w:tr>
        <w:trPr>
          <w:trHeight w:hRule="exact" w:val="392"/>
        </w:trPr>
        <w:tc>
          <w:tcPr>
            <w:tcW w:type="dxa" w:w="1377"/>
            <w:vMerge/>
            <w:tcBorders/>
          </w:tcPr>
          <w:p/>
        </w:tc>
        <w:tc>
          <w:tcPr>
            <w:tcW w:type="dxa" w:w="1377"/>
            <w:vMerge/>
            <w:tcBorders/>
          </w:tcPr>
          <w:p/>
        </w:tc>
        <w:tc>
          <w:tcPr>
            <w:tcW w:type="dxa" w:w="1377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8" w:after="0"/>
              <w:ind w:left="116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reciprocal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8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high-value</w:t>
            </w:r>
          </w:p>
        </w:tc>
      </w:tr>
    </w:tbl>
    <w:p>
      <w:pPr>
        <w:autoSpaceDN w:val="0"/>
        <w:autoSpaceDE w:val="0"/>
        <w:widowControl/>
        <w:spacing w:line="264" w:lineRule="exact" w:before="66" w:after="190"/>
        <w:ind w:left="0" w:right="1884" w:firstLine="0"/>
        <w:jc w:val="right"/>
      </w:pPr>
      <w:r>
        <w:rPr>
          <w:w w:val="101.7708338223971"/>
          <w:rFonts w:ascii="NimbusRomNo9L" w:hAnsi="NimbusRomNo9L" w:eastAsia="NimbusRomNo9L"/>
          <w:b w:val="0"/>
          <w:i w:val="0"/>
          <w:color w:val="000000"/>
          <w:sz w:val="26"/>
        </w:rPr>
        <w:t>exports.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0.0" w:type="dxa"/>
      </w:tblPr>
      <w:tblGrid>
        <w:gridCol w:w="1607"/>
        <w:gridCol w:w="1607"/>
        <w:gridCol w:w="1607"/>
        <w:gridCol w:w="1607"/>
        <w:gridCol w:w="1607"/>
        <w:gridCol w:w="1607"/>
      </w:tblGrid>
      <w:tr>
        <w:trPr>
          <w:trHeight w:hRule="exact" w:val="328"/>
        </w:trPr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2" w:after="0"/>
              <w:ind w:left="238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Comparative</w:t>
            </w:r>
          </w:p>
        </w:tc>
        <w:tc>
          <w:tcPr>
            <w:tcW w:type="dxa" w:w="4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54" w:after="0"/>
              <w:ind w:left="354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FDI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reversed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post-reform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(4.1%</w:t>
            </w:r>
            <w:r>
              <w:rPr>
                <w:w w:val="101.7708338223971"/>
                <w:rFonts w:ascii="CMSY10" w:hAnsi="CMSY10" w:eastAsia="CMSY10"/>
                <w:b w:val="0"/>
                <w:i/>
                <w:color w:val="000000"/>
                <w:sz w:val="26"/>
              </w:rPr>
              <w:t>→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2" w:after="0"/>
              <w:ind w:left="116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Fails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2" w:after="0"/>
              <w:ind w:left="44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to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2" w:after="0"/>
              <w:ind w:left="4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attract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2" w:after="0"/>
              <w:ind w:left="0" w:right="56" w:firstLine="0"/>
              <w:jc w:val="righ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2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0" w:after="0"/>
              <w:ind w:left="238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Benchmarking</w:t>
            </w:r>
          </w:p>
        </w:tc>
        <w:tc>
          <w:tcPr>
            <w:tcW w:type="dxa" w:w="4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2" w:after="0"/>
              <w:ind w:left="354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2.4%), unlike Vietnam</w:t>
            </w:r>
          </w:p>
        </w:tc>
        <w:tc>
          <w:tcPr>
            <w:tcW w:type="dxa" w:w="21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2" w:after="0"/>
              <w:ind w:left="116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export-platform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32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FDI</w:t>
            </w:r>
          </w:p>
        </w:tc>
      </w:tr>
      <w:tr>
        <w:trPr>
          <w:trHeight w:hRule="exact" w:val="406"/>
        </w:trPr>
        <w:tc>
          <w:tcPr>
            <w:tcW w:type="dxa" w:w="1607"/>
            <w:vMerge/>
            <w:tcBorders/>
          </w:tcPr>
          <w:p/>
        </w:tc>
        <w:tc>
          <w:tcPr>
            <w:tcW w:type="dxa" w:w="1607"/>
            <w:vMerge/>
            <w:tcBorders/>
          </w:tcPr>
          <w:p/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2" w:after="0"/>
              <w:ind w:left="116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needed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2" w:after="0"/>
              <w:ind w:left="0" w:right="0" w:firstLine="0"/>
              <w:jc w:val="righ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for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2" w:after="0"/>
              <w:ind w:left="286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relational</w:t>
            </w:r>
          </w:p>
        </w:tc>
      </w:tr>
    </w:tbl>
    <w:p>
      <w:pPr>
        <w:autoSpaceDN w:val="0"/>
        <w:autoSpaceDE w:val="0"/>
        <w:widowControl/>
        <w:spacing w:line="266" w:lineRule="exact" w:before="66" w:after="194"/>
        <w:ind w:left="0" w:right="1448" w:firstLine="0"/>
        <w:jc w:val="right"/>
      </w:pPr>
      <w:r>
        <w:rPr>
          <w:w w:val="101.7708338223971"/>
          <w:rFonts w:ascii="NimbusRomNo9L" w:hAnsi="NimbusRomNo9L" w:eastAsia="NimbusRomNo9L"/>
          <w:b w:val="0"/>
          <w:i w:val="0"/>
          <w:color w:val="000000"/>
          <w:sz w:val="26"/>
        </w:rPr>
        <w:t>governance.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0.0" w:type="dxa"/>
      </w:tblPr>
      <w:tblGrid>
        <w:gridCol w:w="1607"/>
        <w:gridCol w:w="1607"/>
        <w:gridCol w:w="1607"/>
        <w:gridCol w:w="1607"/>
        <w:gridCol w:w="1607"/>
        <w:gridCol w:w="1607"/>
      </w:tblGrid>
      <w:tr>
        <w:trPr>
          <w:trHeight w:hRule="exact" w:val="308"/>
        </w:trPr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42" w:after="0"/>
              <w:ind w:left="238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Constraint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Diag-</w:t>
            </w:r>
          </w:p>
        </w:tc>
        <w:tc>
          <w:tcPr>
            <w:tcW w:type="dxa" w:w="4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4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Logistics cost and transit time are the</w:t>
            </w:r>
          </w:p>
        </w:tc>
        <w:tc>
          <w:tcPr>
            <w:tcW w:type="dxa" w:w="27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4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Structural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barrier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pre-</w:t>
            </w:r>
          </w:p>
        </w:tc>
      </w:tr>
      <w:tr>
        <w:trPr>
          <w:trHeight w:hRule="exact" w:val="460"/>
        </w:trPr>
        <w:tc>
          <w:tcPr>
            <w:tcW w:type="dxa" w:w="1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44" w:after="0"/>
              <w:ind w:left="238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/>
                <w:i w:val="0"/>
                <w:color w:val="000000"/>
                <w:sz w:val="26"/>
              </w:rPr>
              <w:t>nostics</w:t>
            </w:r>
          </w:p>
        </w:tc>
        <w:tc>
          <w:tcPr>
            <w:tcW w:type="dxa" w:w="1607"/>
            <w:vMerge/>
            <w:tcBorders/>
          </w:tcPr>
          <w:p/>
        </w:tc>
        <w:tc>
          <w:tcPr>
            <w:tcW w:type="dxa" w:w="4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46" w:after="0"/>
              <w:ind w:left="114" w:right="0" w:firstLine="0"/>
              <w:jc w:val="left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absolute binding constraints</w:t>
            </w:r>
          </w:p>
        </w:tc>
        <w:tc>
          <w:tcPr>
            <w:tcW w:type="dxa" w:w="27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46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venting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transition</w:t>
            </w: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from</w:t>
            </w:r>
          </w:p>
        </w:tc>
      </w:tr>
      <w:tr>
        <w:trPr>
          <w:trHeight w:hRule="exact" w:val="400"/>
        </w:trPr>
        <w:tc>
          <w:tcPr>
            <w:tcW w:type="dxa" w:w="1607"/>
            <w:vMerge/>
            <w:tcBorders/>
          </w:tcPr>
          <w:p/>
        </w:tc>
        <w:tc>
          <w:tcPr>
            <w:tcW w:type="dxa" w:w="1607"/>
            <w:vMerge/>
            <w:tcBorders/>
          </w:tcPr>
          <w:p/>
        </w:tc>
        <w:tc>
          <w:tcPr>
            <w:tcW w:type="dxa" w:w="1607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76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’captive’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76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assembly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76" w:after="0"/>
              <w:ind w:left="0" w:right="0" w:firstLine="0"/>
              <w:jc w:val="center"/>
            </w:pPr>
            <w:r>
              <w:rPr>
                <w:w w:val="101.7708338223971"/>
                <w:rFonts w:ascii="NimbusRomNo9L" w:hAnsi="NimbusRomNo9L" w:eastAsia="NimbusRomNo9L"/>
                <w:b w:val="0"/>
                <w:i w:val="0"/>
                <w:color w:val="000000"/>
                <w:sz w:val="26"/>
              </w:rPr>
              <w:t>to</w:t>
            </w:r>
          </w:p>
        </w:tc>
      </w:tr>
    </w:tbl>
    <w:p>
      <w:pPr>
        <w:autoSpaceDN w:val="0"/>
        <w:autoSpaceDE w:val="0"/>
        <w:widowControl/>
        <w:spacing w:line="266" w:lineRule="exact" w:before="66" w:after="0"/>
        <w:ind w:left="0" w:right="288" w:firstLine="0"/>
        <w:jc w:val="right"/>
      </w:pPr>
      <w:r>
        <w:rPr>
          <w:w w:val="101.7708338223971"/>
          <w:rFonts w:ascii="NimbusRomNo9L" w:hAnsi="NimbusRomNo9L" w:eastAsia="NimbusRomNo9L"/>
          <w:b w:val="0"/>
          <w:i w:val="0"/>
          <w:color w:val="000000"/>
          <w:sz w:val="26"/>
        </w:rPr>
        <w:t>’relational’ integration.</w:t>
      </w:r>
    </w:p>
    <w:p>
      <w:pPr>
        <w:autoSpaceDN w:val="0"/>
        <w:autoSpaceDE w:val="0"/>
        <w:widowControl/>
        <w:spacing w:line="286" w:lineRule="exact" w:before="626" w:after="0"/>
        <w:ind w:left="682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synthesis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(Table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13)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draws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together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methodological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components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</w:p>
    <w:p>
      <w:pPr>
        <w:autoSpaceDN w:val="0"/>
        <w:autoSpaceDE w:val="0"/>
        <w:widowControl/>
        <w:spacing w:line="286" w:lineRule="exact" w:before="13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demonstrate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central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argument: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deepened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into</w:t>
      </w:r>
    </w:p>
    <w:p>
      <w:pPr>
        <w:autoSpaceDN w:val="0"/>
        <w:autoSpaceDE w:val="0"/>
        <w:widowControl/>
        <w:spacing w:line="288" w:lineRule="exact" w:before="516" w:after="0"/>
        <w:ind w:left="0" w:right="4560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63</w:t>
      </w:r>
    </w:p>
    <w:p>
      <w:pPr>
        <w:sectPr>
          <w:pgSz w:w="11906" w:h="16838"/>
          <w:pgMar w:top="184" w:right="824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Northeast Asian networks, but remains trapped in a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captive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governance structure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where it acts as a passive absorber of intermediate goods rather than an active re-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lational exporter.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affirmative case is real and documented.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2017 Mirziy-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oyev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constituted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genuine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break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trajectory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(Chow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F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>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6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>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937,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p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>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013),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accelerating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annual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manufacturing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growth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0.4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1.2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percentage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points.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Northeast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integration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 deepened rapidly and at scale: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bilateral trade with China increased 280% be-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tween 2017 and 2023, and the intermediate goods share of imports from all three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Northeast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partners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(China: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85%,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Korea: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90%,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Japan: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98%)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fully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consistent with GVC backward integration potential.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ECI has improved mea-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surably (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−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>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65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→−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>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2), and Uzbekistan’s reform trajectory in manufacturing VA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 years 0–5 post-reform broadly matches Vietnam’s equivalent trajectory.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critical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qualifications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equally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documented.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trajec-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reversed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post-reform,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declining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4.1%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GDP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2017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2.4%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2023, while Vietnam and Thailand both saw FDI rise continuously through com-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windows.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dominant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(China,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28%)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primarily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infrastructure-linked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export-manufacturing-linked.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Japan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South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Korea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partners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whose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capital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closely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resembles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export-platform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FDI that drove Vietnamese upgrading — remain marginal FDI contributors despite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their substantial trade relationships.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Export sophistication, measured by ECI 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RCA,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improved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modestly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remains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below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negative-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zero on the global distribution.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GVC positioning analysis (Figure 11) reveals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 telling trajectory: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Uzbekistan has moved rightward (high backward integration)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(low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quantitative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signature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captive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rather than relational GVC governance.</w:t>
      </w:r>
    </w:p>
    <w:p>
      <w:pPr>
        <w:autoSpaceDN w:val="0"/>
        <w:autoSpaceDE w:val="0"/>
        <w:widowControl/>
        <w:spacing w:line="422" w:lineRule="exact" w:before="2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calibrated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answer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therefore: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can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achieve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significant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struc-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tural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transformation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Northeast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integration,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only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if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current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trajectory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which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favours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infrastructure-linked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Chinese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capital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over 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manufacturing-linked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Japanese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Korean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capital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deliberately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redirected, 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binding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constraints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logistics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inefficiency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governance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quality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are 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systematically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reduced.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Without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these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interventions,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most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likely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scenario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is 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import-led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consumption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growth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resource-processing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export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growth,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rather 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than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export-sophistication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path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would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generate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sustained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income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con-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vergence.</w:t>
      </w:r>
    </w:p>
    <w:p>
      <w:pPr>
        <w:autoSpaceDN w:val="0"/>
        <w:autoSpaceDE w:val="0"/>
        <w:widowControl/>
        <w:spacing w:line="288" w:lineRule="exact" w:before="634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64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018"/>
        </w:trPr>
        <w:tc>
          <w:tcPr>
            <w:tcW w:type="dxa" w:w="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4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9.2</w:t>
            </w:r>
          </w:p>
        </w:tc>
        <w:tc>
          <w:tcPr>
            <w:tcW w:type="dxa" w:w="87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176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What the Regression Results Actually Say:</w:t>
            </w: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Trend Growth,</w:t>
            </w:r>
          </w:p>
        </w:tc>
      </w:tr>
    </w:tbl>
    <w:p>
      <w:pPr>
        <w:autoSpaceDN w:val="0"/>
        <w:autoSpaceDE w:val="0"/>
        <w:widowControl/>
        <w:spacing w:line="344" w:lineRule="exact" w:before="140" w:after="0"/>
        <w:ind w:left="1036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Not a Single Causal Mechanism</w:t>
      </w:r>
    </w:p>
    <w:p>
      <w:pPr>
        <w:autoSpaceDN w:val="0"/>
        <w:autoSpaceDE w:val="0"/>
        <w:widowControl/>
        <w:spacing w:line="424" w:lineRule="exact" w:before="182" w:after="0"/>
        <w:ind w:left="144" w:right="24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econometric evidence in Table 12 must be interpreted with rigorous honesty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about what a short time series (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N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13 annual observations) can and cannot estab-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lish.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When the intermediate goods import share is computed directly from bilat-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eral HS-section BACI trade data — rather than inferred from literature-based con-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stants — it enters the OLS equation negatively and insignificantly (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−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19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>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34, 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p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>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34).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Lagged FDI inflows are likewise insignificant across both models 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both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statistically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significant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predictor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linear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time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trend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</w:t>
      </w:r>
      <w:r>
        <w:rPr>
          <w:w w:val="98.93931027116447"/>
          <w:rFonts w:ascii="StandardSymL" w:hAnsi="StandardSymL" w:eastAsia="StandardSymL"/>
          <w:b w:val="0"/>
          <w:i/>
          <w:color w:val="000000"/>
          <w:sz w:val="29"/>
        </w:rPr>
        <w:t>β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>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>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723,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p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 xml:space="preserve"> &lt;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>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01),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captures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sustained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trajectory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of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 value added over the 2010–2023 period.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 result does not contradict the theoretical argument of this dissertation 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 sharpens it.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 a 13-observation OLS on a single country, collinearity is severe: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openness,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flows,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even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post-2017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dummy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all trend upward together, making causal attribution statistically intractable at this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level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aggregation.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trend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absorbs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variance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moving regressors.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correct inference is therefore not that intermediate goods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 does not matter,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 that a univariate country-level OLS with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N</w:t>
      </w:r>
      <w:r>
        <w:rPr>
          <w:w w:val="98.93931027116447"/>
          <w:rFonts w:ascii="CMMI10" w:hAnsi="CMMI10" w:eastAsia="CMMI10"/>
          <w:b w:val="0"/>
          <w:i/>
          <w:color w:val="000000"/>
          <w:sz w:val="29"/>
        </w:rPr>
        <w:t>&lt;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20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cannot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distinguish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between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competing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mechanisms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together.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This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standard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identification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problem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time-series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macroeconometrics,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panel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robustness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check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(Table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??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analytically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indispensable: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by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cross-country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variation,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panel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provides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identification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single-country series cannot.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descriptive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evidence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??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nonetheless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provides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defensible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causal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claim.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istan’s imports from all three Northeast Asian partners is consistently above 78%,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rose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sharply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2017–2018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coinciding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period.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descrip-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tive association, combined with the theoretical mechanism from GVC governance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theory (Gereffi et al. 2005, Humphrey &amp; Schmitz 2002), supports the conclusion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operative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channel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even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OLS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regression,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constrained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small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sample,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cannot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isolate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effect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economet-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rically.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implications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follow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therefore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grounded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theoretical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reasoning and descriptive evidence, not a spurious regression coefficient.</w:t>
      </w:r>
    </w:p>
    <w:p>
      <w:pPr>
        <w:autoSpaceDN w:val="0"/>
        <w:autoSpaceDE w:val="0"/>
        <w:widowControl/>
        <w:spacing w:line="288" w:lineRule="exact" w:before="630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65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32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32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policy implication is therefore reframed: the priority for Uzbekistan is not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simply to “attract more FDI” (which is both statistically and theoretically unsup-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ported as a direct mechanism), but to actively manage the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composition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of its trade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 investment relationships — specifically,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to maximise the intermediate goods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cultivating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supplier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relationships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Japanese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Korean manufacturing networks that generate backward linkage rather than mere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 growth.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9.3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The Flying Geese Mechanism: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Operating But Distorted</w:t>
      </w:r>
    </w:p>
    <w:p>
      <w:pPr>
        <w:autoSpaceDN w:val="0"/>
        <w:autoSpaceDE w:val="0"/>
        <w:widowControl/>
        <w:spacing w:line="424" w:lineRule="exact" w:before="184" w:after="0"/>
        <w:ind w:left="260" w:right="32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flying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mechanism,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formalised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Akamatsu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(1962)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updated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modern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analysis,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predicts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lead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progressively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vacate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labour-intensive production tasks, follower economies with abundant cheap labour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 improving institutions should attract the relocating capital.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evidence con-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firms that this mechanism is operating in Uzbekistan’s direction: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Chinese factory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relocation from coastal provinces, South Korean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China+1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strategies, and Japanese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diversification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post-COVID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directing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capital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Central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However, as noted in the development literature, global economic evolution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patterns often bypass landlocked interiors unless proactive state intervention alters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cost-benefit calculus.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distortion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merely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fundamental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divergence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type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 capital flowing relative to model predictions.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flying geese framework an-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ticipates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export-manufacturing-linked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Japanese/Korean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model)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seeking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wage arbitrage. Instead, Uzbekistan is disproportionately absorbing infrastructure-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linked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Chinese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capital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builds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roads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power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plants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rectly integrate domestic firms into manufacturing export networks, explaining 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high backward integration (capital imports) without commensurate forward inte-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gration (manufactured exports).</w:t>
      </w:r>
    </w:p>
    <w:p>
      <w:pPr>
        <w:autoSpaceDN w:val="0"/>
        <w:autoSpaceDE w:val="0"/>
        <w:widowControl/>
        <w:spacing w:line="424" w:lineRule="exact" w:before="0" w:after="0"/>
        <w:ind w:left="260" w:right="32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However,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divergence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represent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necessary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sequencing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adaptation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terminal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failure.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established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constraint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hierarchy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(Sec-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tion 8), landlockedness and energy reliability are the absolute binding constraints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competitiveness.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Chinese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infrastructure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therefore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serve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prerequisite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enabling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condition—building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physical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connectivity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power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grid stability required before Japanese and Korean electronics or automotive man-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ufacturers will commit the export-platform FDI necessary to complete the flying</w:t>
      </w:r>
    </w:p>
    <w:p>
      <w:pPr>
        <w:autoSpaceDN w:val="0"/>
        <w:autoSpaceDE w:val="0"/>
        <w:widowControl/>
        <w:spacing w:line="288" w:lineRule="exact" w:before="314" w:after="0"/>
        <w:ind w:left="0" w:right="4566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66</w:t>
      </w:r>
    </w:p>
    <w:p>
      <w:pPr>
        <w:sectPr>
          <w:pgSz w:w="11906" w:h="16838"/>
          <w:pgMar w:top="184" w:right="818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286" w:lineRule="exact" w:before="586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geese cycle.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flying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literature’s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relevant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recent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contribution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concept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 “GVC participation without upgrading” — the documented tendency of devel-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oping countries in the post-2000 era to integrate into GVCs (increasing backward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without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domestic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capability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accumulation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(technology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adoption,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product diversification, supplier development) that earlier theoretical models pre-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dicted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would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follow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(Milberg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&amp;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Winkler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2013).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Their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empirical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shows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that GVC participation is positively associated with export growth but only weakly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associated with productivity growth or ECI improvement — precisely the pattern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observed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suggests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flying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peculiar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systemic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feature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contemporary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GVC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landscape that requires active policy rather than passive openness.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9.4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The Vietnam Comparison:</w:t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What Uzbekistan Has and Has</w:t>
      </w:r>
    </w:p>
    <w:p>
      <w:pPr>
        <w:autoSpaceDN w:val="0"/>
        <w:autoSpaceDE w:val="0"/>
        <w:widowControl/>
        <w:spacing w:line="344" w:lineRule="exact" w:before="204" w:after="0"/>
        <w:ind w:left="1036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Not Replicated</w:t>
      </w:r>
    </w:p>
    <w:p>
      <w:pPr>
        <w:autoSpaceDN w:val="0"/>
        <w:autoSpaceDE w:val="0"/>
        <w:widowControl/>
        <w:spacing w:line="424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dissertation’s most detailed comparator, Vietnam, achieved its GVC integra-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breakthrough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geography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(Vietnam’s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coastal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access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advan-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tage,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constant),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combination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three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factors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operated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simultaneously: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(i)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credible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commitment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locked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WTO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accession and the US-Vietnam BTA; (ii) a specific set of anchor investors (Sam-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sung at Thai Nguyen, LG at Hai Phong, Intel at HCMC) whose scale of investment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created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entire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ecosystem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2–3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suppliers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requiring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domestic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sourcing;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(iii) a deliberate human capital development strategy calibrated to the specific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skills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demands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electronics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(STEM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education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expansion,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voca-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tional training in collaboration with Samsung and LG).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Of these three factors, Uzbekistan currently has partial versions of only the first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 none of the second.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Trade policy credibility is being built through the WTO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accession process and through the 2022 GSP+ application to the EU, but remains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incomplete relative to Vietnam’s locked-in commitments.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Anchor manufacturing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investors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absent: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Japanese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Korean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firm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committed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Samsung-in-Vietnam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scale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would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create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domestic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supplier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ecosystem.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Human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capital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improving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yet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calibrated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specific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demands of Northeast Asian manufacturing partners.</w:t>
      </w:r>
    </w:p>
    <w:p>
      <w:pPr>
        <w:autoSpaceDN w:val="0"/>
        <w:autoSpaceDE w:val="0"/>
        <w:widowControl/>
        <w:spacing w:line="288" w:lineRule="exact" w:before="614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67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implication is not that Uzbekistan cannot follow the Vietnamese path, but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 the sequencing matters.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Vietnam’s FDI surge was not a response to abstract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openness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triggered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Samsung’s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decision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2008,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which was itself triggered by Samsung’s specific business logic (diversifying Sam-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sung SDI battery supply chains away from Chinese single-sourcing).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Uzbekistan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needs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equivalent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anchor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decision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Northeast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trial giant to trigger the ecosystem effects that generalised investment promotion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cannot achieve.</w:t>
      </w:r>
    </w:p>
    <w:p>
      <w:pPr>
        <w:autoSpaceDN w:val="0"/>
        <w:tabs>
          <w:tab w:pos="1036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9.5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The Thailand Comparison: Sectoral Targeting over Spatial</w:t>
      </w:r>
    </w:p>
    <w:p>
      <w:pPr>
        <w:autoSpaceDN w:val="0"/>
        <w:autoSpaceDE w:val="0"/>
        <w:widowControl/>
        <w:spacing w:line="344" w:lineRule="exact" w:before="204" w:after="0"/>
        <w:ind w:left="1036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Concentration</w:t>
      </w:r>
    </w:p>
    <w:p>
      <w:pPr>
        <w:autoSpaceDN w:val="0"/>
        <w:autoSpaceDE w:val="0"/>
        <w:widowControl/>
        <w:spacing w:line="424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Thailand’s Eastern Seaboard model adds a dimension that the Vietnam comparison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obscures: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importance of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sectoral targeting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in SEZ strategy.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Thailand did not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simply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designate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offer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tax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holidays;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identified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specific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target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sector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(automotive), committed infrastructure investment calibrated to that sector (deep-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sea port for vehicle export, specialised steel strip for body panels, industrial water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paint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processes),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offered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sufficiently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differentiated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incentives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to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attract Tier 1 anchor investors (Toyota, Honda) whose presence then pulled Tier 2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 Tier 3 suppliers from Japan to Thailand.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 current SEZ landscape lacks this sectoral focus: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zones are desig-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nated across eight sectors (electronics, textiles, chemicals, metals, logistics, ICT,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food processing, construction materials) without sufficient infrastructure differen-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across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zones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make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zone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genuinely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world-class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specific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sector.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Navoiy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aviation-logistics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represents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partial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exception: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meaningfully differentiated and has attracted an anchor investor (Korean Air). 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prescription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Thailand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comparison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replicate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Navoiy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model’s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sectoral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focus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two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additional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zones,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targeting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automotive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electronics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sectors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where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Northeast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partners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deepest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interest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 Uzbekistan has the clearest labour cost advantage.</w:t>
      </w:r>
    </w:p>
    <w:p>
      <w:pPr>
        <w:autoSpaceDN w:val="0"/>
        <w:autoSpaceDE w:val="0"/>
        <w:widowControl/>
        <w:spacing w:line="288" w:lineRule="exact" w:before="2308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68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8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932"/>
        <w:gridCol w:w="4932"/>
      </w:tblGrid>
      <w:tr>
        <w:trPr>
          <w:trHeight w:hRule="exact" w:val="1018"/>
        </w:trPr>
        <w:tc>
          <w:tcPr>
            <w:tcW w:type="dxa" w:w="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4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9.6</w:t>
            </w:r>
          </w:p>
        </w:tc>
        <w:tc>
          <w:tcPr>
            <w:tcW w:type="dxa" w:w="890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10" w:after="0"/>
              <w:ind w:left="176" w:right="0" w:firstLine="0"/>
              <w:jc w:val="left"/>
            </w:pPr>
            <w:r>
              <w:rPr>
                <w:w w:val="101.26706291647518"/>
                <w:rFonts w:ascii="NimbusRomNo9L" w:hAnsi="NimbusRomNo9L" w:eastAsia="NimbusRomNo9L"/>
                <w:b/>
                <w:i w:val="0"/>
                <w:color w:val="000000"/>
                <w:sz w:val="34"/>
              </w:rPr>
              <w:t>WTO Accession as Institutional Lock-In: The Vietnam Par-</w:t>
            </w:r>
          </w:p>
        </w:tc>
      </w:tr>
    </w:tbl>
    <w:p>
      <w:pPr>
        <w:autoSpaceDN w:val="0"/>
        <w:autoSpaceDE w:val="0"/>
        <w:widowControl/>
        <w:spacing w:line="344" w:lineRule="exact" w:before="140" w:after="0"/>
        <w:ind w:left="1036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allel</w:t>
      </w:r>
    </w:p>
    <w:p>
      <w:pPr>
        <w:autoSpaceDN w:val="0"/>
        <w:autoSpaceDE w:val="0"/>
        <w:widowControl/>
        <w:spacing w:line="424" w:lineRule="exact" w:before="182" w:after="0"/>
        <w:ind w:left="260" w:right="248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comparative and structural analyses converge on a critical institutional vulner-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ability: the reversibility of decree-based reform. As identified in Section 8, the po-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litical economy of Uzbekistan’s liberalisation relies heavily on executive initiative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rather than deeply embedded institutional independence.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This creates a credibility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gap for Northeast Asian investors weighing long-term, capital-intensive manufac-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commitments.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resolved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identical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credibility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gap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through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domestic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institutional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maturation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alone,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external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lock-in.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2007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WTO accession provided an irreversible commitment mechanism that assured for-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eign investors that tariff reductions, intellectual property protections, and dispute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resolution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frameworks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would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survive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domestic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transitions.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istan,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WTO membership serves the exact same function.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It is not merely a trade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facilitation exercise, but the definitive signal that the 2017 liberalisation trajectory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cannot be unwound by future administrations.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This mechanism directly underpins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 Implication 5: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accelerating WTO accession is the most potent available in-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strument to signal the permanent transition from a closed, state-directed economy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 a rule-bound node in global production networks.</w:t>
      </w:r>
    </w:p>
    <w:p>
      <w:pPr>
        <w:autoSpaceDN w:val="0"/>
        <w:tabs>
          <w:tab w:pos="1036" w:val="left"/>
        </w:tabs>
        <w:autoSpaceDE w:val="0"/>
        <w:widowControl/>
        <w:spacing w:line="346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9.7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The Premature Deindustrialisation Counter-Thesis and Why</w:t>
      </w:r>
    </w:p>
    <w:p>
      <w:pPr>
        <w:autoSpaceDN w:val="0"/>
        <w:autoSpaceDE w:val="0"/>
        <w:widowControl/>
        <w:spacing w:line="346" w:lineRule="exact" w:before="202" w:after="0"/>
        <w:ind w:left="1036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It Does Not Foreclose the Uzbek Case</w:t>
      </w:r>
    </w:p>
    <w:p>
      <w:pPr>
        <w:autoSpaceDN w:val="0"/>
        <w:autoSpaceDE w:val="0"/>
        <w:widowControl/>
        <w:spacing w:line="424" w:lineRule="exact" w:before="182" w:after="0"/>
        <w:ind w:left="260" w:right="248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Rodrik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(2016)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argues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manufacturing-led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convergence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worked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for Korea, Taiwan, and Vietnam is now structurally narrowing for late developers.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Labour-saving automation is reducing the employment content of manufacturing,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the shift of GVC value toward pre- and post-production segments means that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assembly-stage entry yields diminishing domestic value-added.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Diao et al. (2019)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extend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critique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change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developing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countries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is moving labour from agriculture to services rather than manufacturing, failing to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replicate the productivity convergence the East Asian trajectory achieved.</w:t>
      </w:r>
    </w:p>
    <w:p>
      <w:pPr>
        <w:autoSpaceDN w:val="0"/>
        <w:autoSpaceDE w:val="0"/>
        <w:widowControl/>
        <w:spacing w:line="424" w:lineRule="exact" w:before="0" w:after="0"/>
        <w:ind w:left="260" w:right="248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This critique is taken seriously here but does not invalidate the Uzbekistan case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 the following reasons.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First, Uzbekistan is not competing primarily for the au-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tomatable,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low-skill,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high-volume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assembly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tasks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premature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deindustri-</w:t>
      </w:r>
    </w:p>
    <w:p>
      <w:pPr>
        <w:autoSpaceDN w:val="0"/>
        <w:autoSpaceDE w:val="0"/>
        <w:widowControl/>
        <w:spacing w:line="288" w:lineRule="exact" w:before="614" w:after="0"/>
        <w:ind w:left="0" w:right="0" w:firstLine="0"/>
        <w:jc w:val="center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69</w:t>
      </w:r>
    </w:p>
    <w:p>
      <w:pPr>
        <w:sectPr>
          <w:pgSz w:w="11906" w:h="16838"/>
          <w:pgMar w:top="184" w:right="602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102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102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alisation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literature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identifies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vulnerable.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demographic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profile,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STEM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education base, and EAEU market access position it to compete for medium-skill,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relationship-intensive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(automotive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components,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pharmaceuticals,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precision instruments) where automation pressures are lower and relationship gov-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ernance — the relational GVC tier — remains labour-intensive at the engineer 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technician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level.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Second,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premature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deindustrialisation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acute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for large-population, low-income economies facing mass employment absorption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demands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(South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sub-Saharan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African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LDCs).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middle-income,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urbanised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profile,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critical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constraint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institutional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logistical quality, not the structural foreclosure of the manufacturing pathway.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Third,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market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dimension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absent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Rodrik’s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aggregate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global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argument: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Uzbekistan’s proximity to a 180 million-person EAEU market, where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 preferences substitute partially for the comparative advantage that coastal lo-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cation provides in global maritime trade, creates a viable mid-tier manufacturing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niche that the premature deindustrialisation thesis does not capture.</w:t>
      </w:r>
    </w:p>
    <w:p>
      <w:pPr>
        <w:autoSpaceDN w:val="0"/>
        <w:autoSpaceDE w:val="0"/>
        <w:widowControl/>
        <w:spacing w:line="424" w:lineRule="exact" w:before="0" w:after="0"/>
        <w:ind w:left="260" w:right="0" w:firstLine="422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 short, the flying geese mechanism is distorted but not foreclosed for Uzbek-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istan.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critical question is whether the current window — created by China+1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supply chain diversification and post-COVID resilience reconfiguration — is seized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 anchor investor targeting and institutional credibility, or allowed to close un-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der the weight of logistics bottlenecks and governance gaps.</w:t>
      </w:r>
    </w:p>
    <w:p>
      <w:pPr>
        <w:autoSpaceDN w:val="0"/>
        <w:tabs>
          <w:tab w:pos="1036" w:val="left"/>
        </w:tabs>
        <w:autoSpaceDE w:val="0"/>
        <w:widowControl/>
        <w:spacing w:line="346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9.8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The Limits of This Analysis</w:t>
      </w:r>
    </w:p>
    <w:p>
      <w:pPr>
        <w:autoSpaceDN w:val="0"/>
        <w:tabs>
          <w:tab w:pos="2078" w:val="left"/>
        </w:tabs>
        <w:autoSpaceDE w:val="0"/>
        <w:widowControl/>
        <w:spacing w:line="424" w:lineRule="exact" w:before="182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Academic rigour requires explicit acknowledgement of what this dissertation can-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establish.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OLS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regressions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establish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associations,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causal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effects.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small sample (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N</w:t>
      </w:r>
      <w:r>
        <w:rPr>
          <w:w w:val="98.93931027116447"/>
          <w:rFonts w:ascii="CMR10" w:hAnsi="CMR10" w:eastAsia="CMR10"/>
          <w:b w:val="0"/>
          <w:i w:val="0"/>
          <w:color w:val="000000"/>
          <w:sz w:val="29"/>
        </w:rPr>
        <w:t xml:space="preserve"> =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14) means that coefficients are imprecisely estimated 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F-statistics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limited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power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against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plausible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alternatives.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comparative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benchmarking normalises for reform-stage but not for initial conditions (popula-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tion,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coastline,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colonial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history,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power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structure).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Furthermore,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relying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 aggregate ECI data masks intra-sectoral upgrading dynamics that might be oc-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curring at the firm level.</w:t>
      </w:r>
    </w:p>
    <w:p>
      <w:pPr>
        <w:autoSpaceDN w:val="0"/>
        <w:autoSpaceDE w:val="0"/>
        <w:widowControl/>
        <w:spacing w:line="424" w:lineRule="exact" w:before="0" w:after="0"/>
        <w:ind w:left="260" w:right="102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fundamentally,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describes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conditions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tion at a point in time (2017–2023) that is itself a moment of global supply chain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restructuring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unusual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intensity: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COVID-19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disruptions,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US-China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sions,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global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reconfigurations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reshaping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global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production</w:t>
      </w:r>
    </w:p>
    <w:p>
      <w:pPr>
        <w:autoSpaceDN w:val="0"/>
        <w:autoSpaceDE w:val="0"/>
        <w:widowControl/>
        <w:spacing w:line="288" w:lineRule="exact" w:before="314" w:after="0"/>
        <w:ind w:left="0" w:right="4636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70</w:t>
      </w:r>
    </w:p>
    <w:p>
      <w:pPr>
        <w:sectPr>
          <w:pgSz w:w="11906" w:h="16838"/>
          <w:pgMar w:top="184" w:right="748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networks in ways that may create conditions for Central Asian integration that did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 exist a decade ago.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opportunity window identified in this dissertation may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be more time-sensitive than the long-run structural analysis suggests.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Future research priorities include: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panel regression analysis using a compara-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tor group of Central Asian and landlocked reforming economies; firm-level survey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data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technology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transfer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SEZs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directly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tive/relational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governance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distinction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(Gereffi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2005);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forward-looking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input-output analysis using OECD TiVA data to quantify the domestic value-added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content of Uzbekistan’s manufacturing output.</w:t>
      </w:r>
    </w:p>
    <w:p>
      <w:pPr>
        <w:autoSpaceDN w:val="0"/>
        <w:tabs>
          <w:tab w:pos="1088" w:val="left"/>
        </w:tabs>
        <w:autoSpaceDE w:val="0"/>
        <w:widowControl/>
        <w:spacing w:line="412" w:lineRule="exact" w:before="688" w:after="0"/>
        <w:ind w:left="26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41"/>
        </w:rPr>
        <w:t xml:space="preserve">10 </w:t>
      </w:r>
      <w:r>
        <w:tab/>
      </w:r>
      <w:r>
        <w:rPr>
          <w:rFonts w:ascii="NimbusRomNo9L" w:hAnsi="NimbusRomNo9L" w:eastAsia="NimbusRomNo9L"/>
          <w:b/>
          <w:i w:val="0"/>
          <w:color w:val="000000"/>
          <w:sz w:val="41"/>
        </w:rPr>
        <w:t>Conclusion and Policy Implications</w:t>
      </w:r>
    </w:p>
    <w:p>
      <w:pPr>
        <w:autoSpaceDN w:val="0"/>
        <w:tabs>
          <w:tab w:pos="1208" w:val="left"/>
        </w:tabs>
        <w:autoSpaceDE w:val="0"/>
        <w:widowControl/>
        <w:spacing w:line="344" w:lineRule="exact" w:before="528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10.1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Policy Implications</w:t>
      </w:r>
    </w:p>
    <w:p>
      <w:pPr>
        <w:autoSpaceDN w:val="0"/>
        <w:autoSpaceDE w:val="0"/>
        <w:widowControl/>
        <w:spacing w:line="424" w:lineRule="exact" w:before="182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analysis generates five actionable policy implications for Uzbekistan’s indus-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trial strategy.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First,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use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WTO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accession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process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an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institutional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lock-in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mecha-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nism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(Ministry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Investments,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Industry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/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Presidential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Adminis-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tration).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Uzbekistan’s WTO observer status and ongoing accession negotiations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provide the credibility-commitment mechanism that Doi Moi lacked in Vietnam’s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early reform period but that Vietnam’s WTO accession (2007) subsequently sup-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plied.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Accelerating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membership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would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lock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reforms,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prove investor confidence, and open access to GSP+ preferences from the EU that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 conditioned on multilateral rule compliance.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Second,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treat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logistics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as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binding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constraint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(Ministry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Transport 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/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Railways).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0.3-point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LPI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gap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merely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convenience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determines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whether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time-sensitive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exports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(electronics,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automotive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components)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commercially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Uzbekistan.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Priority should be given to the China-Kyrgyzstan-Uzbekistan railway (which will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times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Chinese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markets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substantially),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Middle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Corridor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route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to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European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markets,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domestic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cold-chain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warehousing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infrastructure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for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agro-processing exports where Uzbekistan has existing RCA.</w:t>
      </w:r>
    </w:p>
    <w:p>
      <w:pPr>
        <w:autoSpaceDN w:val="0"/>
        <w:autoSpaceDE w:val="0"/>
        <w:widowControl/>
        <w:spacing w:line="424" w:lineRule="exact" w:before="0" w:after="0"/>
        <w:ind w:left="260" w:right="0" w:firstLine="422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Third, diversify FDI origin deliberately (UzInvest / MIIT).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China’s domi-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nance of FDI inflows (28%) relative to Japan and Korea’s near-absence from the</w:t>
      </w:r>
    </w:p>
    <w:p>
      <w:pPr>
        <w:autoSpaceDN w:val="0"/>
        <w:autoSpaceDE w:val="0"/>
        <w:widowControl/>
        <w:spacing w:line="288" w:lineRule="exact" w:before="590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71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top investor list is the central structural problem.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government should design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targeted incentive packages for Japanese and Korean export-oriented manufactur-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ers: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accelerated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allocation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special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zones,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dedicated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utility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frastructure, streamlined customs procedures for intermediate goods imports, 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bilateral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treaty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improvements.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Hyundai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automotive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relationship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Samsung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discussions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represent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existing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entry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points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that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should be scaled.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Fourth, build backward linkages from existing anchor investors (Ministry 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of Economy and Finance).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GM Uzbekistan-to-Hyundai transition, the Peng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Cheng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Industrial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Park,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existing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textile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represent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anchors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around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which domestic supplier development programmes can be constructed. Local con-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tent requirements should be gradually phased in (not imposed immediately, which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would deter investors) to encourage knowledge transfer to domestic firms.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Repli-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Navoiy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sectoral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focus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model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two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additional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zones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targeting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electronics and automotive components is the highest-return SEZ policy interven-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tion, as established in the effectiveness scorecard.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Fifth, differentiate between infrastructure FDI and manufacturing FDI in 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tracking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(State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Statistics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Agency).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current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statistics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aggregate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Chinese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infrastructure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loans,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Russian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energy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investments,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Korean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turing ventures into a single headline figure.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Disaggregated tracking by FDI type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(extractive, infrastructure, manufacturing for domestic market, manufacturing for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would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enable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targeted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responses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more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accurate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assess-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ment of GVC embedding progress.</w:t>
      </w:r>
    </w:p>
    <w:p>
      <w:pPr>
        <w:autoSpaceDN w:val="0"/>
        <w:tabs>
          <w:tab w:pos="1208" w:val="left"/>
        </w:tabs>
        <w:autoSpaceDE w:val="0"/>
        <w:widowControl/>
        <w:spacing w:line="344" w:lineRule="exact" w:before="634" w:after="0"/>
        <w:ind w:left="260" w:right="0" w:firstLine="0"/>
        <w:jc w:val="left"/>
      </w:pP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 xml:space="preserve">10.2 </w:t>
      </w:r>
      <w:r>
        <w:tab/>
      </w:r>
      <w:r>
        <w:rPr>
          <w:w w:val="101.26706291647518"/>
          <w:rFonts w:ascii="NimbusRomNo9L" w:hAnsi="NimbusRomNo9L" w:eastAsia="NimbusRomNo9L"/>
          <w:b/>
          <w:i w:val="0"/>
          <w:color w:val="000000"/>
          <w:sz w:val="34"/>
        </w:rPr>
        <w:t>Conclusion</w:t>
      </w:r>
    </w:p>
    <w:p>
      <w:pPr>
        <w:autoSpaceDN w:val="0"/>
        <w:autoSpaceDE w:val="0"/>
        <w:widowControl/>
        <w:spacing w:line="424" w:lineRule="exact" w:before="182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evidence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shows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Northeast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engagement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driven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growth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backward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yet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driven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export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sophistication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upgrading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forward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GVC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integration.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mech-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anism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identified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volume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suggests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pathway exists but remains blocked by logistics and FDI composition constraints.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This paper has examined this relationship using a combination of structural break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testing,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revealed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advantage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analysis,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bilateral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decomposition,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regression analysis, and scenario forecasting.</w:t>
      </w:r>
    </w:p>
    <w:p>
      <w:pPr>
        <w:autoSpaceDN w:val="0"/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central findings are as follows.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 2017 Mirziyoyev reforms constituted</w:t>
      </w:r>
    </w:p>
    <w:p>
      <w:pPr>
        <w:autoSpaceDN w:val="0"/>
        <w:autoSpaceDE w:val="0"/>
        <w:widowControl/>
        <w:spacing w:line="288" w:lineRule="exact" w:before="314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72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24" w:lineRule="exact" w:before="44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statistically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significant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structural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break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trajec-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(Chow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F=6.937,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p=0.013),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shifting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annual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growth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from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approximately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0.4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1.2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percentage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points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year.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Northeast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tegration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has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accelerated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sharply,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China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accounting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85.5%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aggregate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post-reform trade volume growth (a 280% increase between 2016 and 2024).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The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intermediate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goods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composition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imports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from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three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partners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espe-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cially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Japan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(near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100%)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Korea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(88–93%)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—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consistent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GVC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embedding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potential,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Uzbekistan’s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RCA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profile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remains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dominated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mary commodities, and manufacturing export sophistication (ECI, manufacturing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RCA) has improved only modestly.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critical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gap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relative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Vietnamese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comparator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intensity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type: Uzbekistan attracts 2.4% of GDP in FDI versus Vietnam’s 9.8% at compara-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ble reform stage, and the dominant Chinese FDI is primarily infrastructure-linked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rather than export-oriented manufacturing.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Japan and South Korea — the partners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whose FDI type most closely resembles the export-platform investment that drove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Vietnamese industrialisation — remain marginal FDI contributors despite growing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trade relationships.</w:t>
      </w:r>
    </w:p>
    <w:p>
      <w:pPr>
        <w:autoSpaceDN w:val="0"/>
        <w:autoSpaceDE w:val="0"/>
        <w:widowControl/>
        <w:spacing w:line="424" w:lineRule="exact" w:before="0" w:after="0"/>
        <w:ind w:left="260" w:right="24" w:firstLine="422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Scenario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projects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reaching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24–29%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GDP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by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2030 depending on reform intensity.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Achieving the upper range requires qualita-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tive shifts in FDI composition, logistics performance improvement, and domestic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supply-chain development that go beyond the continuity of current trends.</w:t>
      </w:r>
    </w:p>
    <w:p>
      <w:pPr>
        <w:autoSpaceDN w:val="0"/>
        <w:tabs>
          <w:tab w:pos="682" w:val="left"/>
          <w:tab w:pos="1862" w:val="left"/>
        </w:tabs>
        <w:autoSpaceDE w:val="0"/>
        <w:widowControl/>
        <w:spacing w:line="424" w:lineRule="exact" w:before="0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Uzbekistan is on an industrialisation trajectory that the 2017 reforms genuinely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accelerated.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trajectory,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without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deliberate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to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attract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retain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Northeast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manufacturing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Japanese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Korean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type,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risks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verging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resource-processing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rather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export-sophistication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path that would generate sustained income convergence.</w:t>
      </w:r>
    </w:p>
    <w:p>
      <w:pPr>
        <w:autoSpaceDN w:val="0"/>
        <w:autoSpaceDE w:val="0"/>
        <w:widowControl/>
        <w:spacing w:line="288" w:lineRule="exact" w:before="4016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73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26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820"/>
        <w:gridCol w:w="4820"/>
      </w:tblGrid>
      <w:tr>
        <w:trPr>
          <w:trHeight w:hRule="exact" w:val="1086"/>
        </w:trPr>
        <w:tc>
          <w:tcPr>
            <w:tcW w:type="dxa" w:w="5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608" w:after="0"/>
              <w:ind w:left="4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>A</w:t>
            </w:r>
          </w:p>
        </w:tc>
        <w:tc>
          <w:tcPr>
            <w:tcW w:type="dxa" w:w="88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608" w:after="0"/>
              <w:ind w:left="212" w:right="0" w:firstLine="0"/>
              <w:jc w:val="left"/>
            </w:pPr>
            <w:r>
              <w:rPr>
                <w:rFonts w:ascii="NimbusRomNo9L" w:hAnsi="NimbusRomNo9L" w:eastAsia="NimbusRomNo9L"/>
                <w:b/>
                <w:i w:val="0"/>
                <w:color w:val="000000"/>
                <w:sz w:val="41"/>
              </w:rPr>
              <w:t>Additional Figures</w:t>
            </w:r>
          </w:p>
        </w:tc>
      </w:tr>
    </w:tbl>
    <w:p>
      <w:pPr>
        <w:autoSpaceDN w:val="0"/>
        <w:autoSpaceDE w:val="0"/>
        <w:widowControl/>
        <w:spacing w:line="240" w:lineRule="auto" w:before="642" w:after="0"/>
        <w:ind w:left="72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346700" cy="32080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46700" cy="3208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8" w:lineRule="exact" w:before="16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 20: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Key Indicator Trends: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FDI Inflows, GDP per Capita, and Manufactur-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ing VA, Uzbekistan.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World Bank WDI.</w:t>
      </w:r>
    </w:p>
    <w:p>
      <w:pPr>
        <w:autoSpaceDN w:val="0"/>
        <w:autoSpaceDE w:val="0"/>
        <w:widowControl/>
        <w:spacing w:line="240" w:lineRule="auto" w:before="650" w:after="0"/>
        <w:ind w:left="72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346700" cy="210057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46700" cy="2100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8" w:lineRule="exact" w:before="168" w:after="0"/>
        <w:ind w:left="260" w:right="24" w:firstLine="0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 21: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 Scenario Dashboard, 2010–2030: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Manufacturing VA, FDI,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Complexity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Index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under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three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policy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scenarios.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World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Bank WDI, OEC, and author calculations.</w:t>
      </w:r>
    </w:p>
    <w:p>
      <w:pPr>
        <w:autoSpaceDN w:val="0"/>
        <w:autoSpaceDE w:val="0"/>
        <w:widowControl/>
        <w:spacing w:line="288" w:lineRule="exact" w:before="2676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74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240" w:lineRule="auto" w:before="524" w:after="0"/>
        <w:ind w:left="72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346700" cy="320802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46700" cy="3208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6" w:lineRule="exact" w:before="21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Figure 22: Post-Reform Trade Growth Decomposition by Northeast Asian Partner,</w:t>
      </w:r>
    </w:p>
    <w:p>
      <w:pPr>
        <w:autoSpaceDN w:val="0"/>
        <w:autoSpaceDE w:val="0"/>
        <w:widowControl/>
        <w:spacing w:line="288" w:lineRule="exact" w:before="52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2016–2023.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Source: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OEC/BACI public API.</w:t>
      </w:r>
    </w:p>
    <w:p>
      <w:pPr>
        <w:autoSpaceDN w:val="0"/>
        <w:autoSpaceDE w:val="0"/>
        <w:widowControl/>
        <w:spacing w:line="288" w:lineRule="exact" w:before="9054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75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autoSpaceDE w:val="0"/>
        <w:widowControl/>
        <w:spacing w:line="414" w:lineRule="exact" w:before="642" w:after="0"/>
        <w:ind w:left="260" w:right="0" w:firstLine="0"/>
        <w:jc w:val="left"/>
      </w:pPr>
      <w:r>
        <w:rPr>
          <w:rFonts w:ascii="NimbusRomNo9L" w:hAnsi="NimbusRomNo9L" w:eastAsia="NimbusRomNo9L"/>
          <w:b/>
          <w:i w:val="0"/>
          <w:color w:val="000000"/>
          <w:sz w:val="41"/>
        </w:rPr>
        <w:t>References</w:t>
      </w:r>
    </w:p>
    <w:p>
      <w:pPr>
        <w:autoSpaceDN w:val="0"/>
        <w:tabs>
          <w:tab w:pos="548" w:val="left"/>
        </w:tabs>
        <w:autoSpaceDE w:val="0"/>
        <w:widowControl/>
        <w:spacing w:line="422" w:lineRule="exact" w:before="272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Akamatsu,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(1962),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‘A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historical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pattern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growth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developing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countries’,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Journal of Developing Economies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 1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(1), 3–25.</w:t>
      </w:r>
    </w:p>
    <w:p>
      <w:pPr>
        <w:autoSpaceDN w:val="0"/>
        <w:autoSpaceDE w:val="0"/>
        <w:widowControl/>
        <w:spacing w:line="422" w:lineRule="exact" w:before="242" w:after="0"/>
        <w:ind w:left="144" w:right="0" w:firstLine="0"/>
        <w:jc w:val="center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Akramov,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&amp;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Tilekeyev,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(2024),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Agricultural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chains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central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asia,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IFPRI Discussion Paper 02238, International Food Policy Research Institute.</w:t>
      </w:r>
    </w:p>
    <w:p>
      <w:pPr>
        <w:autoSpaceDN w:val="0"/>
        <w:tabs>
          <w:tab w:pos="548" w:val="left"/>
        </w:tabs>
        <w:autoSpaceDE w:val="0"/>
        <w:widowControl/>
        <w:spacing w:line="422" w:lineRule="exact" w:before="242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Amsden, A. H. (1989),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Asia’s Next Giant: South Korea and Late Industrialization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,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Oxford University Press, New York.</w:t>
      </w:r>
    </w:p>
    <w:p>
      <w:pPr>
        <w:autoSpaceDN w:val="0"/>
        <w:autoSpaceDE w:val="0"/>
        <w:widowControl/>
        <w:spacing w:line="424" w:lineRule="exact" w:before="240" w:after="0"/>
        <w:ind w:left="548" w:right="24" w:hanging="288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Andreoni,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&amp;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Chang,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H.-J.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(2023),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‘The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political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industrial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pol-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icy: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Structural interdependencies, policy alignment and conflict management’, 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Research Policy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 52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(2), 104863.</w:t>
      </w:r>
    </w:p>
    <w:p>
      <w:pPr>
        <w:autoSpaceDN w:val="0"/>
        <w:autoSpaceDE w:val="0"/>
        <w:widowControl/>
        <w:spacing w:line="424" w:lineRule="exact" w:before="238" w:after="0"/>
        <w:ind w:left="548" w:right="24" w:hanging="288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Arvis, J.-F., Raballand, G. &amp; Marteau, J.-F. (2016), ‘The cost of being landlocked: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Logistics costs and supply chain reliability’,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World Bank Policy Research Work-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ing Paper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(4258).</w:t>
      </w:r>
    </w:p>
    <w:p>
      <w:pPr>
        <w:autoSpaceDN w:val="0"/>
        <w:tabs>
          <w:tab w:pos="548" w:val="left"/>
        </w:tabs>
        <w:autoSpaceDE w:val="0"/>
        <w:widowControl/>
        <w:spacing w:line="424" w:lineRule="exact" w:before="23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Balassa,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B. (1965),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‘Trade liberalisation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and “revealed” comparative advantage’, </w:t>
      </w:r>
      <w:r>
        <w:tab/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The manchester school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 33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(2), 99–123.</w:t>
      </w:r>
    </w:p>
    <w:p>
      <w:pPr>
        <w:autoSpaceDN w:val="0"/>
        <w:tabs>
          <w:tab w:pos="548" w:val="left"/>
        </w:tabs>
        <w:autoSpaceDE w:val="0"/>
        <w:widowControl/>
        <w:spacing w:line="424" w:lineRule="exact" w:before="23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Baldwin,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(2016),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Great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Convergence: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Information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Technology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the </w:t>
      </w:r>
      <w:r>
        <w:tab/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New Globalization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, Harvard University Press, Cambridge, MA.</w:t>
      </w:r>
    </w:p>
    <w:p>
      <w:pPr>
        <w:autoSpaceDN w:val="0"/>
        <w:autoSpaceDE w:val="0"/>
        <w:widowControl/>
        <w:spacing w:line="292" w:lineRule="exact" w:before="370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Bhaskar, R. (1975),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A Realist Theory of Science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, Leeds Books, Leeds.</w:t>
      </w:r>
    </w:p>
    <w:p>
      <w:pPr>
        <w:autoSpaceDN w:val="0"/>
        <w:tabs>
          <w:tab w:pos="548" w:val="left"/>
        </w:tabs>
        <w:autoSpaceDE w:val="0"/>
        <w:widowControl/>
        <w:spacing w:line="424" w:lineRule="exact" w:before="23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Carr`ere, C. &amp; Schiff, M. (2004), ‘On the geography of trade: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Distance is alive and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well’,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Revue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´economique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 55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(6), 1249–1274.</w:t>
      </w:r>
    </w:p>
    <w:p>
      <w:pPr>
        <w:autoSpaceDN w:val="0"/>
        <w:tabs>
          <w:tab w:pos="548" w:val="left"/>
        </w:tabs>
        <w:autoSpaceDE w:val="0"/>
        <w:widowControl/>
        <w:spacing w:line="424" w:lineRule="exact" w:before="23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Chang, H.-J. (2002),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Kicking away the ladder: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development strategy in historical </w:t>
      </w:r>
      <w:r>
        <w:tab/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perspective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, Anthem Press.</w:t>
      </w:r>
    </w:p>
    <w:p>
      <w:pPr>
        <w:autoSpaceDN w:val="0"/>
        <w:tabs>
          <w:tab w:pos="548" w:val="left"/>
        </w:tabs>
        <w:autoSpaceDE w:val="0"/>
        <w:widowControl/>
        <w:spacing w:line="424" w:lineRule="exact" w:before="23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Danermark, B., Ekstr¨om, M. &amp; Jakobsen, L. (2019),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Explaining Society: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Critical </w:t>
      </w:r>
      <w:r>
        <w:tab/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Realism in the Social Sciences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, 2nd edn, Routledge, London.</w:t>
      </w:r>
    </w:p>
    <w:p>
      <w:pPr>
        <w:autoSpaceDN w:val="0"/>
        <w:autoSpaceDE w:val="0"/>
        <w:widowControl/>
        <w:spacing w:line="424" w:lineRule="exact" w:before="238" w:after="0"/>
        <w:ind w:left="548" w:right="24" w:hanging="288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Diao, X., McMillan, M. &amp; Rodrik, D. (2019), ‘The recent growth boom in devel-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oping economies: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 structural-change perspective’,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The Palgrave Handbook of 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Development Economics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 pp. 281–334.</w:t>
      </w:r>
    </w:p>
    <w:p>
      <w:pPr>
        <w:autoSpaceDN w:val="0"/>
        <w:autoSpaceDE w:val="0"/>
        <w:widowControl/>
        <w:spacing w:line="288" w:lineRule="exact" w:before="510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76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tabs>
          <w:tab w:pos="548" w:val="left"/>
        </w:tabs>
        <w:autoSpaceDE w:val="0"/>
        <w:widowControl/>
        <w:spacing w:line="424" w:lineRule="exact" w:before="44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Dunning, J. H. (1981),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International Production and the Multinational Enterprise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,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Allen &amp; Unwin, London.</w:t>
      </w:r>
    </w:p>
    <w:p>
      <w:pPr>
        <w:autoSpaceDN w:val="0"/>
        <w:tabs>
          <w:tab w:pos="548" w:val="left"/>
        </w:tabs>
        <w:autoSpaceDE w:val="0"/>
        <w:widowControl/>
        <w:spacing w:line="424" w:lineRule="exact" w:before="23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Evans,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(1995),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Embedded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Autonomy: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States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Industrial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Transformation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,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Princeton University Press, Princeton.</w:t>
      </w:r>
    </w:p>
    <w:p>
      <w:pPr>
        <w:autoSpaceDN w:val="0"/>
        <w:tabs>
          <w:tab w:pos="548" w:val="left"/>
        </w:tabs>
        <w:autoSpaceDE w:val="0"/>
        <w:widowControl/>
        <w:spacing w:line="424" w:lineRule="exact" w:before="23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Farole, T. (2011),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Special economic zones in Africa: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comparing performance and </w:t>
      </w:r>
      <w:r>
        <w:tab/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learning from global experience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, World Bank Publications.</w:t>
      </w:r>
    </w:p>
    <w:p>
      <w:pPr>
        <w:autoSpaceDN w:val="0"/>
        <w:autoSpaceDE w:val="0"/>
        <w:widowControl/>
        <w:spacing w:line="424" w:lineRule="exact" w:before="238" w:after="0"/>
        <w:ind w:left="548" w:right="24" w:hanging="288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Gereffi, G. (1994), The organization of buyer-driven global commodity chains,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in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Gereffi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&amp;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Korzeniewicz,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eds,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‘Commodity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Chains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Global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Capital-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ism’, Praeger, Westport, CT, pp. 95–122.</w:t>
      </w:r>
    </w:p>
    <w:p>
      <w:pPr>
        <w:autoSpaceDN w:val="0"/>
        <w:tabs>
          <w:tab w:pos="548" w:val="left"/>
        </w:tabs>
        <w:autoSpaceDE w:val="0"/>
        <w:widowControl/>
        <w:spacing w:line="422" w:lineRule="exact" w:before="242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Gereffi, G., Humphrey, J. &amp; Sturgeon, T. (2005), ‘The governance of global value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chains’,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Review of international political economy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 12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(1), 78–104.</w:t>
      </w:r>
    </w:p>
    <w:p>
      <w:pPr>
        <w:autoSpaceDN w:val="0"/>
        <w:autoSpaceDE w:val="0"/>
        <w:widowControl/>
        <w:spacing w:line="424" w:lineRule="exact" w:before="240" w:after="0"/>
        <w:ind w:left="548" w:right="24" w:hanging="288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Hidalgo,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C. A. &amp; Hausmann,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R. (2009),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‘The building blocks of economic com-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plexity’,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Proceedings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national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academy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sciences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106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(26),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10570–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10575.</w:t>
      </w:r>
    </w:p>
    <w:p>
      <w:pPr>
        <w:autoSpaceDN w:val="0"/>
        <w:autoSpaceDE w:val="0"/>
        <w:widowControl/>
        <w:spacing w:line="424" w:lineRule="exact" w:before="238" w:after="0"/>
        <w:ind w:left="144" w:right="0" w:firstLine="0"/>
        <w:jc w:val="center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Humphrey,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&amp;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Schmitz,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H.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(2002),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‘How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does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insertion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global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value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chains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affect upgrading in industrial clusters?’,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Regional Studies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 36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(9), 1017–1027.</w:t>
      </w:r>
    </w:p>
    <w:p>
      <w:pPr>
        <w:autoSpaceDN w:val="0"/>
        <w:tabs>
          <w:tab w:pos="548" w:val="left"/>
        </w:tabs>
        <w:autoSpaceDE w:val="0"/>
        <w:widowControl/>
        <w:spacing w:line="424" w:lineRule="exact" w:before="23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Kaplinsky, R. &amp; Morris, M. (2001),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A Handbook for Value Chain Research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, IDRC,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Ottawa.</w:t>
      </w:r>
    </w:p>
    <w:p>
      <w:pPr>
        <w:autoSpaceDN w:val="0"/>
        <w:tabs>
          <w:tab w:pos="548" w:val="left"/>
        </w:tabs>
        <w:autoSpaceDE w:val="0"/>
        <w:widowControl/>
        <w:spacing w:line="424" w:lineRule="exact" w:before="238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Lim˜ao,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&amp;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Venables,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(2001),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‘Infrastructure,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geographical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disadvantage,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transport costs, and trade’,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The World Bank Economic Review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 15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(3), 451–479.</w:t>
      </w:r>
    </w:p>
    <w:p>
      <w:pPr>
        <w:autoSpaceDN w:val="0"/>
        <w:autoSpaceDE w:val="0"/>
        <w:widowControl/>
        <w:spacing w:line="424" w:lineRule="exact" w:before="238" w:after="0"/>
        <w:ind w:left="548" w:right="24" w:hanging="288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MacKinnon, J. G. &amp; White, H. (1985), ‘Asymptotic covariance matrices for max-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imum likelihood and quasi-maximum likelihood estimators’,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Journal of econo-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metrics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 29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(3), 305–325.</w:t>
      </w:r>
    </w:p>
    <w:p>
      <w:pPr>
        <w:autoSpaceDN w:val="0"/>
        <w:autoSpaceDE w:val="0"/>
        <w:widowControl/>
        <w:spacing w:line="422" w:lineRule="exact" w:before="240" w:after="0"/>
        <w:ind w:left="548" w:right="24" w:hanging="288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McMillan, M., Rodrik, D. &amp; Sep´ulveda, C. (2017), ‘Structural change, fundamen-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tals,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growth: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framework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case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studies’.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NBER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Working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Paper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No.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23378.</w:t>
      </w:r>
    </w:p>
    <w:p>
      <w:pPr>
        <w:autoSpaceDN w:val="0"/>
        <w:tabs>
          <w:tab w:pos="548" w:val="left"/>
        </w:tabs>
        <w:autoSpaceDE w:val="0"/>
        <w:widowControl/>
        <w:spacing w:line="422" w:lineRule="exact" w:before="242" w:after="0"/>
        <w:ind w:left="260" w:right="0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Milberg,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W. &amp; Winkler,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D. (2013),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Outsourcing economics: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global value chains </w:t>
      </w:r>
      <w:r>
        <w:tab/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in capitalist development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, Cambridge University Press.</w:t>
      </w:r>
    </w:p>
    <w:p>
      <w:pPr>
        <w:autoSpaceDN w:val="0"/>
        <w:autoSpaceDE w:val="0"/>
        <w:widowControl/>
        <w:spacing w:line="288" w:lineRule="exact" w:before="540" w:after="0"/>
        <w:ind w:left="0" w:right="4558" w:firstLine="0"/>
        <w:jc w:val="righ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77</w:t>
      </w:r>
    </w:p>
    <w:p>
      <w:pPr>
        <w:sectPr>
          <w:pgSz w:w="11906" w:h="16838"/>
          <w:pgMar w:top="184" w:right="826" w:bottom="2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86" w:lineRule="exact" w:before="0" w:after="0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0" w:right="204" w:firstLine="0"/>
        <w:jc w:val="righ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NE Asian GVC Integration and Uzbekistan Industrialisation</w:t>
      </w:r>
    </w:p>
    <w:p>
      <w:pPr>
        <w:autoSpaceDN w:val="0"/>
        <w:tabs>
          <w:tab w:pos="548" w:val="left"/>
        </w:tabs>
        <w:autoSpaceDE w:val="0"/>
        <w:widowControl/>
        <w:spacing w:line="424" w:lineRule="exact" w:before="448" w:after="0"/>
        <w:ind w:left="260" w:right="144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Pomfret,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(2019),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Central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Asian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Economies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in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Twenty-First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Century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,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Princeton University Press, Princeton.</w:t>
      </w:r>
    </w:p>
    <w:p>
      <w:pPr>
        <w:autoSpaceDN w:val="0"/>
        <w:autoSpaceDE w:val="0"/>
        <w:widowControl/>
        <w:spacing w:line="422" w:lineRule="exact" w:before="240" w:after="0"/>
        <w:ind w:left="548" w:right="204" w:hanging="288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Rakhmatullayev,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S.,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Yusupov,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N.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&amp;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Tashkentov,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(2023),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‘Institutional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con-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straints on fdi in uzbekistan’,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Eurasian Geography and Economics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 64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(4), 412–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436.</w:t>
      </w:r>
    </w:p>
    <w:p>
      <w:pPr>
        <w:autoSpaceDN w:val="0"/>
        <w:tabs>
          <w:tab w:pos="548" w:val="left"/>
        </w:tabs>
        <w:autoSpaceDE w:val="0"/>
        <w:widowControl/>
        <w:spacing w:line="422" w:lineRule="exact" w:before="242" w:after="0"/>
        <w:ind w:left="260" w:right="144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Rodrik, D. (2016), ‘Premature deindustrialization’,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Journal of Economic Growth </w:t>
      </w:r>
      <w:r>
        <w:tab/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21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(1), 1–33.</w:t>
      </w:r>
    </w:p>
    <w:p>
      <w:pPr>
        <w:autoSpaceDN w:val="0"/>
        <w:autoSpaceDE w:val="0"/>
        <w:widowControl/>
        <w:spacing w:line="424" w:lineRule="exact" w:before="240" w:after="0"/>
        <w:ind w:left="548" w:right="204" w:hanging="288"/>
        <w:jc w:val="both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Sturgeon,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T.,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Van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Biesebroeck,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J.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&amp;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Gereffi,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G.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(2008),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‘Value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chains,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networks 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and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clusters: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reframing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the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global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automotive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industry’,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Journal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of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Economic 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Geography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 8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(3), 297–321.</w:t>
      </w:r>
    </w:p>
    <w:p>
      <w:pPr>
        <w:autoSpaceDN w:val="0"/>
        <w:tabs>
          <w:tab w:pos="548" w:val="left"/>
        </w:tabs>
        <w:autoSpaceDE w:val="0"/>
        <w:widowControl/>
        <w:spacing w:line="424" w:lineRule="exact" w:before="238" w:after="0"/>
        <w:ind w:left="260" w:right="144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Usmanov, B. (2024), ‘Gvc integration and industrial policy in central asia’,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Post-</w:t>
      </w:r>
      <w:r>
        <w:tab/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Communist Economies</w:t>
      </w: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 xml:space="preserve"> 36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(2), 145–168.</w:t>
      </w:r>
    </w:p>
    <w:p>
      <w:pPr>
        <w:autoSpaceDN w:val="0"/>
        <w:tabs>
          <w:tab w:pos="548" w:val="left"/>
        </w:tabs>
        <w:autoSpaceDE w:val="0"/>
        <w:widowControl/>
        <w:spacing w:line="424" w:lineRule="exact" w:before="238" w:after="0"/>
        <w:ind w:left="260" w:right="144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Wade, R. (1990),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Governing the Market: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Economic Theory and the Role of Gov-</w:t>
      </w:r>
      <w:r>
        <w:tab/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ernment in East Asian Industrialization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, Princeton University Press, Princeton.</w:t>
      </w:r>
    </w:p>
    <w:p>
      <w:pPr>
        <w:autoSpaceDN w:val="0"/>
        <w:tabs>
          <w:tab w:pos="548" w:val="left"/>
        </w:tabs>
        <w:autoSpaceDE w:val="0"/>
        <w:widowControl/>
        <w:spacing w:line="424" w:lineRule="exact" w:before="238" w:after="0"/>
        <w:ind w:left="260" w:right="144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World Bank (2024), ‘World development indicators’, Washington, DC: The World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Bank.</w:t>
      </w:r>
    </w:p>
    <w:p>
      <w:pPr>
        <w:autoSpaceDN w:val="0"/>
        <w:autoSpaceDE w:val="0"/>
        <w:widowControl/>
        <w:spacing w:line="288" w:lineRule="exact" w:before="132" w:after="0"/>
        <w:ind w:left="0" w:right="0" w:firstLine="0"/>
        <w:jc w:val="center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URL: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https://databank.worldbank.org/source/world-development-indicators</w:t>
      </w:r>
    </w:p>
    <w:p>
      <w:pPr>
        <w:autoSpaceDN w:val="0"/>
        <w:tabs>
          <w:tab w:pos="548" w:val="left"/>
        </w:tabs>
        <w:autoSpaceDE w:val="0"/>
        <w:widowControl/>
        <w:spacing w:line="424" w:lineRule="exact" w:before="242" w:after="0"/>
        <w:ind w:left="260" w:right="144" w:firstLine="0"/>
        <w:jc w:val="left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World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Bank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(2025),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Uzbekistan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economic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update: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Sustaining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growth,</w:t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 xml:space="preserve">Technical </w:t>
      </w:r>
      <w:r>
        <w:tab/>
      </w: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report, World Bank, Washington, DC.</w:t>
      </w:r>
    </w:p>
    <w:p>
      <w:pPr>
        <w:autoSpaceDN w:val="0"/>
        <w:autoSpaceDE w:val="0"/>
        <w:widowControl/>
        <w:spacing w:line="422" w:lineRule="exact" w:before="0" w:after="0"/>
        <w:ind w:left="548" w:right="0" w:firstLine="0"/>
        <w:jc w:val="left"/>
      </w:pPr>
      <w:r>
        <w:rPr>
          <w:w w:val="98.93931027116447"/>
          <w:rFonts w:ascii="NimbusRomNo9L" w:hAnsi="NimbusRomNo9L" w:eastAsia="NimbusRomNo9L"/>
          <w:b/>
          <w:i w:val="0"/>
          <w:color w:val="000000"/>
          <w:sz w:val="29"/>
        </w:rPr>
        <w:t>URL: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 xml:space="preserve"> https://www.worldbank.org/en/country/uzbekistan/publication/uzbekistan-</w:t>
      </w:r>
      <w:r>
        <w:rPr>
          <w:w w:val="98.93931027116447"/>
          <w:rFonts w:ascii="NimbusRomNo9L" w:hAnsi="NimbusRomNo9L" w:eastAsia="NimbusRomNo9L"/>
          <w:b w:val="0"/>
          <w:i/>
          <w:color w:val="000000"/>
          <w:sz w:val="29"/>
        </w:rPr>
        <w:t>economic-update</w:t>
      </w:r>
    </w:p>
    <w:p>
      <w:pPr>
        <w:autoSpaceDN w:val="0"/>
        <w:autoSpaceDE w:val="0"/>
        <w:widowControl/>
        <w:spacing w:line="288" w:lineRule="exact" w:before="4464" w:after="0"/>
        <w:ind w:left="0" w:right="0" w:firstLine="0"/>
        <w:jc w:val="center"/>
      </w:pPr>
      <w:r>
        <w:rPr>
          <w:w w:val="98.93931027116447"/>
          <w:rFonts w:ascii="NimbusRomNo9L" w:hAnsi="NimbusRomNo9L" w:eastAsia="NimbusRomNo9L"/>
          <w:b w:val="0"/>
          <w:i w:val="0"/>
          <w:color w:val="000000"/>
          <w:sz w:val="29"/>
        </w:rPr>
        <w:t>78</w:t>
      </w:r>
    </w:p>
    <w:sectPr w:rsidR="00FC693F" w:rsidRPr="0006063C" w:rsidSect="00034616">
      <w:pgSz w:w="11906" w:h="16838"/>
      <w:pgMar w:top="184" w:right="646" w:bottom="232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