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C4D"/>
          <w:sz w:val="36"/>
        </w:rPr>
        <w:t>Reducing the Unsaturation Degree of Oil Using Nanoparticle Catalysts</w:t>
      </w:r>
    </w:p>
    <w:p>
      <w:pPr>
        <w:jc w:val="center"/>
      </w:pPr>
      <w:r>
        <w:rPr>
          <w:i/>
          <w:sz w:val="21"/>
        </w:rPr>
        <w:t>Paper-style technical note with mechanism, equations, literature data, graphs, and experimental plan</w:t>
      </w:r>
    </w:p>
    <w:p>
      <w:r>
        <w:t>Prepared for: Scientific discussion and experimental planning</w:t>
      </w:r>
    </w:p>
    <w:p>
      <w:r>
        <w:t>Scope: Vegetable/plant oils and similar triglyceride oils; the same principles also apply to fatty-acid methyl esters and many industrial bio-oils.</w:t>
      </w:r>
    </w:p>
    <w:p>
      <w:pPr>
        <w:pStyle w:val="Heading1"/>
      </w:pPr>
      <w:r>
        <w:t>1. Direct Answer</w:t>
      </w:r>
    </w:p>
    <w:p>
      <w:r>
        <w:rPr>
          <w:b/>
        </w:rPr>
        <w:t xml:space="preserve">Yes, nanoparticles can reduce the unsaturation degree of oil, </w:t>
      </w:r>
      <w:r>
        <w:t>but only when they act as hydrogenation catalysts in the presence of a hydrogen source. The nanoparticle itself is not consumed stoichiometrically. It provides active metal surface sites that dissociate H2 and transfer hydrogen atoms to carbon-carbon double bonds in fatty chains. The practical result is a lower iodine value, improved oxidative stability, and usually a higher melting/solid-fat tendency.</w:t>
      </w:r>
    </w:p>
    <w:p>
      <w:r>
        <w:rPr>
          <w:b/>
        </w:rPr>
        <w:t xml:space="preserve">Most practical catalyst families: </w:t>
      </w:r>
      <w:r>
        <w:t>supported nickel nanoparticles such as Ni/SiO2, Ni/Al2O3 or Ni/kieselguhr for low-cost industrial hydrogenation; supported palladium nanoparticles such as Pd/C, Pd/bentonite, Pd/SBA-15 or Pd-B/Al2O3 for milder or more selective processes; and Pt/Ru systems for specialized high-activity research use.</w:t>
      </w:r>
    </w:p>
    <w:p>
      <w:r>
        <w:rPr>
          <w:b/>
        </w:rPr>
        <w:t xml:space="preserve">Important limitation: </w:t>
      </w:r>
      <w:r>
        <w:t>if the target is edible oil, hydrogenation must be controlled to avoid trans-fat formation and excessive saturated-fat formation. If the target is industrial oil, lubricant oil, biodiesel or polymer/feedstock modification, a lower iodine value may be more important than food-nutrition constraints, but catalyst removal and metal residue still matter.</w:t>
      </w:r>
    </w:p>
    <w:p>
      <w:pPr>
        <w:pStyle w:val="Heading1"/>
      </w:pPr>
      <w:r>
        <w:t>2. Chemistry and Key Equations</w:t>
      </w:r>
    </w:p>
    <w:p>
      <w:r>
        <w:t>The main chemical transformation is hydrogen addition across a carbon-carbon double bond:</w:t>
      </w:r>
    </w:p>
    <w:p>
      <w:pPr>
        <w:jc w:val="center"/>
      </w:pPr>
      <w:r>
        <w:rPr>
          <w:b/>
          <w:sz w:val="24"/>
        </w:rPr>
        <w:t>R-CH=CH-R + H2  -&gt;  R-CH2-CH2-R</w:t>
      </w:r>
    </w:p>
    <w:p>
      <w:r>
        <w:t>For a triglyceride oil, this reaction reduces the number of olefinic bonds in oleic, linoleic, linolenic and other unsaturated fatty acyl chains. The usual analytical indicator is iodine value (IV), expressed as grams of I2 consumed per 100 g of oil.</w:t>
      </w:r>
    </w:p>
    <w:tbl>
      <w:tblPr>
        <w:tblStyle w:val="TableGrid"/>
        <w:tblW w:type="auto" w:w="0"/>
        <w:jc w:val="center"/>
        <w:tblLook w:firstColumn="1" w:firstRow="1" w:lastColumn="0" w:lastRow="0" w:noHBand="0" w:noVBand="1" w:val="04A0"/>
      </w:tblPr>
      <w:tblGrid>
        <w:gridCol w:w="3360"/>
        <w:gridCol w:w="3360"/>
        <w:gridCol w:w="3360"/>
      </w:tblGrid>
      <w:tr>
        <w:trPr>
          <w:cantSplit/>
          <w:cantSplit/>
        </w:trPr>
        <w:tc>
          <w:tcPr>
            <w:tcW w:type="dxa" w:w="3360"/>
            <w:vAlign w:val="center"/>
            <w:shd w:fill="E8F2E8"/>
          </w:tcPr>
          <w:p>
            <w:r/>
            <w:r>
              <w:rPr>
                <w:b/>
                <w:sz w:val="16"/>
              </w:rPr>
              <w:t>Purpose</w:t>
            </w:r>
          </w:p>
        </w:tc>
        <w:tc>
          <w:tcPr>
            <w:tcW w:type="dxa" w:w="3360"/>
            <w:vAlign w:val="center"/>
            <w:shd w:fill="E8F2E8"/>
          </w:tcPr>
          <w:p>
            <w:r/>
            <w:r>
              <w:rPr>
                <w:b/>
                <w:sz w:val="16"/>
              </w:rPr>
              <w:t>Formula</w:t>
            </w:r>
          </w:p>
        </w:tc>
        <w:tc>
          <w:tcPr>
            <w:tcW w:type="dxa" w:w="3360"/>
            <w:vAlign w:val="center"/>
            <w:shd w:fill="E8F2E8"/>
          </w:tcPr>
          <w:p>
            <w:r/>
            <w:r>
              <w:rPr>
                <w:b/>
                <w:sz w:val="16"/>
              </w:rPr>
              <w:t>Meaning</w:t>
            </w:r>
          </w:p>
        </w:tc>
      </w:tr>
      <w:tr>
        <w:trPr>
          <w:cantSplit/>
        </w:trPr>
        <w:tc>
          <w:tcPr>
            <w:tcW w:type="dxa" w:w="3360"/>
            <w:vAlign w:val="center"/>
          </w:tcPr>
          <w:p>
            <w:r/>
            <w:r>
              <w:rPr>
                <w:b w:val="0"/>
                <w:sz w:val="16"/>
              </w:rPr>
              <w:t>Conversion based on IV</w:t>
            </w:r>
          </w:p>
        </w:tc>
        <w:tc>
          <w:tcPr>
            <w:tcW w:type="dxa" w:w="3360"/>
            <w:vAlign w:val="center"/>
          </w:tcPr>
          <w:p>
            <w:r/>
            <w:r>
              <w:rPr>
                <w:b w:val="0"/>
                <w:sz w:val="16"/>
              </w:rPr>
              <w:t>X_C=C (%) = [(IV0 - IVf) / IV0] x 100</w:t>
            </w:r>
          </w:p>
        </w:tc>
        <w:tc>
          <w:tcPr>
            <w:tcW w:type="dxa" w:w="3360"/>
            <w:vAlign w:val="center"/>
          </w:tcPr>
          <w:p>
            <w:r/>
            <w:r>
              <w:rPr>
                <w:b w:val="0"/>
                <w:sz w:val="16"/>
              </w:rPr>
              <w:t>Fraction of double-bond capacity removed relative to the starting oil.</w:t>
            </w:r>
          </w:p>
        </w:tc>
      </w:tr>
      <w:tr>
        <w:trPr>
          <w:cantSplit/>
        </w:trPr>
        <w:tc>
          <w:tcPr>
            <w:tcW w:type="dxa" w:w="3360"/>
            <w:vAlign w:val="center"/>
          </w:tcPr>
          <w:p>
            <w:r/>
            <w:r>
              <w:rPr>
                <w:b w:val="0"/>
                <w:sz w:val="16"/>
              </w:rPr>
              <w:t>Theoretical hydrogen demand</w:t>
            </w:r>
          </w:p>
        </w:tc>
        <w:tc>
          <w:tcPr>
            <w:tcW w:type="dxa" w:w="3360"/>
            <w:vAlign w:val="center"/>
          </w:tcPr>
          <w:p>
            <w:r/>
            <w:r>
              <w:rPr>
                <w:b w:val="0"/>
                <w:sz w:val="16"/>
              </w:rPr>
              <w:t>n_H2 = [(IV0 - IVf) / 253.8] x (m_oil / 100)</w:t>
            </w:r>
          </w:p>
        </w:tc>
        <w:tc>
          <w:tcPr>
            <w:tcW w:type="dxa" w:w="3360"/>
            <w:vAlign w:val="center"/>
          </w:tcPr>
          <w:p>
            <w:r/>
            <w:r>
              <w:rPr>
                <w:b w:val="0"/>
                <w:sz w:val="16"/>
              </w:rPr>
              <w:t>Moles of H2 needed for a target IV decrease; 253.8 g/mol is molar mass of I2.</w:t>
            </w:r>
          </w:p>
        </w:tc>
      </w:tr>
      <w:tr>
        <w:trPr>
          <w:cantSplit/>
        </w:trPr>
        <w:tc>
          <w:tcPr>
            <w:tcW w:type="dxa" w:w="3360"/>
            <w:vAlign w:val="center"/>
          </w:tcPr>
          <w:p>
            <w:r/>
            <w:r>
              <w:rPr>
                <w:b w:val="0"/>
                <w:sz w:val="16"/>
              </w:rPr>
              <w:t>Mass of hydrogen</w:t>
            </w:r>
          </w:p>
        </w:tc>
        <w:tc>
          <w:tcPr>
            <w:tcW w:type="dxa" w:w="3360"/>
            <w:vAlign w:val="center"/>
          </w:tcPr>
          <w:p>
            <w:r/>
            <w:r>
              <w:rPr>
                <w:b w:val="0"/>
                <w:sz w:val="16"/>
              </w:rPr>
              <w:t>m_H2 = n_H2 x 2.016</w:t>
            </w:r>
          </w:p>
        </w:tc>
        <w:tc>
          <w:tcPr>
            <w:tcW w:type="dxa" w:w="3360"/>
            <w:vAlign w:val="center"/>
          </w:tcPr>
          <w:p>
            <w:r/>
            <w:r>
              <w:rPr>
                <w:b w:val="0"/>
                <w:sz w:val="16"/>
              </w:rPr>
              <w:t>Theoretical H2 mass, not including losses or excess gas.</w:t>
            </w:r>
          </w:p>
        </w:tc>
      </w:tr>
      <w:tr>
        <w:trPr>
          <w:cantSplit/>
        </w:trPr>
        <w:tc>
          <w:tcPr>
            <w:tcW w:type="dxa" w:w="3360"/>
            <w:vAlign w:val="center"/>
          </w:tcPr>
          <w:p>
            <w:r/>
            <w:r>
              <w:rPr>
                <w:b w:val="0"/>
                <w:sz w:val="16"/>
              </w:rPr>
              <w:t>Selectivity warning</w:t>
            </w:r>
          </w:p>
        </w:tc>
        <w:tc>
          <w:tcPr>
            <w:tcW w:type="dxa" w:w="3360"/>
            <w:vAlign w:val="center"/>
          </w:tcPr>
          <w:p>
            <w:r/>
            <w:r>
              <w:rPr>
                <w:b w:val="0"/>
                <w:sz w:val="16"/>
              </w:rPr>
              <w:t>S_i = Delta(% trans fat) / Delta(% conversion)</w:t>
            </w:r>
          </w:p>
        </w:tc>
        <w:tc>
          <w:tcPr>
            <w:tcW w:type="dxa" w:w="3360"/>
            <w:vAlign w:val="center"/>
          </w:tcPr>
          <w:p>
            <w:r/>
            <w:r>
              <w:rPr>
                <w:b w:val="0"/>
                <w:sz w:val="16"/>
              </w:rPr>
              <w:t>Higher value means more trans isomerization per unit of hydrogenation.</w:t>
            </w:r>
          </w:p>
        </w:tc>
      </w:tr>
    </w:tbl>
    <w:p>
      <w:pPr>
        <w:pStyle w:val="Heading2"/>
      </w:pPr>
      <w:r>
        <w:t>Example calculation</w:t>
      </w:r>
    </w:p>
    <w:p>
      <w:r>
        <w:t>If soybean oil starts at IV = 129 and is hydrogenated to IV = 71, then Delta IV = 58. For 100 g of oil:</w:t>
      </w:r>
    </w:p>
    <w:p>
      <w:pPr>
        <w:jc w:val="center"/>
      </w:pPr>
      <w:r>
        <w:rPr>
          <w:b/>
        </w:rPr>
        <w:t>n_H2 = 58 / 253.8 = 0.229 mol H2;  m_H2 = 0.229 x 2.016 = 0.46 g H2</w:t>
      </w:r>
    </w:p>
    <w:p>
      <w:r>
        <w:t>This is the theoretical stoichiometric hydrogen requirement. A real reactor uses excess hydrogen because of gas-liquid mass transfer, headspace, mixing, catalyst wetting and safety-control needs.</w:t>
      </w:r>
    </w:p>
    <w:p>
      <w:pPr>
        <w:pStyle w:val="Heading1"/>
      </w:pPr>
      <w:r>
        <w:t>3. Nanoparticle Hydrogenation Mechanism</w:t>
      </w:r>
    </w:p>
    <w:p>
      <w:r>
        <w:t>The reaction is heterogeneous. Oil molecules, hydrogen gas and catalyst particles must meet at the catalyst surface. A simplified mechanism is:</w:t>
      </w:r>
    </w:p>
    <w:p>
      <w:pPr>
        <w:pStyle w:val="ListBullet"/>
      </w:pPr>
      <w:r>
        <w:t>H2 diffuses from the gas phase into the oil and reaches the metal nanoparticle surface.</w:t>
      </w:r>
    </w:p>
    <w:p>
      <w:pPr>
        <w:pStyle w:val="ListBullet"/>
      </w:pPr>
      <w:r>
        <w:t>The metal surface dissociates H2 into adsorbed hydrogen atoms. Ni, Pd, Pt and Ru are effective because they can activate H2.</w:t>
      </w:r>
    </w:p>
    <w:p>
      <w:pPr>
        <w:pStyle w:val="ListBullet"/>
      </w:pPr>
      <w:r>
        <w:t>The C=C bond in the fatty chain adsorbs on the metal surface.</w:t>
      </w:r>
    </w:p>
    <w:p>
      <w:pPr>
        <w:pStyle w:val="ListBullet"/>
      </w:pPr>
      <w:r>
        <w:t>Two surface hydrogen atoms are added across the C=C bond, forming a saturated C-C bond.</w:t>
      </w:r>
    </w:p>
    <w:p>
      <w:pPr>
        <w:pStyle w:val="ListBullet"/>
      </w:pPr>
      <w:r>
        <w:t>If hydrogen addition is incomplete or the adsorbed intermediate desorbs/re-adsorbs, cis-trans isomerization or double-bond migration can occur.</w:t>
      </w:r>
    </w:p>
    <w:p>
      <w:r>
        <w:drawing>
          <wp:inline xmlns:a="http://schemas.openxmlformats.org/drawingml/2006/main" xmlns:pic="http://schemas.openxmlformats.org/drawingml/2006/picture">
            <wp:extent cx="6309360" cy="3695333"/>
            <wp:docPr id="1" name="Picture 1"/>
            <wp:cNvGraphicFramePr>
              <a:graphicFrameLocks noChangeAspect="1"/>
            </wp:cNvGraphicFramePr>
            <a:graphic>
              <a:graphicData uri="http://schemas.openxmlformats.org/drawingml/2006/picture">
                <pic:pic>
                  <pic:nvPicPr>
                    <pic:cNvPr id="0" name="figure3_hydrogenation_mechanism.png"/>
                    <pic:cNvPicPr/>
                  </pic:nvPicPr>
                  <pic:blipFill>
                    <a:blip r:embed="rId9"/>
                    <a:stretch>
                      <a:fillRect/>
                    </a:stretch>
                  </pic:blipFill>
                  <pic:spPr>
                    <a:xfrm>
                      <a:off x="0" y="0"/>
                      <a:ext cx="6309360" cy="3695333"/>
                    </a:xfrm>
                    <a:prstGeom prst="rect"/>
                  </pic:spPr>
                </pic:pic>
              </a:graphicData>
            </a:graphic>
          </wp:inline>
        </w:drawing>
      </w:r>
    </w:p>
    <w:p>
      <w:pPr>
        <w:pStyle w:val="Caption"/>
        <w:jc w:val="center"/>
      </w:pPr>
      <w:r>
        <w:rPr>
          <w:i/>
          <w:sz w:val="18"/>
        </w:rPr>
        <w:t>Figure 1. Simplified surface mechanism for nanoparticle-catalyzed oil hydrogenation.</w:t>
      </w:r>
    </w:p>
    <w:p>
      <w:pPr>
        <w:pStyle w:val="Heading1"/>
      </w:pPr>
      <w:r>
        <w:t>4. Literature Evidence and Real Experimental Data</w:t>
      </w:r>
    </w:p>
    <w:p>
      <w:r>
        <w:t>The table below compiles representative experimental data from a 2025 RSC Advances comparison table of supported catalysts, supplemented by the study's Pd/bentonite results. These data show that nanoparticle or supported-metal catalysts can reduce iodine value substantially, but the trans-fat and saturated-fat outcomes depend strongly on catalyst type and process conditions.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cantSplit/>
          <w:cantSplit/>
        </w:trPr>
        <w:tc>
          <w:tcPr>
            <w:tcW w:type="dxa" w:w="1120"/>
            <w:vAlign w:val="center"/>
            <w:shd w:fill="D9EAF7"/>
          </w:tcPr>
          <w:p>
            <w:r/>
            <w:r>
              <w:rPr>
                <w:b/>
                <w:sz w:val="16"/>
              </w:rPr>
              <w:t>Catalyst</w:t>
            </w:r>
          </w:p>
        </w:tc>
        <w:tc>
          <w:tcPr>
            <w:tcW w:type="dxa" w:w="1120"/>
            <w:vAlign w:val="center"/>
            <w:shd w:fill="D9EAF7"/>
          </w:tcPr>
          <w:p>
            <w:r/>
            <w:r>
              <w:rPr>
                <w:b/>
                <w:sz w:val="16"/>
              </w:rPr>
              <w:t>Oil</w:t>
            </w:r>
          </w:p>
        </w:tc>
        <w:tc>
          <w:tcPr>
            <w:tcW w:type="dxa" w:w="1120"/>
            <w:vAlign w:val="center"/>
            <w:shd w:fill="D9EAF7"/>
          </w:tcPr>
          <w:p>
            <w:r/>
            <w:r>
              <w:rPr>
                <w:b/>
                <w:sz w:val="16"/>
              </w:rPr>
              <w:t>T (C)</w:t>
            </w:r>
          </w:p>
        </w:tc>
        <w:tc>
          <w:tcPr>
            <w:tcW w:type="dxa" w:w="1120"/>
            <w:vAlign w:val="center"/>
            <w:shd w:fill="D9EAF7"/>
          </w:tcPr>
          <w:p>
            <w:r/>
            <w:r>
              <w:rPr>
                <w:b/>
                <w:sz w:val="16"/>
              </w:rPr>
              <w:t>H2 pressure (psi)</w:t>
            </w:r>
          </w:p>
        </w:tc>
        <w:tc>
          <w:tcPr>
            <w:tcW w:type="dxa" w:w="1120"/>
            <w:vAlign w:val="center"/>
            <w:shd w:fill="D9EAF7"/>
          </w:tcPr>
          <w:p>
            <w:r/>
            <w:r>
              <w:rPr>
                <w:b/>
                <w:sz w:val="16"/>
              </w:rPr>
              <w:t>IV0</w:t>
            </w:r>
          </w:p>
        </w:tc>
        <w:tc>
          <w:tcPr>
            <w:tcW w:type="dxa" w:w="1120"/>
            <w:vAlign w:val="center"/>
            <w:shd w:fill="D9EAF7"/>
          </w:tcPr>
          <w:p>
            <w:r/>
            <w:r>
              <w:rPr>
                <w:b/>
                <w:sz w:val="16"/>
              </w:rPr>
              <w:t>IVf</w:t>
            </w:r>
          </w:p>
        </w:tc>
        <w:tc>
          <w:tcPr>
            <w:tcW w:type="dxa" w:w="1120"/>
            <w:vAlign w:val="center"/>
            <w:shd w:fill="D9EAF7"/>
          </w:tcPr>
          <w:p>
            <w:r/>
            <w:r>
              <w:rPr>
                <w:b/>
                <w:sz w:val="16"/>
              </w:rPr>
              <w:t>Time (min)</w:t>
            </w:r>
          </w:p>
        </w:tc>
        <w:tc>
          <w:tcPr>
            <w:tcW w:type="dxa" w:w="1120"/>
            <w:vAlign w:val="center"/>
            <w:shd w:fill="D9EAF7"/>
          </w:tcPr>
          <w:p>
            <w:r/>
            <w:r>
              <w:rPr>
                <w:b/>
                <w:sz w:val="16"/>
              </w:rPr>
              <w:t>Trans fat (%)</w:t>
            </w:r>
          </w:p>
        </w:tc>
        <w:tc>
          <w:tcPr>
            <w:tcW w:type="dxa" w:w="1120"/>
            <w:vAlign w:val="center"/>
            <w:shd w:fill="D9EAF7"/>
          </w:tcPr>
          <w:p>
            <w:r/>
            <w:r>
              <w:rPr>
                <w:b/>
                <w:sz w:val="16"/>
              </w:rPr>
              <w:t>SFA (%)</w:t>
            </w:r>
          </w:p>
        </w:tc>
      </w:tr>
      <w:tr>
        <w:trPr>
          <w:cantSplit/>
        </w:trPr>
        <w:tc>
          <w:tcPr>
            <w:tcW w:type="dxa" w:w="1120"/>
            <w:vAlign w:val="center"/>
          </w:tcPr>
          <w:p>
            <w:r/>
            <w:r>
              <w:rPr>
                <w:b w:val="0"/>
                <w:sz w:val="16"/>
              </w:rPr>
              <w:t>Pd-Ru/SBA-15</w:t>
            </w:r>
          </w:p>
        </w:tc>
        <w:tc>
          <w:tcPr>
            <w:tcW w:type="dxa" w:w="1120"/>
            <w:vAlign w:val="center"/>
          </w:tcPr>
          <w:p>
            <w:r/>
            <w:r>
              <w:rPr>
                <w:b w:val="0"/>
                <w:sz w:val="16"/>
              </w:rPr>
              <w:t>Sunflower</w:t>
            </w:r>
          </w:p>
        </w:tc>
        <w:tc>
          <w:tcPr>
            <w:tcW w:type="dxa" w:w="1120"/>
            <w:vAlign w:val="center"/>
          </w:tcPr>
          <w:p>
            <w:r/>
            <w:r>
              <w:rPr>
                <w:b w:val="0"/>
                <w:sz w:val="16"/>
              </w:rPr>
              <w:t>110</w:t>
            </w:r>
          </w:p>
        </w:tc>
        <w:tc>
          <w:tcPr>
            <w:tcW w:type="dxa" w:w="1120"/>
            <w:vAlign w:val="center"/>
          </w:tcPr>
          <w:p>
            <w:r/>
            <w:r>
              <w:rPr>
                <w:b w:val="0"/>
                <w:sz w:val="16"/>
              </w:rPr>
              <w:t>73.47</w:t>
            </w:r>
          </w:p>
        </w:tc>
        <w:tc>
          <w:tcPr>
            <w:tcW w:type="dxa" w:w="1120"/>
            <w:vAlign w:val="center"/>
          </w:tcPr>
          <w:p>
            <w:r/>
            <w:r>
              <w:rPr>
                <w:b w:val="0"/>
                <w:sz w:val="16"/>
              </w:rPr>
              <w:t>130</w:t>
            </w:r>
          </w:p>
        </w:tc>
        <w:tc>
          <w:tcPr>
            <w:tcW w:type="dxa" w:w="1120"/>
            <w:vAlign w:val="center"/>
          </w:tcPr>
          <w:p>
            <w:r/>
            <w:r>
              <w:rPr>
                <w:b w:val="0"/>
                <w:sz w:val="16"/>
              </w:rPr>
              <w:t>70</w:t>
            </w:r>
          </w:p>
        </w:tc>
        <w:tc>
          <w:tcPr>
            <w:tcW w:type="dxa" w:w="1120"/>
            <w:vAlign w:val="center"/>
          </w:tcPr>
          <w:p>
            <w:r/>
            <w:r>
              <w:rPr>
                <w:b w:val="0"/>
                <w:sz w:val="16"/>
              </w:rPr>
              <w:t>60</w:t>
            </w:r>
          </w:p>
        </w:tc>
        <w:tc>
          <w:tcPr>
            <w:tcW w:type="dxa" w:w="1120"/>
            <w:vAlign w:val="center"/>
          </w:tcPr>
          <w:p>
            <w:r/>
            <w:r>
              <w:rPr>
                <w:b w:val="0"/>
                <w:sz w:val="16"/>
              </w:rPr>
              <w:t>29.0</w:t>
            </w:r>
          </w:p>
        </w:tc>
        <w:tc>
          <w:tcPr>
            <w:tcW w:type="dxa" w:w="1120"/>
            <w:vAlign w:val="center"/>
          </w:tcPr>
          <w:p>
            <w:r/>
            <w:r>
              <w:rPr>
                <w:b w:val="0"/>
                <w:sz w:val="16"/>
              </w:rPr>
              <w:t>18.0</w:t>
            </w:r>
          </w:p>
        </w:tc>
      </w:tr>
      <w:tr>
        <w:trPr>
          <w:cantSplit/>
        </w:trPr>
        <w:tc>
          <w:tcPr>
            <w:tcW w:type="dxa" w:w="1120"/>
            <w:vAlign w:val="center"/>
          </w:tcPr>
          <w:p>
            <w:r/>
            <w:r>
              <w:rPr>
                <w:b w:val="0"/>
                <w:sz w:val="16"/>
              </w:rPr>
              <w:t>Ni-Al-Ce</w:t>
            </w:r>
          </w:p>
        </w:tc>
        <w:tc>
          <w:tcPr>
            <w:tcW w:type="dxa" w:w="1120"/>
            <w:vAlign w:val="center"/>
          </w:tcPr>
          <w:p>
            <w:r/>
            <w:r>
              <w:rPr>
                <w:b w:val="0"/>
                <w:sz w:val="16"/>
              </w:rPr>
              <w:t>Canola</w:t>
            </w:r>
          </w:p>
        </w:tc>
        <w:tc>
          <w:tcPr>
            <w:tcW w:type="dxa" w:w="1120"/>
            <w:vAlign w:val="center"/>
          </w:tcPr>
          <w:p>
            <w:r/>
            <w:r>
              <w:rPr>
                <w:b w:val="0"/>
                <w:sz w:val="16"/>
              </w:rPr>
              <w:t>180</w:t>
            </w:r>
          </w:p>
        </w:tc>
        <w:tc>
          <w:tcPr>
            <w:tcW w:type="dxa" w:w="1120"/>
            <w:vAlign w:val="center"/>
          </w:tcPr>
          <w:p>
            <w:r/>
            <w:r>
              <w:rPr>
                <w:b w:val="0"/>
                <w:sz w:val="16"/>
              </w:rPr>
              <w:t>304.57</w:t>
            </w:r>
          </w:p>
        </w:tc>
        <w:tc>
          <w:tcPr>
            <w:tcW w:type="dxa" w:w="1120"/>
            <w:vAlign w:val="center"/>
          </w:tcPr>
          <w:p>
            <w:r/>
            <w:r>
              <w:rPr>
                <w:b w:val="0"/>
                <w:sz w:val="16"/>
              </w:rPr>
              <w:t>115</w:t>
            </w:r>
          </w:p>
        </w:tc>
        <w:tc>
          <w:tcPr>
            <w:tcW w:type="dxa" w:w="1120"/>
            <w:vAlign w:val="center"/>
          </w:tcPr>
          <w:p>
            <w:r/>
            <w:r>
              <w:rPr>
                <w:b w:val="0"/>
                <w:sz w:val="16"/>
              </w:rPr>
              <w:t>70</w:t>
            </w:r>
          </w:p>
        </w:tc>
        <w:tc>
          <w:tcPr>
            <w:tcW w:type="dxa" w:w="1120"/>
            <w:vAlign w:val="center"/>
          </w:tcPr>
          <w:p>
            <w:r/>
            <w:r>
              <w:rPr>
                <w:b w:val="0"/>
                <w:sz w:val="16"/>
              </w:rPr>
              <w:t>13</w:t>
            </w:r>
          </w:p>
        </w:tc>
        <w:tc>
          <w:tcPr>
            <w:tcW w:type="dxa" w:w="1120"/>
            <w:vAlign w:val="center"/>
          </w:tcPr>
          <w:p>
            <w:r/>
            <w:r>
              <w:rPr>
                <w:b w:val="0"/>
                <w:sz w:val="16"/>
              </w:rPr>
              <w:t>20.9</w:t>
            </w:r>
          </w:p>
        </w:tc>
        <w:tc>
          <w:tcPr>
            <w:tcW w:type="dxa" w:w="1120"/>
            <w:vAlign w:val="center"/>
          </w:tcPr>
          <w:p>
            <w:r/>
            <w:r>
              <w:rPr>
                <w:b w:val="0"/>
                <w:sz w:val="16"/>
              </w:rPr>
              <w:t>18.1</w:t>
            </w:r>
          </w:p>
        </w:tc>
      </w:tr>
      <w:tr>
        <w:trPr>
          <w:cantSplit/>
        </w:trPr>
        <w:tc>
          <w:tcPr>
            <w:tcW w:type="dxa" w:w="1120"/>
            <w:vAlign w:val="center"/>
          </w:tcPr>
          <w:p>
            <w:r/>
            <w:r>
              <w:rPr>
                <w:b w:val="0"/>
                <w:sz w:val="16"/>
              </w:rPr>
              <w:t>Pt-Ni/SiO2</w:t>
            </w:r>
          </w:p>
        </w:tc>
        <w:tc>
          <w:tcPr>
            <w:tcW w:type="dxa" w:w="1120"/>
            <w:vAlign w:val="center"/>
          </w:tcPr>
          <w:p>
            <w:r/>
            <w:r>
              <w:rPr>
                <w:b w:val="0"/>
                <w:sz w:val="16"/>
              </w:rPr>
              <w:t>Sunflower</w:t>
            </w:r>
          </w:p>
        </w:tc>
        <w:tc>
          <w:tcPr>
            <w:tcW w:type="dxa" w:w="1120"/>
            <w:vAlign w:val="center"/>
          </w:tcPr>
          <w:p>
            <w:r/>
            <w:r>
              <w:rPr>
                <w:b w:val="0"/>
                <w:sz w:val="16"/>
              </w:rPr>
              <w:t>170</w:t>
            </w:r>
          </w:p>
        </w:tc>
        <w:tc>
          <w:tcPr>
            <w:tcW w:type="dxa" w:w="1120"/>
            <w:vAlign w:val="center"/>
          </w:tcPr>
          <w:p>
            <w:r/>
            <w:r>
              <w:rPr>
                <w:b w:val="0"/>
                <w:sz w:val="16"/>
              </w:rPr>
              <w:t>43.51</w:t>
            </w:r>
          </w:p>
        </w:tc>
        <w:tc>
          <w:tcPr>
            <w:tcW w:type="dxa" w:w="1120"/>
            <w:vAlign w:val="center"/>
          </w:tcPr>
          <w:p>
            <w:r/>
            <w:r>
              <w:rPr>
                <w:b w:val="0"/>
                <w:sz w:val="16"/>
              </w:rPr>
              <w:t>128</w:t>
            </w:r>
          </w:p>
        </w:tc>
        <w:tc>
          <w:tcPr>
            <w:tcW w:type="dxa" w:w="1120"/>
            <w:vAlign w:val="center"/>
          </w:tcPr>
          <w:p>
            <w:r/>
            <w:r>
              <w:rPr>
                <w:b w:val="0"/>
                <w:sz w:val="16"/>
              </w:rPr>
              <w:t>70</w:t>
            </w:r>
          </w:p>
        </w:tc>
        <w:tc>
          <w:tcPr>
            <w:tcW w:type="dxa" w:w="1120"/>
            <w:vAlign w:val="center"/>
          </w:tcPr>
          <w:p>
            <w:r/>
            <w:r>
              <w:rPr>
                <w:b w:val="0"/>
                <w:sz w:val="16"/>
              </w:rPr>
              <w:t>300</w:t>
            </w:r>
          </w:p>
        </w:tc>
        <w:tc>
          <w:tcPr>
            <w:tcW w:type="dxa" w:w="1120"/>
            <w:vAlign w:val="center"/>
          </w:tcPr>
          <w:p>
            <w:r/>
            <w:r>
              <w:rPr>
                <w:b w:val="0"/>
                <w:sz w:val="16"/>
              </w:rPr>
              <w:t>16.8</w:t>
            </w:r>
          </w:p>
        </w:tc>
        <w:tc>
          <w:tcPr>
            <w:tcW w:type="dxa" w:w="1120"/>
            <w:vAlign w:val="center"/>
          </w:tcPr>
          <w:p>
            <w:r/>
            <w:r>
              <w:rPr>
                <w:b w:val="0"/>
                <w:sz w:val="16"/>
              </w:rPr>
              <w:t>23.0</w:t>
            </w:r>
          </w:p>
        </w:tc>
      </w:tr>
      <w:tr>
        <w:trPr>
          <w:cantSplit/>
        </w:trPr>
        <w:tc>
          <w:tcPr>
            <w:tcW w:type="dxa" w:w="1120"/>
            <w:vAlign w:val="center"/>
          </w:tcPr>
          <w:p>
            <w:r/>
            <w:r>
              <w:rPr>
                <w:b w:val="0"/>
                <w:sz w:val="16"/>
              </w:rPr>
              <w:t>Ni-Mg/SiO2</w:t>
            </w:r>
          </w:p>
        </w:tc>
        <w:tc>
          <w:tcPr>
            <w:tcW w:type="dxa" w:w="1120"/>
            <w:vAlign w:val="center"/>
          </w:tcPr>
          <w:p>
            <w:r/>
            <w:r>
              <w:rPr>
                <w:b w:val="0"/>
                <w:sz w:val="16"/>
              </w:rPr>
              <w:t>Sunflower</w:t>
            </w:r>
          </w:p>
        </w:tc>
        <w:tc>
          <w:tcPr>
            <w:tcW w:type="dxa" w:w="1120"/>
            <w:vAlign w:val="center"/>
          </w:tcPr>
          <w:p>
            <w:r/>
            <w:r>
              <w:rPr>
                <w:b w:val="0"/>
                <w:sz w:val="16"/>
              </w:rPr>
              <w:t>180</w:t>
            </w:r>
          </w:p>
        </w:tc>
        <w:tc>
          <w:tcPr>
            <w:tcW w:type="dxa" w:w="1120"/>
            <w:vAlign w:val="center"/>
          </w:tcPr>
          <w:p>
            <w:r/>
            <w:r>
              <w:rPr>
                <w:b w:val="0"/>
                <w:sz w:val="16"/>
              </w:rPr>
              <w:t>72.52</w:t>
            </w:r>
          </w:p>
        </w:tc>
        <w:tc>
          <w:tcPr>
            <w:tcW w:type="dxa" w:w="1120"/>
            <w:vAlign w:val="center"/>
          </w:tcPr>
          <w:p>
            <w:r/>
            <w:r>
              <w:rPr>
                <w:b w:val="0"/>
                <w:sz w:val="16"/>
              </w:rPr>
              <w:t>124</w:t>
            </w:r>
          </w:p>
        </w:tc>
        <w:tc>
          <w:tcPr>
            <w:tcW w:type="dxa" w:w="1120"/>
            <w:vAlign w:val="center"/>
          </w:tcPr>
          <w:p>
            <w:r/>
            <w:r>
              <w:rPr>
                <w:b w:val="0"/>
                <w:sz w:val="16"/>
              </w:rPr>
              <w:t>70</w:t>
            </w:r>
          </w:p>
        </w:tc>
        <w:tc>
          <w:tcPr>
            <w:tcW w:type="dxa" w:w="1120"/>
            <w:vAlign w:val="center"/>
          </w:tcPr>
          <w:p>
            <w:r/>
            <w:r>
              <w:rPr>
                <w:b w:val="0"/>
                <w:sz w:val="16"/>
              </w:rPr>
              <w:t>59</w:t>
            </w:r>
          </w:p>
        </w:tc>
        <w:tc>
          <w:tcPr>
            <w:tcW w:type="dxa" w:w="1120"/>
            <w:vAlign w:val="center"/>
          </w:tcPr>
          <w:p>
            <w:r/>
            <w:r>
              <w:rPr>
                <w:b w:val="0"/>
                <w:sz w:val="16"/>
              </w:rPr>
              <w:t>13.7</w:t>
            </w:r>
          </w:p>
        </w:tc>
        <w:tc>
          <w:tcPr>
            <w:tcW w:type="dxa" w:w="1120"/>
            <w:vAlign w:val="center"/>
          </w:tcPr>
          <w:p>
            <w:r/>
            <w:r>
              <w:rPr>
                <w:b w:val="0"/>
                <w:sz w:val="16"/>
              </w:rPr>
              <w:t>34.4</w:t>
            </w:r>
          </w:p>
        </w:tc>
      </w:tr>
      <w:tr>
        <w:trPr>
          <w:cantSplit/>
        </w:trPr>
        <w:tc>
          <w:tcPr>
            <w:tcW w:type="dxa" w:w="1120"/>
            <w:vAlign w:val="center"/>
          </w:tcPr>
          <w:p>
            <w:r/>
            <w:r>
              <w:rPr>
                <w:b w:val="0"/>
                <w:sz w:val="16"/>
              </w:rPr>
              <w:t>Ni-Cu-Mg/Kieselguhr</w:t>
            </w:r>
          </w:p>
        </w:tc>
        <w:tc>
          <w:tcPr>
            <w:tcW w:type="dxa" w:w="1120"/>
            <w:vAlign w:val="center"/>
          </w:tcPr>
          <w:p>
            <w:r/>
            <w:r>
              <w:rPr>
                <w:b w:val="0"/>
                <w:sz w:val="16"/>
              </w:rPr>
              <w:t>Soybean</w:t>
            </w:r>
          </w:p>
        </w:tc>
        <w:tc>
          <w:tcPr>
            <w:tcW w:type="dxa" w:w="1120"/>
            <w:vAlign w:val="center"/>
          </w:tcPr>
          <w:p>
            <w:r/>
            <w:r>
              <w:rPr>
                <w:b w:val="0"/>
                <w:sz w:val="16"/>
              </w:rPr>
              <w:t>110</w:t>
            </w:r>
          </w:p>
        </w:tc>
        <w:tc>
          <w:tcPr>
            <w:tcW w:type="dxa" w:w="1120"/>
            <w:vAlign w:val="center"/>
          </w:tcPr>
          <w:p>
            <w:r/>
            <w:r>
              <w:rPr>
                <w:b w:val="0"/>
                <w:sz w:val="16"/>
              </w:rPr>
              <w:t>60.92</w:t>
            </w:r>
          </w:p>
        </w:tc>
        <w:tc>
          <w:tcPr>
            <w:tcW w:type="dxa" w:w="1120"/>
            <w:vAlign w:val="center"/>
          </w:tcPr>
          <w:p>
            <w:r/>
            <w:r>
              <w:rPr>
                <w:b w:val="0"/>
                <w:sz w:val="16"/>
              </w:rPr>
              <w:t>130</w:t>
            </w:r>
          </w:p>
        </w:tc>
        <w:tc>
          <w:tcPr>
            <w:tcW w:type="dxa" w:w="1120"/>
            <w:vAlign w:val="center"/>
          </w:tcPr>
          <w:p>
            <w:r/>
            <w:r>
              <w:rPr>
                <w:b w:val="0"/>
                <w:sz w:val="16"/>
              </w:rPr>
              <w:t>70</w:t>
            </w:r>
          </w:p>
        </w:tc>
        <w:tc>
          <w:tcPr>
            <w:tcW w:type="dxa" w:w="1120"/>
            <w:vAlign w:val="center"/>
          </w:tcPr>
          <w:p>
            <w:r/>
            <w:r>
              <w:rPr>
                <w:b w:val="0"/>
                <w:sz w:val="16"/>
              </w:rPr>
              <w:t>75</w:t>
            </w:r>
          </w:p>
        </w:tc>
        <w:tc>
          <w:tcPr>
            <w:tcW w:type="dxa" w:w="1120"/>
            <w:vAlign w:val="center"/>
          </w:tcPr>
          <w:p>
            <w:r/>
            <w:r>
              <w:rPr>
                <w:b w:val="0"/>
                <w:sz w:val="16"/>
              </w:rPr>
              <w:t>21.1</w:t>
            </w:r>
          </w:p>
        </w:tc>
        <w:tc>
          <w:tcPr>
            <w:tcW w:type="dxa" w:w="1120"/>
            <w:vAlign w:val="center"/>
          </w:tcPr>
          <w:p>
            <w:r/>
            <w:r>
              <w:rPr>
                <w:b w:val="0"/>
                <w:sz w:val="16"/>
              </w:rPr>
              <w:t>20.6</w:t>
            </w:r>
          </w:p>
        </w:tc>
      </w:tr>
      <w:tr>
        <w:trPr>
          <w:cantSplit/>
        </w:trPr>
        <w:tc>
          <w:tcPr>
            <w:tcW w:type="dxa" w:w="1120"/>
            <w:vAlign w:val="center"/>
          </w:tcPr>
          <w:p>
            <w:r/>
            <w:r>
              <w:rPr>
                <w:b w:val="0"/>
                <w:sz w:val="16"/>
              </w:rPr>
              <w:t>Ni (Pricat 9920)</w:t>
            </w:r>
          </w:p>
        </w:tc>
        <w:tc>
          <w:tcPr>
            <w:tcW w:type="dxa" w:w="1120"/>
            <w:vAlign w:val="center"/>
          </w:tcPr>
          <w:p>
            <w:r/>
            <w:r>
              <w:rPr>
                <w:b w:val="0"/>
                <w:sz w:val="16"/>
              </w:rPr>
              <w:t>Sunflower</w:t>
            </w:r>
          </w:p>
        </w:tc>
        <w:tc>
          <w:tcPr>
            <w:tcW w:type="dxa" w:w="1120"/>
            <w:vAlign w:val="center"/>
          </w:tcPr>
          <w:p>
            <w:r/>
            <w:r>
              <w:rPr>
                <w:b w:val="0"/>
                <w:sz w:val="16"/>
              </w:rPr>
              <w:t>110</w:t>
            </w:r>
          </w:p>
        </w:tc>
        <w:tc>
          <w:tcPr>
            <w:tcW w:type="dxa" w:w="1120"/>
            <w:vAlign w:val="center"/>
          </w:tcPr>
          <w:p>
            <w:r/>
            <w:r>
              <w:rPr>
                <w:b w:val="0"/>
                <w:sz w:val="16"/>
              </w:rPr>
              <w:t>73.47</w:t>
            </w:r>
          </w:p>
        </w:tc>
        <w:tc>
          <w:tcPr>
            <w:tcW w:type="dxa" w:w="1120"/>
            <w:vAlign w:val="center"/>
          </w:tcPr>
          <w:p>
            <w:r/>
            <w:r>
              <w:rPr>
                <w:b w:val="0"/>
                <w:sz w:val="16"/>
              </w:rPr>
              <w:t>130</w:t>
            </w:r>
          </w:p>
        </w:tc>
        <w:tc>
          <w:tcPr>
            <w:tcW w:type="dxa" w:w="1120"/>
            <w:vAlign w:val="center"/>
          </w:tcPr>
          <w:p>
            <w:r/>
            <w:r>
              <w:rPr>
                <w:b w:val="0"/>
                <w:sz w:val="16"/>
              </w:rPr>
              <w:t>60</w:t>
            </w:r>
          </w:p>
        </w:tc>
        <w:tc>
          <w:tcPr>
            <w:tcW w:type="dxa" w:w="1120"/>
            <w:vAlign w:val="center"/>
          </w:tcPr>
          <w:p>
            <w:r/>
            <w:r>
              <w:rPr>
                <w:b w:val="0"/>
                <w:sz w:val="16"/>
              </w:rPr>
              <w:t>60</w:t>
            </w:r>
          </w:p>
        </w:tc>
        <w:tc>
          <w:tcPr>
            <w:tcW w:type="dxa" w:w="1120"/>
            <w:vAlign w:val="center"/>
          </w:tcPr>
          <w:p>
            <w:r/>
            <w:r>
              <w:rPr>
                <w:b w:val="0"/>
                <w:sz w:val="16"/>
              </w:rPr>
              <w:t>30.0</w:t>
            </w:r>
          </w:p>
        </w:tc>
        <w:tc>
          <w:tcPr>
            <w:tcW w:type="dxa" w:w="1120"/>
            <w:vAlign w:val="center"/>
          </w:tcPr>
          <w:p>
            <w:r/>
            <w:r>
              <w:rPr>
                <w:b w:val="0"/>
                <w:sz w:val="16"/>
              </w:rPr>
              <w:t>30.0</w:t>
            </w:r>
          </w:p>
        </w:tc>
      </w:tr>
      <w:tr>
        <w:trPr>
          <w:cantSplit/>
        </w:trPr>
        <w:tc>
          <w:tcPr>
            <w:tcW w:type="dxa" w:w="1120"/>
            <w:vAlign w:val="center"/>
          </w:tcPr>
          <w:p>
            <w:r/>
            <w:r>
              <w:rPr>
                <w:b w:val="0"/>
                <w:sz w:val="16"/>
              </w:rPr>
              <w:t>Pd/bentonite, 70C</w:t>
            </w:r>
          </w:p>
        </w:tc>
        <w:tc>
          <w:tcPr>
            <w:tcW w:type="dxa" w:w="1120"/>
            <w:vAlign w:val="center"/>
          </w:tcPr>
          <w:p>
            <w:r/>
            <w:r>
              <w:rPr>
                <w:b w:val="0"/>
                <w:sz w:val="16"/>
              </w:rPr>
              <w:t>Soybean</w:t>
            </w:r>
          </w:p>
        </w:tc>
        <w:tc>
          <w:tcPr>
            <w:tcW w:type="dxa" w:w="1120"/>
            <w:vAlign w:val="center"/>
          </w:tcPr>
          <w:p>
            <w:r/>
            <w:r>
              <w:rPr>
                <w:b w:val="0"/>
                <w:sz w:val="16"/>
              </w:rPr>
              <w:t>70</w:t>
            </w:r>
          </w:p>
        </w:tc>
        <w:tc>
          <w:tcPr>
            <w:tcW w:type="dxa" w:w="1120"/>
            <w:vAlign w:val="center"/>
          </w:tcPr>
          <w:p>
            <w:r/>
            <w:r>
              <w:rPr>
                <w:b w:val="0"/>
                <w:sz w:val="16"/>
              </w:rPr>
              <w:t>550</w:t>
            </w:r>
          </w:p>
        </w:tc>
        <w:tc>
          <w:tcPr>
            <w:tcW w:type="dxa" w:w="1120"/>
            <w:vAlign w:val="center"/>
          </w:tcPr>
          <w:p>
            <w:r/>
            <w:r>
              <w:rPr>
                <w:b w:val="0"/>
                <w:sz w:val="16"/>
              </w:rPr>
              <w:t>127</w:t>
            </w:r>
          </w:p>
        </w:tc>
        <w:tc>
          <w:tcPr>
            <w:tcW w:type="dxa" w:w="1120"/>
            <w:vAlign w:val="center"/>
          </w:tcPr>
          <w:p>
            <w:r/>
            <w:r>
              <w:rPr>
                <w:b w:val="0"/>
                <w:sz w:val="16"/>
              </w:rPr>
              <w:t>71</w:t>
            </w:r>
          </w:p>
        </w:tc>
        <w:tc>
          <w:tcPr>
            <w:tcW w:type="dxa" w:w="1120"/>
            <w:vAlign w:val="center"/>
          </w:tcPr>
          <w:p>
            <w:r/>
            <w:r>
              <w:rPr>
                <w:b w:val="0"/>
                <w:sz w:val="16"/>
              </w:rPr>
              <w:t>71</w:t>
            </w:r>
          </w:p>
        </w:tc>
        <w:tc>
          <w:tcPr>
            <w:tcW w:type="dxa" w:w="1120"/>
            <w:vAlign w:val="center"/>
          </w:tcPr>
          <w:p>
            <w:r/>
            <w:r>
              <w:rPr>
                <w:b w:val="0"/>
                <w:sz w:val="16"/>
              </w:rPr>
              <w:t>28.3</w:t>
            </w:r>
          </w:p>
        </w:tc>
        <w:tc>
          <w:tcPr>
            <w:tcW w:type="dxa" w:w="1120"/>
            <w:vAlign w:val="center"/>
          </w:tcPr>
          <w:p>
            <w:r/>
            <w:r>
              <w:rPr>
                <w:b w:val="0"/>
                <w:sz w:val="16"/>
              </w:rPr>
              <w:t>13.0</w:t>
            </w:r>
          </w:p>
        </w:tc>
      </w:tr>
      <w:tr>
        <w:trPr>
          <w:cantSplit/>
        </w:trPr>
        <w:tc>
          <w:tcPr>
            <w:tcW w:type="dxa" w:w="1120"/>
            <w:vAlign w:val="center"/>
          </w:tcPr>
          <w:p>
            <w:r/>
            <w:r>
              <w:rPr>
                <w:b w:val="0"/>
                <w:sz w:val="16"/>
              </w:rPr>
              <w:t>Pd/bentonite, 25C</w:t>
            </w:r>
          </w:p>
        </w:tc>
        <w:tc>
          <w:tcPr>
            <w:tcW w:type="dxa" w:w="1120"/>
            <w:vAlign w:val="center"/>
          </w:tcPr>
          <w:p>
            <w:r/>
            <w:r>
              <w:rPr>
                <w:b w:val="0"/>
                <w:sz w:val="16"/>
              </w:rPr>
              <w:t>Soybean</w:t>
            </w:r>
          </w:p>
        </w:tc>
        <w:tc>
          <w:tcPr>
            <w:tcW w:type="dxa" w:w="1120"/>
            <w:vAlign w:val="center"/>
          </w:tcPr>
          <w:p>
            <w:r/>
            <w:r>
              <w:rPr>
                <w:b w:val="0"/>
                <w:sz w:val="16"/>
              </w:rPr>
              <w:t>25</w:t>
            </w:r>
          </w:p>
        </w:tc>
        <w:tc>
          <w:tcPr>
            <w:tcW w:type="dxa" w:w="1120"/>
            <w:vAlign w:val="center"/>
          </w:tcPr>
          <w:p>
            <w:r/>
            <w:r>
              <w:rPr>
                <w:b w:val="0"/>
                <w:sz w:val="16"/>
              </w:rPr>
              <w:t>550</w:t>
            </w:r>
          </w:p>
        </w:tc>
        <w:tc>
          <w:tcPr>
            <w:tcW w:type="dxa" w:w="1120"/>
            <w:vAlign w:val="center"/>
          </w:tcPr>
          <w:p>
            <w:r/>
            <w:r>
              <w:rPr>
                <w:b w:val="0"/>
                <w:sz w:val="16"/>
              </w:rPr>
              <w:t>127</w:t>
            </w:r>
          </w:p>
        </w:tc>
        <w:tc>
          <w:tcPr>
            <w:tcW w:type="dxa" w:w="1120"/>
            <w:vAlign w:val="center"/>
          </w:tcPr>
          <w:p>
            <w:r/>
            <w:r>
              <w:rPr>
                <w:b w:val="0"/>
                <w:sz w:val="16"/>
              </w:rPr>
              <w:t>76</w:t>
            </w:r>
          </w:p>
        </w:tc>
        <w:tc>
          <w:tcPr>
            <w:tcW w:type="dxa" w:w="1120"/>
            <w:vAlign w:val="center"/>
          </w:tcPr>
          <w:p>
            <w:r/>
            <w:r>
              <w:rPr>
                <w:b w:val="0"/>
                <w:sz w:val="16"/>
              </w:rPr>
              <w:t>76</w:t>
            </w:r>
          </w:p>
        </w:tc>
        <w:tc>
          <w:tcPr>
            <w:tcW w:type="dxa" w:w="1120"/>
            <w:vAlign w:val="center"/>
          </w:tcPr>
          <w:p>
            <w:r/>
            <w:r>
              <w:rPr>
                <w:b w:val="0"/>
                <w:sz w:val="16"/>
              </w:rPr>
              <w:t>11.2</w:t>
            </w:r>
          </w:p>
        </w:tc>
        <w:tc>
          <w:tcPr>
            <w:tcW w:type="dxa" w:w="1120"/>
            <w:vAlign w:val="center"/>
          </w:tcPr>
          <w:p>
            <w:r/>
            <w:r>
              <w:rPr>
                <w:b w:val="0"/>
                <w:sz w:val="16"/>
              </w:rPr>
              <w:t>16.5</w:t>
            </w:r>
          </w:p>
        </w:tc>
      </w:tr>
    </w:tbl>
    <w:p>
      <w:pPr>
        <w:spacing w:after="120"/>
        <w:ind w:left="216" w:right="216"/>
      </w:pPr>
      <w:r>
        <w:rPr>
          <w:b/>
          <w:sz w:val="16"/>
        </w:rPr>
        <w:t xml:space="preserve">Source note: </w:t>
      </w:r>
      <w:r>
        <w:rPr>
          <w:sz w:val="16"/>
        </w:rPr>
        <w:t>Data summarized from Herrera-Guzman et al., RSC Advances, 2025, Table 9 and abstract: Pd/bentonite achieved iodine values near 70 under 550 psi H2 at 25-70 C; Table 9 compares Pd, Ni and Pt-based supported catalysts.</w:t>
      </w:r>
    </w:p>
    <w:p>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figure1_iv_reduction_comparison.png"/>
                    <pic:cNvPicPr/>
                  </pic:nvPicPr>
                  <pic:blipFill>
                    <a:blip r:embed="rId10"/>
                    <a:stretch>
                      <a:fillRect/>
                    </a:stretch>
                  </pic:blipFill>
                  <pic:spPr>
                    <a:xfrm>
                      <a:off x="0" y="0"/>
                      <a:ext cx="6217920" cy="3730752"/>
                    </a:xfrm>
                    <a:prstGeom prst="rect"/>
                  </pic:spPr>
                </pic:pic>
              </a:graphicData>
            </a:graphic>
          </wp:inline>
        </w:drawing>
      </w:r>
    </w:p>
    <w:p>
      <w:pPr>
        <w:pStyle w:val="Caption"/>
        <w:jc w:val="center"/>
      </w:pPr>
      <w:r>
        <w:rPr>
          <w:i/>
          <w:sz w:val="18"/>
        </w:rPr>
        <w:t>Figure 2. IV reduction reported for supported metal catalysts. Larger IV decrease means stronger reduction of unsaturation.</w:t>
      </w:r>
    </w:p>
    <w:p>
      <w:r>
        <w:drawing>
          <wp:inline xmlns:a="http://schemas.openxmlformats.org/drawingml/2006/main" xmlns:pic="http://schemas.openxmlformats.org/drawingml/2006/picture">
            <wp:extent cx="5852160" cy="3735185"/>
            <wp:docPr id="3" name="Picture 3"/>
            <wp:cNvGraphicFramePr>
              <a:graphicFrameLocks noChangeAspect="1"/>
            </wp:cNvGraphicFramePr>
            <a:graphic>
              <a:graphicData uri="http://schemas.openxmlformats.org/drawingml/2006/picture">
                <pic:pic>
                  <pic:nvPicPr>
                    <pic:cNvPr id="0" name="figure2_trans_vs_final_iv.png"/>
                    <pic:cNvPicPr/>
                  </pic:nvPicPr>
                  <pic:blipFill>
                    <a:blip r:embed="rId11"/>
                    <a:stretch>
                      <a:fillRect/>
                    </a:stretch>
                  </pic:blipFill>
                  <pic:spPr>
                    <a:xfrm>
                      <a:off x="0" y="0"/>
                      <a:ext cx="5852160" cy="3735185"/>
                    </a:xfrm>
                    <a:prstGeom prst="rect"/>
                  </pic:spPr>
                </pic:pic>
              </a:graphicData>
            </a:graphic>
          </wp:inline>
        </w:drawing>
      </w:r>
    </w:p>
    <w:p>
      <w:pPr>
        <w:pStyle w:val="Caption"/>
        <w:jc w:val="center"/>
      </w:pPr>
      <w:r>
        <w:rPr>
          <w:i/>
          <w:sz w:val="18"/>
        </w:rPr>
        <w:t>Figure 3. Final IV versus trans-fat formation. Lower IV is not automatically better if edible-oil quality is important.</w:t>
      </w:r>
    </w:p>
    <w:p>
      <w:pPr>
        <w:pStyle w:val="Heading1"/>
      </w:pPr>
      <w:r>
        <w:t>5. Which Nanoparticle Catalyst Should Be Used?</w:t>
      </w:r>
    </w:p>
    <w:tbl>
      <w:tblPr>
        <w:tblStyle w:val="TableGrid"/>
        <w:tblW w:type="auto" w:w="0"/>
        <w:jc w:val="center"/>
        <w:tblLook w:firstColumn="1" w:firstRow="1" w:lastColumn="0" w:lastRow="0" w:noHBand="0" w:noVBand="1" w:val="04A0"/>
      </w:tblPr>
      <w:tblGrid>
        <w:gridCol w:w="2520"/>
        <w:gridCol w:w="2520"/>
        <w:gridCol w:w="2520"/>
        <w:gridCol w:w="2520"/>
      </w:tblGrid>
      <w:tr>
        <w:trPr>
          <w:cantSplit/>
          <w:cantSplit/>
        </w:trPr>
        <w:tc>
          <w:tcPr>
            <w:tcW w:type="dxa" w:w="2520"/>
            <w:vAlign w:val="center"/>
            <w:shd w:fill="FFF1CC"/>
          </w:tcPr>
          <w:p>
            <w:r/>
            <w:r>
              <w:rPr>
                <w:b/>
                <w:sz w:val="16"/>
              </w:rPr>
              <w:t>Catalyst family</w:t>
            </w:r>
          </w:p>
        </w:tc>
        <w:tc>
          <w:tcPr>
            <w:tcW w:type="dxa" w:w="2520"/>
            <w:vAlign w:val="center"/>
            <w:shd w:fill="FFF1CC"/>
          </w:tcPr>
          <w:p>
            <w:r/>
            <w:r>
              <w:rPr>
                <w:b/>
                <w:sz w:val="16"/>
              </w:rPr>
              <w:t>Advantages</w:t>
            </w:r>
          </w:p>
        </w:tc>
        <w:tc>
          <w:tcPr>
            <w:tcW w:type="dxa" w:w="2520"/>
            <w:vAlign w:val="center"/>
            <w:shd w:fill="FFF1CC"/>
          </w:tcPr>
          <w:p>
            <w:r/>
            <w:r>
              <w:rPr>
                <w:b/>
                <w:sz w:val="16"/>
              </w:rPr>
              <w:t>Main risks</w:t>
            </w:r>
          </w:p>
        </w:tc>
        <w:tc>
          <w:tcPr>
            <w:tcW w:type="dxa" w:w="2520"/>
            <w:vAlign w:val="center"/>
            <w:shd w:fill="FFF1CC"/>
          </w:tcPr>
          <w:p>
            <w:r/>
            <w:r>
              <w:rPr>
                <w:b/>
                <w:sz w:val="16"/>
              </w:rPr>
              <w:t>Recommended use</w:t>
            </w:r>
          </w:p>
        </w:tc>
      </w:tr>
      <w:tr>
        <w:trPr>
          <w:cantSplit/>
        </w:trPr>
        <w:tc>
          <w:tcPr>
            <w:tcW w:type="dxa" w:w="2520"/>
            <w:vAlign w:val="center"/>
          </w:tcPr>
          <w:p>
            <w:r/>
            <w:r>
              <w:rPr>
                <w:b w:val="0"/>
                <w:sz w:val="16"/>
              </w:rPr>
              <w:t>Ni nanoparticles / supported Ni</w:t>
            </w:r>
          </w:p>
        </w:tc>
        <w:tc>
          <w:tcPr>
            <w:tcW w:type="dxa" w:w="2520"/>
            <w:vAlign w:val="center"/>
          </w:tcPr>
          <w:p>
            <w:r/>
            <w:r>
              <w:rPr>
                <w:b w:val="0"/>
                <w:sz w:val="16"/>
              </w:rPr>
              <w:t>Low cost, industrially proven, high activity at 120-180 C</w:t>
            </w:r>
          </w:p>
        </w:tc>
        <w:tc>
          <w:tcPr>
            <w:tcW w:type="dxa" w:w="2520"/>
            <w:vAlign w:val="center"/>
          </w:tcPr>
          <w:p>
            <w:r/>
            <w:r>
              <w:rPr>
                <w:b w:val="0"/>
                <w:sz w:val="16"/>
              </w:rPr>
              <w:t>Trans-fat formation, Ni residue, catalyst deactivation, possible soap formation</w:t>
            </w:r>
          </w:p>
        </w:tc>
        <w:tc>
          <w:tcPr>
            <w:tcW w:type="dxa" w:w="2520"/>
            <w:vAlign w:val="center"/>
          </w:tcPr>
          <w:p>
            <w:r/>
            <w:r>
              <w:rPr>
                <w:b w:val="0"/>
                <w:sz w:val="16"/>
              </w:rPr>
              <w:t>Industrial hardening, biodiesel stabilization, non-food oils, cost-sensitive systems</w:t>
            </w:r>
          </w:p>
        </w:tc>
      </w:tr>
      <w:tr>
        <w:trPr>
          <w:cantSplit/>
        </w:trPr>
        <w:tc>
          <w:tcPr>
            <w:tcW w:type="dxa" w:w="2520"/>
            <w:vAlign w:val="center"/>
          </w:tcPr>
          <w:p>
            <w:r/>
            <w:r>
              <w:rPr>
                <w:b w:val="0"/>
                <w:sz w:val="16"/>
              </w:rPr>
              <w:t>Pd nanoparticles / supported Pd</w:t>
            </w:r>
          </w:p>
        </w:tc>
        <w:tc>
          <w:tcPr>
            <w:tcW w:type="dxa" w:w="2520"/>
            <w:vAlign w:val="center"/>
          </w:tcPr>
          <w:p>
            <w:r/>
            <w:r>
              <w:rPr>
                <w:b w:val="0"/>
                <w:sz w:val="16"/>
              </w:rPr>
              <w:t>High activity, can work at lower temperature, often more tunable</w:t>
            </w:r>
          </w:p>
        </w:tc>
        <w:tc>
          <w:tcPr>
            <w:tcW w:type="dxa" w:w="2520"/>
            <w:vAlign w:val="center"/>
          </w:tcPr>
          <w:p>
            <w:r/>
            <w:r>
              <w:rPr>
                <w:b w:val="0"/>
                <w:sz w:val="16"/>
              </w:rPr>
              <w:t>Expensive, can over-hydrogenate, pressure may still be high</w:t>
            </w:r>
          </w:p>
        </w:tc>
        <w:tc>
          <w:tcPr>
            <w:tcW w:type="dxa" w:w="2520"/>
            <w:vAlign w:val="center"/>
          </w:tcPr>
          <w:p>
            <w:r/>
            <w:r>
              <w:rPr>
                <w:b w:val="0"/>
                <w:sz w:val="16"/>
              </w:rPr>
              <w:t>Mild partial hydrogenation, research, selective processes</w:t>
            </w:r>
          </w:p>
        </w:tc>
      </w:tr>
      <w:tr>
        <w:trPr>
          <w:cantSplit/>
        </w:trPr>
        <w:tc>
          <w:tcPr>
            <w:tcW w:type="dxa" w:w="2520"/>
            <w:vAlign w:val="center"/>
          </w:tcPr>
          <w:p>
            <w:r/>
            <w:r>
              <w:rPr>
                <w:b w:val="0"/>
                <w:sz w:val="16"/>
              </w:rPr>
              <w:t>Pt or Ru nanoparticles</w:t>
            </w:r>
          </w:p>
        </w:tc>
        <w:tc>
          <w:tcPr>
            <w:tcW w:type="dxa" w:w="2520"/>
            <w:vAlign w:val="center"/>
          </w:tcPr>
          <w:p>
            <w:r/>
            <w:r>
              <w:rPr>
                <w:b w:val="0"/>
                <w:sz w:val="16"/>
              </w:rPr>
              <w:t>Very high H2 activation ability</w:t>
            </w:r>
          </w:p>
        </w:tc>
        <w:tc>
          <w:tcPr>
            <w:tcW w:type="dxa" w:w="2520"/>
            <w:vAlign w:val="center"/>
          </w:tcPr>
          <w:p>
            <w:r/>
            <w:r>
              <w:rPr>
                <w:b w:val="0"/>
                <w:sz w:val="16"/>
              </w:rPr>
              <w:t>Cost, over-hydrogenation, specialized handling</w:t>
            </w:r>
          </w:p>
        </w:tc>
        <w:tc>
          <w:tcPr>
            <w:tcW w:type="dxa" w:w="2520"/>
            <w:vAlign w:val="center"/>
          </w:tcPr>
          <w:p>
            <w:r/>
            <w:r>
              <w:rPr>
                <w:b w:val="0"/>
                <w:sz w:val="16"/>
              </w:rPr>
              <w:t>Laboratory screening or high-value products</w:t>
            </w:r>
          </w:p>
        </w:tc>
      </w:tr>
      <w:tr>
        <w:trPr>
          <w:cantSplit/>
        </w:trPr>
        <w:tc>
          <w:tcPr>
            <w:tcW w:type="dxa" w:w="2520"/>
            <w:vAlign w:val="center"/>
          </w:tcPr>
          <w:p>
            <w:r/>
            <w:r>
              <w:rPr>
                <w:b w:val="0"/>
                <w:sz w:val="16"/>
              </w:rPr>
              <w:t>Bimetallic systems, e.g. Pd-Ru, Ni-Cu, Ni-Ag</w:t>
            </w:r>
          </w:p>
        </w:tc>
        <w:tc>
          <w:tcPr>
            <w:tcW w:type="dxa" w:w="2520"/>
            <w:vAlign w:val="center"/>
          </w:tcPr>
          <w:p>
            <w:r/>
            <w:r>
              <w:rPr>
                <w:b w:val="0"/>
                <w:sz w:val="16"/>
              </w:rPr>
              <w:t>Can tune selectivity, activity and trans-fat tendency</w:t>
            </w:r>
          </w:p>
        </w:tc>
        <w:tc>
          <w:tcPr>
            <w:tcW w:type="dxa" w:w="2520"/>
            <w:vAlign w:val="center"/>
          </w:tcPr>
          <w:p>
            <w:r/>
            <w:r>
              <w:rPr>
                <w:b w:val="0"/>
                <w:sz w:val="16"/>
              </w:rPr>
              <w:t>More complex preparation and scale-up</w:t>
            </w:r>
          </w:p>
        </w:tc>
        <w:tc>
          <w:tcPr>
            <w:tcW w:type="dxa" w:w="2520"/>
            <w:vAlign w:val="center"/>
          </w:tcPr>
          <w:p>
            <w:r/>
            <w:r>
              <w:rPr>
                <w:b w:val="0"/>
                <w:sz w:val="16"/>
              </w:rPr>
              <w:t>Optimization when selectivity matters</w:t>
            </w:r>
          </w:p>
        </w:tc>
      </w:tr>
      <w:tr>
        <w:trPr>
          <w:cantSplit/>
        </w:trPr>
        <w:tc>
          <w:tcPr>
            <w:tcW w:type="dxa" w:w="2520"/>
            <w:vAlign w:val="center"/>
          </w:tcPr>
          <w:p>
            <w:r/>
            <w:r>
              <w:rPr>
                <w:b w:val="0"/>
                <w:sz w:val="16"/>
              </w:rPr>
              <w:t>Magnetic supported catalysts, e.g. Fe3O4-based supports</w:t>
            </w:r>
          </w:p>
        </w:tc>
        <w:tc>
          <w:tcPr>
            <w:tcW w:type="dxa" w:w="2520"/>
            <w:vAlign w:val="center"/>
          </w:tcPr>
          <w:p>
            <w:r/>
            <w:r>
              <w:rPr>
                <w:b w:val="0"/>
                <w:sz w:val="16"/>
              </w:rPr>
              <w:t>Easier recovery by magnet, good for lab recycling</w:t>
            </w:r>
          </w:p>
        </w:tc>
        <w:tc>
          <w:tcPr>
            <w:tcW w:type="dxa" w:w="2520"/>
            <w:vAlign w:val="center"/>
          </w:tcPr>
          <w:p>
            <w:r/>
            <w:r>
              <w:rPr>
                <w:b w:val="0"/>
                <w:sz w:val="16"/>
              </w:rPr>
              <w:t>Support leaching/compatibility must be tested</w:t>
            </w:r>
          </w:p>
        </w:tc>
        <w:tc>
          <w:tcPr>
            <w:tcW w:type="dxa" w:w="2520"/>
            <w:vAlign w:val="center"/>
          </w:tcPr>
          <w:p>
            <w:r/>
            <w:r>
              <w:rPr>
                <w:b w:val="0"/>
                <w:sz w:val="16"/>
              </w:rPr>
              <w:t>Reusable catalyst development</w:t>
            </w:r>
          </w:p>
        </w:tc>
      </w:tr>
    </w:tbl>
    <w:p>
      <w:r>
        <w:rPr>
          <w:b/>
        </w:rPr>
        <w:t xml:space="preserve">Best practical starting point: </w:t>
      </w:r>
      <w:r>
        <w:t>For most engineering trials, start with supported Ni if cost and strong IV reduction matter, or supported Pd if mild temperature and selectivity matter. Do not use free unsupported nanoparticles in a production oil unless you have a proven separation and residue-control method; supported catalysts are safer and easier to filter.</w:t>
      </w:r>
    </w:p>
    <w:p>
      <w:r>
        <w:br w:type="page"/>
      </w:r>
    </w:p>
    <w:p>
      <w:pPr>
        <w:pStyle w:val="Heading1"/>
      </w:pPr>
      <w:r>
        <w:t>6. How to Maximize Reduction of Unsaturation</w:t>
      </w:r>
    </w:p>
    <w:p>
      <w:r>
        <w:t>Maximizing hydrogenation is a balance between chemical conversion and product quality. Increasing temperature, H2 pressure, catalyst loading, metal dispersion, agitation and reaction time generally lowers IV faster, but can also increase saturated fatty acids, trans isomers, catalyst deactivation and metal contamination.</w:t>
      </w:r>
    </w:p>
    <w:tbl>
      <w:tblPr>
        <w:tblStyle w:val="TableGrid"/>
        <w:tblW w:type="auto" w:w="0"/>
        <w:jc w:val="center"/>
        <w:tblLook w:firstColumn="1" w:firstRow="1" w:lastColumn="0" w:lastRow="0" w:noHBand="0" w:noVBand="1" w:val="04A0"/>
      </w:tblPr>
      <w:tblGrid>
        <w:gridCol w:w="2520"/>
        <w:gridCol w:w="2520"/>
        <w:gridCol w:w="2520"/>
        <w:gridCol w:w="2520"/>
      </w:tblGrid>
      <w:tr>
        <w:trPr>
          <w:cantSplit/>
          <w:cantSplit/>
        </w:trPr>
        <w:tc>
          <w:tcPr>
            <w:tcW w:type="dxa" w:w="2520"/>
            <w:vAlign w:val="center"/>
            <w:shd w:fill="EADCF8"/>
          </w:tcPr>
          <w:p>
            <w:r/>
            <w:r>
              <w:rPr>
                <w:b/>
                <w:sz w:val="16"/>
              </w:rPr>
              <w:t>Parameter</w:t>
            </w:r>
          </w:p>
        </w:tc>
        <w:tc>
          <w:tcPr>
            <w:tcW w:type="dxa" w:w="2520"/>
            <w:vAlign w:val="center"/>
            <w:shd w:fill="EADCF8"/>
          </w:tcPr>
          <w:p>
            <w:r/>
            <w:r>
              <w:rPr>
                <w:b/>
                <w:sz w:val="16"/>
              </w:rPr>
              <w:t>Effect on IV reduction</w:t>
            </w:r>
          </w:p>
        </w:tc>
        <w:tc>
          <w:tcPr>
            <w:tcW w:type="dxa" w:w="2520"/>
            <w:vAlign w:val="center"/>
            <w:shd w:fill="EADCF8"/>
          </w:tcPr>
          <w:p>
            <w:r/>
            <w:r>
              <w:rPr>
                <w:b/>
                <w:sz w:val="16"/>
              </w:rPr>
              <w:t>Risk if too high</w:t>
            </w:r>
          </w:p>
        </w:tc>
        <w:tc>
          <w:tcPr>
            <w:tcW w:type="dxa" w:w="2520"/>
            <w:vAlign w:val="center"/>
            <w:shd w:fill="EADCF8"/>
          </w:tcPr>
          <w:p>
            <w:r/>
            <w:r>
              <w:rPr>
                <w:b/>
                <w:sz w:val="16"/>
              </w:rPr>
              <w:t>Recommended control</w:t>
            </w:r>
          </w:p>
        </w:tc>
      </w:tr>
      <w:tr>
        <w:trPr>
          <w:cantSplit/>
        </w:trPr>
        <w:tc>
          <w:tcPr>
            <w:tcW w:type="dxa" w:w="2520"/>
            <w:vAlign w:val="center"/>
          </w:tcPr>
          <w:p>
            <w:r/>
            <w:r>
              <w:rPr>
                <w:b w:val="0"/>
                <w:sz w:val="16"/>
              </w:rPr>
              <w:t>Catalyst loading</w:t>
            </w:r>
          </w:p>
        </w:tc>
        <w:tc>
          <w:tcPr>
            <w:tcW w:type="dxa" w:w="2520"/>
            <w:vAlign w:val="center"/>
          </w:tcPr>
          <w:p>
            <w:r/>
            <w:r>
              <w:rPr>
                <w:b w:val="0"/>
                <w:sz w:val="16"/>
              </w:rPr>
              <w:t>More active sites and faster IV decline</w:t>
            </w:r>
          </w:p>
        </w:tc>
        <w:tc>
          <w:tcPr>
            <w:tcW w:type="dxa" w:w="2520"/>
            <w:vAlign w:val="center"/>
          </w:tcPr>
          <w:p>
            <w:r/>
            <w:r>
              <w:rPr>
                <w:b w:val="0"/>
                <w:sz w:val="16"/>
              </w:rPr>
              <w:t>More metal residue, filtration load, possible selectivity loss</w:t>
            </w:r>
          </w:p>
        </w:tc>
        <w:tc>
          <w:tcPr>
            <w:tcW w:type="dxa" w:w="2520"/>
            <w:vAlign w:val="center"/>
          </w:tcPr>
          <w:p>
            <w:r/>
            <w:r>
              <w:rPr>
                <w:b w:val="0"/>
                <w:sz w:val="16"/>
              </w:rPr>
              <w:t>Screen 0.05-0.5 wt% active Ni or 0.01-0.1 wt% Pd relative to oil for lab trials</w:t>
            </w:r>
          </w:p>
        </w:tc>
      </w:tr>
      <w:tr>
        <w:trPr>
          <w:cantSplit/>
        </w:trPr>
        <w:tc>
          <w:tcPr>
            <w:tcW w:type="dxa" w:w="2520"/>
            <w:vAlign w:val="center"/>
          </w:tcPr>
          <w:p>
            <w:r/>
            <w:r>
              <w:rPr>
                <w:b w:val="0"/>
                <w:sz w:val="16"/>
              </w:rPr>
              <w:t>Temperature</w:t>
            </w:r>
          </w:p>
        </w:tc>
        <w:tc>
          <w:tcPr>
            <w:tcW w:type="dxa" w:w="2520"/>
            <w:vAlign w:val="center"/>
          </w:tcPr>
          <w:p>
            <w:r/>
            <w:r>
              <w:rPr>
                <w:b w:val="0"/>
                <w:sz w:val="16"/>
              </w:rPr>
              <w:t>Faster H2 addition and lower viscosity</w:t>
            </w:r>
          </w:p>
        </w:tc>
        <w:tc>
          <w:tcPr>
            <w:tcW w:type="dxa" w:w="2520"/>
            <w:vAlign w:val="center"/>
          </w:tcPr>
          <w:p>
            <w:r/>
            <w:r>
              <w:rPr>
                <w:b w:val="0"/>
                <w:sz w:val="16"/>
              </w:rPr>
              <w:t>More trans-isomerization and thermal degradation</w:t>
            </w:r>
          </w:p>
        </w:tc>
        <w:tc>
          <w:tcPr>
            <w:tcW w:type="dxa" w:w="2520"/>
            <w:vAlign w:val="center"/>
          </w:tcPr>
          <w:p>
            <w:r/>
            <w:r>
              <w:rPr>
                <w:b w:val="0"/>
                <w:sz w:val="16"/>
              </w:rPr>
              <w:t>Use lower temperature for edible oil; higher temperature for industrial full saturation</w:t>
            </w:r>
          </w:p>
        </w:tc>
      </w:tr>
      <w:tr>
        <w:trPr>
          <w:cantSplit/>
        </w:trPr>
        <w:tc>
          <w:tcPr>
            <w:tcW w:type="dxa" w:w="2520"/>
            <w:vAlign w:val="center"/>
          </w:tcPr>
          <w:p>
            <w:r/>
            <w:r>
              <w:rPr>
                <w:b w:val="0"/>
                <w:sz w:val="16"/>
              </w:rPr>
              <w:t>H2 pressure</w:t>
            </w:r>
          </w:p>
        </w:tc>
        <w:tc>
          <w:tcPr>
            <w:tcW w:type="dxa" w:w="2520"/>
            <w:vAlign w:val="center"/>
          </w:tcPr>
          <w:p>
            <w:r/>
            <w:r>
              <w:rPr>
                <w:b w:val="0"/>
                <w:sz w:val="16"/>
              </w:rPr>
              <w:t>Higher H2 availability at catalyst surface</w:t>
            </w:r>
          </w:p>
        </w:tc>
        <w:tc>
          <w:tcPr>
            <w:tcW w:type="dxa" w:w="2520"/>
            <w:vAlign w:val="center"/>
          </w:tcPr>
          <w:p>
            <w:r/>
            <w:r>
              <w:rPr>
                <w:b w:val="0"/>
                <w:sz w:val="16"/>
              </w:rPr>
              <w:t>Equipment risk and over-hydrogenation</w:t>
            </w:r>
          </w:p>
        </w:tc>
        <w:tc>
          <w:tcPr>
            <w:tcW w:type="dxa" w:w="2520"/>
            <w:vAlign w:val="center"/>
          </w:tcPr>
          <w:p>
            <w:r/>
            <w:r>
              <w:rPr>
                <w:b w:val="0"/>
                <w:sz w:val="16"/>
              </w:rPr>
              <w:t>Keep enough pressure to avoid hydrogen-starved catalyst surface</w:t>
            </w:r>
          </w:p>
        </w:tc>
      </w:tr>
      <w:tr>
        <w:trPr>
          <w:cantSplit/>
        </w:trPr>
        <w:tc>
          <w:tcPr>
            <w:tcW w:type="dxa" w:w="2520"/>
            <w:vAlign w:val="center"/>
          </w:tcPr>
          <w:p>
            <w:r/>
            <w:r>
              <w:rPr>
                <w:b w:val="0"/>
                <w:sz w:val="16"/>
              </w:rPr>
              <w:t>Agitation</w:t>
            </w:r>
          </w:p>
        </w:tc>
        <w:tc>
          <w:tcPr>
            <w:tcW w:type="dxa" w:w="2520"/>
            <w:vAlign w:val="center"/>
          </w:tcPr>
          <w:p>
            <w:r/>
            <w:r>
              <w:rPr>
                <w:b w:val="0"/>
                <w:sz w:val="16"/>
              </w:rPr>
              <w:t>Improves gas-liquid-solid mass transfer</w:t>
            </w:r>
          </w:p>
        </w:tc>
        <w:tc>
          <w:tcPr>
            <w:tcW w:type="dxa" w:w="2520"/>
            <w:vAlign w:val="center"/>
          </w:tcPr>
          <w:p>
            <w:r/>
            <w:r>
              <w:rPr>
                <w:b w:val="0"/>
                <w:sz w:val="16"/>
              </w:rPr>
              <w:t>Foaming or vortexing if excessive</w:t>
            </w:r>
          </w:p>
        </w:tc>
        <w:tc>
          <w:tcPr>
            <w:tcW w:type="dxa" w:w="2520"/>
            <w:vAlign w:val="center"/>
          </w:tcPr>
          <w:p>
            <w:r/>
            <w:r>
              <w:rPr>
                <w:b w:val="0"/>
                <w:sz w:val="16"/>
              </w:rPr>
              <w:t>Maintain catalyst suspension and good gas dispersion</w:t>
            </w:r>
          </w:p>
        </w:tc>
      </w:tr>
      <w:tr>
        <w:trPr>
          <w:cantSplit/>
        </w:trPr>
        <w:tc>
          <w:tcPr>
            <w:tcW w:type="dxa" w:w="2520"/>
            <w:vAlign w:val="center"/>
          </w:tcPr>
          <w:p>
            <w:r/>
            <w:r>
              <w:rPr>
                <w:b w:val="0"/>
                <w:sz w:val="16"/>
              </w:rPr>
              <w:t>Oil purification</w:t>
            </w:r>
          </w:p>
        </w:tc>
        <w:tc>
          <w:tcPr>
            <w:tcW w:type="dxa" w:w="2520"/>
            <w:vAlign w:val="center"/>
          </w:tcPr>
          <w:p>
            <w:r/>
            <w:r>
              <w:rPr>
                <w:b w:val="0"/>
                <w:sz w:val="16"/>
              </w:rPr>
              <w:t>Reduces catalyst poisoning</w:t>
            </w:r>
          </w:p>
        </w:tc>
        <w:tc>
          <w:tcPr>
            <w:tcW w:type="dxa" w:w="2520"/>
            <w:vAlign w:val="center"/>
          </w:tcPr>
          <w:p>
            <w:r/>
            <w:r>
              <w:rPr>
                <w:b w:val="0"/>
                <w:sz w:val="16"/>
              </w:rPr>
              <w:t>Extra pre-treatment cost</w:t>
            </w:r>
          </w:p>
        </w:tc>
        <w:tc>
          <w:tcPr>
            <w:tcW w:type="dxa" w:w="2520"/>
            <w:vAlign w:val="center"/>
          </w:tcPr>
          <w:p>
            <w:r/>
            <w:r>
              <w:rPr>
                <w:b w:val="0"/>
                <w:sz w:val="16"/>
              </w:rPr>
              <w:t>Dry, degum and remove soaps, sulfur/phosphorus impurities and water</w:t>
            </w:r>
          </w:p>
        </w:tc>
      </w:tr>
      <w:tr>
        <w:trPr>
          <w:cantSplit/>
        </w:trPr>
        <w:tc>
          <w:tcPr>
            <w:tcW w:type="dxa" w:w="2520"/>
            <w:vAlign w:val="center"/>
          </w:tcPr>
          <w:p>
            <w:r/>
            <w:r>
              <w:rPr>
                <w:b w:val="0"/>
                <w:sz w:val="16"/>
              </w:rPr>
              <w:t>Reaction time</w:t>
            </w:r>
          </w:p>
        </w:tc>
        <w:tc>
          <w:tcPr>
            <w:tcW w:type="dxa" w:w="2520"/>
            <w:vAlign w:val="center"/>
          </w:tcPr>
          <w:p>
            <w:r/>
            <w:r>
              <w:rPr>
                <w:b w:val="0"/>
                <w:sz w:val="16"/>
              </w:rPr>
              <w:t>Directly lowers IV</w:t>
            </w:r>
          </w:p>
        </w:tc>
        <w:tc>
          <w:tcPr>
            <w:tcW w:type="dxa" w:w="2520"/>
            <w:vAlign w:val="center"/>
          </w:tcPr>
          <w:p>
            <w:r/>
            <w:r>
              <w:rPr>
                <w:b w:val="0"/>
                <w:sz w:val="16"/>
              </w:rPr>
              <w:t>Over-hydrogenation and more SFA</w:t>
            </w:r>
          </w:p>
        </w:tc>
        <w:tc>
          <w:tcPr>
            <w:tcW w:type="dxa" w:w="2520"/>
            <w:vAlign w:val="center"/>
          </w:tcPr>
          <w:p>
            <w:r/>
            <w:r>
              <w:rPr>
                <w:b w:val="0"/>
                <w:sz w:val="16"/>
              </w:rPr>
              <w:t>Stop by IV endpoint, not by fixed time only</w:t>
            </w:r>
          </w:p>
        </w:tc>
      </w:tr>
    </w:tbl>
    <w:p>
      <w:r>
        <w:drawing>
          <wp:inline xmlns:a="http://schemas.openxmlformats.org/drawingml/2006/main" xmlns:pic="http://schemas.openxmlformats.org/drawingml/2006/picture">
            <wp:extent cx="5394960" cy="3499434"/>
            <wp:docPr id="4" name="Picture 4"/>
            <wp:cNvGraphicFramePr>
              <a:graphicFrameLocks noChangeAspect="1"/>
            </wp:cNvGraphicFramePr>
            <a:graphic>
              <a:graphicData uri="http://schemas.openxmlformats.org/drawingml/2006/picture">
                <pic:pic>
                  <pic:nvPicPr>
                    <pic:cNvPr id="0" name="figure4_optimization_window.png"/>
                    <pic:cNvPicPr/>
                  </pic:nvPicPr>
                  <pic:blipFill>
                    <a:blip r:embed="rId12"/>
                    <a:stretch>
                      <a:fillRect/>
                    </a:stretch>
                  </pic:blipFill>
                  <pic:spPr>
                    <a:xfrm>
                      <a:off x="0" y="0"/>
                      <a:ext cx="5394960" cy="3499434"/>
                    </a:xfrm>
                    <a:prstGeom prst="rect"/>
                  </pic:spPr>
                </pic:pic>
              </a:graphicData>
            </a:graphic>
          </wp:inline>
        </w:drawing>
      </w:r>
    </w:p>
    <w:p>
      <w:pPr>
        <w:pStyle w:val="Caption"/>
        <w:jc w:val="center"/>
      </w:pPr>
      <w:r>
        <w:rPr>
          <w:i/>
          <w:sz w:val="18"/>
        </w:rPr>
        <w:t>Figure 4. Practical optimization window. The best condition depends on the final application, not only on the lowest iodine value.</w:t>
      </w:r>
    </w:p>
    <w:p>
      <w:r>
        <w:br w:type="page"/>
      </w:r>
    </w:p>
    <w:p>
      <w:pPr>
        <w:pStyle w:val="Heading1"/>
      </w:pPr>
      <w:r>
        <w:t>7. Recommended Experimental Plan</w:t>
      </w:r>
    </w:p>
    <w:p>
      <w:r>
        <w:t>A small factorial experiment is recommended before scale-up. The response should not be only iodine value; it should include trans-fat content, saturated-fat content, catalyst residue, peroxide value, viscosity and melting/solid-fat behavior.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cantSplit/>
        </w:trPr>
        <w:tc>
          <w:tcPr>
            <w:tcW w:type="dxa" w:w="1440"/>
            <w:vAlign w:val="center"/>
            <w:shd w:fill="DDEBF7"/>
          </w:tcPr>
          <w:p>
            <w:r/>
            <w:r>
              <w:rPr>
                <w:b/>
                <w:sz w:val="16"/>
              </w:rPr>
              <w:t>Run</w:t>
            </w:r>
          </w:p>
        </w:tc>
        <w:tc>
          <w:tcPr>
            <w:tcW w:type="dxa" w:w="1440"/>
            <w:vAlign w:val="center"/>
            <w:shd w:fill="DDEBF7"/>
          </w:tcPr>
          <w:p>
            <w:r/>
            <w:r>
              <w:rPr>
                <w:b/>
                <w:sz w:val="16"/>
              </w:rPr>
              <w:t>Catalyst</w:t>
            </w:r>
          </w:p>
        </w:tc>
        <w:tc>
          <w:tcPr>
            <w:tcW w:type="dxa" w:w="1440"/>
            <w:vAlign w:val="center"/>
            <w:shd w:fill="DDEBF7"/>
          </w:tcPr>
          <w:p>
            <w:r/>
            <w:r>
              <w:rPr>
                <w:b/>
                <w:sz w:val="16"/>
              </w:rPr>
              <w:t>Active metal</w:t>
            </w:r>
          </w:p>
        </w:tc>
        <w:tc>
          <w:tcPr>
            <w:tcW w:type="dxa" w:w="1440"/>
            <w:vAlign w:val="center"/>
            <w:shd w:fill="DDEBF7"/>
          </w:tcPr>
          <w:p>
            <w:r/>
            <w:r>
              <w:rPr>
                <w:b/>
                <w:sz w:val="16"/>
              </w:rPr>
              <w:t>Temp. (C)</w:t>
            </w:r>
          </w:p>
        </w:tc>
        <w:tc>
          <w:tcPr>
            <w:tcW w:type="dxa" w:w="1440"/>
            <w:vAlign w:val="center"/>
            <w:shd w:fill="DDEBF7"/>
          </w:tcPr>
          <w:p>
            <w:r/>
            <w:r>
              <w:rPr>
                <w:b/>
                <w:sz w:val="16"/>
              </w:rPr>
              <w:t>H2 pressure</w:t>
            </w:r>
          </w:p>
        </w:tc>
        <w:tc>
          <w:tcPr>
            <w:tcW w:type="dxa" w:w="1440"/>
            <w:vAlign w:val="center"/>
            <w:shd w:fill="DDEBF7"/>
          </w:tcPr>
          <w:p>
            <w:r/>
            <w:r>
              <w:rPr>
                <w:b/>
                <w:sz w:val="16"/>
              </w:rPr>
              <w:t>Time</w:t>
            </w:r>
          </w:p>
        </w:tc>
        <w:tc>
          <w:tcPr>
            <w:tcW w:type="dxa" w:w="1440"/>
            <w:vAlign w:val="center"/>
            <w:shd w:fill="DDEBF7"/>
          </w:tcPr>
          <w:p>
            <w:r/>
            <w:r>
              <w:rPr>
                <w:b/>
                <w:sz w:val="16"/>
              </w:rPr>
              <w:t>Purpose</w:t>
            </w:r>
          </w:p>
        </w:tc>
      </w:tr>
      <w:tr>
        <w:trPr>
          <w:cantSplit/>
        </w:trPr>
        <w:tc>
          <w:tcPr>
            <w:tcW w:type="dxa" w:w="1440"/>
            <w:vAlign w:val="center"/>
          </w:tcPr>
          <w:p>
            <w:r/>
            <w:r>
              <w:rPr>
                <w:b w:val="0"/>
                <w:sz w:val="16"/>
              </w:rPr>
              <w:t>C0</w:t>
            </w:r>
          </w:p>
        </w:tc>
        <w:tc>
          <w:tcPr>
            <w:tcW w:type="dxa" w:w="1440"/>
            <w:vAlign w:val="center"/>
          </w:tcPr>
          <w:p>
            <w:r/>
            <w:r>
              <w:rPr>
                <w:b w:val="0"/>
                <w:sz w:val="16"/>
              </w:rPr>
              <w:t>No catalyst</w:t>
            </w:r>
          </w:p>
        </w:tc>
        <w:tc>
          <w:tcPr>
            <w:tcW w:type="dxa" w:w="1440"/>
            <w:vAlign w:val="center"/>
          </w:tcPr>
          <w:p>
            <w:r/>
            <w:r>
              <w:rPr>
                <w:b w:val="0"/>
                <w:sz w:val="16"/>
              </w:rPr>
              <w:t>0</w:t>
            </w:r>
          </w:p>
        </w:tc>
        <w:tc>
          <w:tcPr>
            <w:tcW w:type="dxa" w:w="1440"/>
            <w:vAlign w:val="center"/>
          </w:tcPr>
          <w:p>
            <w:r/>
            <w:r>
              <w:rPr>
                <w:b w:val="0"/>
                <w:sz w:val="16"/>
              </w:rPr>
              <w:t>same as trial</w:t>
            </w:r>
          </w:p>
        </w:tc>
        <w:tc>
          <w:tcPr>
            <w:tcW w:type="dxa" w:w="1440"/>
            <w:vAlign w:val="center"/>
          </w:tcPr>
          <w:p>
            <w:r/>
            <w:r>
              <w:rPr>
                <w:b w:val="0"/>
                <w:sz w:val="16"/>
              </w:rPr>
              <w:t>same</w:t>
            </w:r>
          </w:p>
        </w:tc>
        <w:tc>
          <w:tcPr>
            <w:tcW w:type="dxa" w:w="1440"/>
            <w:vAlign w:val="center"/>
          </w:tcPr>
          <w:p>
            <w:r/>
            <w:r>
              <w:rPr>
                <w:b w:val="0"/>
                <w:sz w:val="16"/>
              </w:rPr>
              <w:t>same</w:t>
            </w:r>
          </w:p>
        </w:tc>
        <w:tc>
          <w:tcPr>
            <w:tcW w:type="dxa" w:w="1440"/>
            <w:vAlign w:val="center"/>
          </w:tcPr>
          <w:p>
            <w:r/>
            <w:r>
              <w:rPr>
                <w:b w:val="0"/>
                <w:sz w:val="16"/>
              </w:rPr>
              <w:t>Check that H2 alone is insufficient under chosen conditions</w:t>
            </w:r>
          </w:p>
        </w:tc>
      </w:tr>
      <w:tr>
        <w:trPr>
          <w:cantSplit/>
        </w:trPr>
        <w:tc>
          <w:tcPr>
            <w:tcW w:type="dxa" w:w="1440"/>
            <w:vAlign w:val="center"/>
          </w:tcPr>
          <w:p>
            <w:r/>
            <w:r>
              <w:rPr>
                <w:b w:val="0"/>
                <w:sz w:val="16"/>
              </w:rPr>
              <w:t>N1</w:t>
            </w:r>
          </w:p>
        </w:tc>
        <w:tc>
          <w:tcPr>
            <w:tcW w:type="dxa" w:w="1440"/>
            <w:vAlign w:val="center"/>
          </w:tcPr>
          <w:p>
            <w:r/>
            <w:r>
              <w:rPr>
                <w:b w:val="0"/>
                <w:sz w:val="16"/>
              </w:rPr>
              <w:t>Ni/SiO2 or Ni/kieselguhr</w:t>
            </w:r>
          </w:p>
        </w:tc>
        <w:tc>
          <w:tcPr>
            <w:tcW w:type="dxa" w:w="1440"/>
            <w:vAlign w:val="center"/>
          </w:tcPr>
          <w:p>
            <w:r/>
            <w:r>
              <w:rPr>
                <w:b w:val="0"/>
                <w:sz w:val="16"/>
              </w:rPr>
              <w:t>0.05 wt% Ni</w:t>
            </w:r>
          </w:p>
        </w:tc>
        <w:tc>
          <w:tcPr>
            <w:tcW w:type="dxa" w:w="1440"/>
            <w:vAlign w:val="center"/>
          </w:tcPr>
          <w:p>
            <w:r/>
            <w:r>
              <w:rPr>
                <w:b w:val="0"/>
                <w:sz w:val="16"/>
              </w:rPr>
              <w:t>140-160</w:t>
            </w:r>
          </w:p>
        </w:tc>
        <w:tc>
          <w:tcPr>
            <w:tcW w:type="dxa" w:w="1440"/>
            <w:vAlign w:val="center"/>
          </w:tcPr>
          <w:p>
            <w:r/>
            <w:r>
              <w:rPr>
                <w:b w:val="0"/>
                <w:sz w:val="16"/>
              </w:rPr>
              <w:t>moderate</w:t>
            </w:r>
          </w:p>
        </w:tc>
        <w:tc>
          <w:tcPr>
            <w:tcW w:type="dxa" w:w="1440"/>
            <w:vAlign w:val="center"/>
          </w:tcPr>
          <w:p>
            <w:r/>
            <w:r>
              <w:rPr>
                <w:b w:val="0"/>
                <w:sz w:val="16"/>
              </w:rPr>
              <w:t>30-90 min</w:t>
            </w:r>
          </w:p>
        </w:tc>
        <w:tc>
          <w:tcPr>
            <w:tcW w:type="dxa" w:w="1440"/>
            <w:vAlign w:val="center"/>
          </w:tcPr>
          <w:p>
            <w:r/>
            <w:r>
              <w:rPr>
                <w:b w:val="0"/>
                <w:sz w:val="16"/>
              </w:rPr>
              <w:t>Mild Ni baseline</w:t>
            </w:r>
          </w:p>
        </w:tc>
      </w:tr>
      <w:tr>
        <w:trPr>
          <w:cantSplit/>
        </w:trPr>
        <w:tc>
          <w:tcPr>
            <w:tcW w:type="dxa" w:w="1440"/>
            <w:vAlign w:val="center"/>
          </w:tcPr>
          <w:p>
            <w:r/>
            <w:r>
              <w:rPr>
                <w:b w:val="0"/>
                <w:sz w:val="16"/>
              </w:rPr>
              <w:t>N2</w:t>
            </w:r>
          </w:p>
        </w:tc>
        <w:tc>
          <w:tcPr>
            <w:tcW w:type="dxa" w:w="1440"/>
            <w:vAlign w:val="center"/>
          </w:tcPr>
          <w:p>
            <w:r/>
            <w:r>
              <w:rPr>
                <w:b w:val="0"/>
                <w:sz w:val="16"/>
              </w:rPr>
              <w:t>Ni/SiO2 or Ni/kieselguhr</w:t>
            </w:r>
          </w:p>
        </w:tc>
        <w:tc>
          <w:tcPr>
            <w:tcW w:type="dxa" w:w="1440"/>
            <w:vAlign w:val="center"/>
          </w:tcPr>
          <w:p>
            <w:r/>
            <w:r>
              <w:rPr>
                <w:b w:val="0"/>
                <w:sz w:val="16"/>
              </w:rPr>
              <w:t>0.10-0.20 wt% Ni</w:t>
            </w:r>
          </w:p>
        </w:tc>
        <w:tc>
          <w:tcPr>
            <w:tcW w:type="dxa" w:w="1440"/>
            <w:vAlign w:val="center"/>
          </w:tcPr>
          <w:p>
            <w:r/>
            <w:r>
              <w:rPr>
                <w:b w:val="0"/>
                <w:sz w:val="16"/>
              </w:rPr>
              <w:t>160-180</w:t>
            </w:r>
          </w:p>
        </w:tc>
        <w:tc>
          <w:tcPr>
            <w:tcW w:type="dxa" w:w="1440"/>
            <w:vAlign w:val="center"/>
          </w:tcPr>
          <w:p>
            <w:r/>
            <w:r>
              <w:rPr>
                <w:b w:val="0"/>
                <w:sz w:val="16"/>
              </w:rPr>
              <w:t>moderate-high</w:t>
            </w:r>
          </w:p>
        </w:tc>
        <w:tc>
          <w:tcPr>
            <w:tcW w:type="dxa" w:w="1440"/>
            <w:vAlign w:val="center"/>
          </w:tcPr>
          <w:p>
            <w:r/>
            <w:r>
              <w:rPr>
                <w:b w:val="0"/>
                <w:sz w:val="16"/>
              </w:rPr>
              <w:t>30-120 min</w:t>
            </w:r>
          </w:p>
        </w:tc>
        <w:tc>
          <w:tcPr>
            <w:tcW w:type="dxa" w:w="1440"/>
            <w:vAlign w:val="center"/>
          </w:tcPr>
          <w:p>
            <w:r/>
            <w:r>
              <w:rPr>
                <w:b w:val="0"/>
                <w:sz w:val="16"/>
              </w:rPr>
              <w:t>Stronger IV decrease</w:t>
            </w:r>
          </w:p>
        </w:tc>
      </w:tr>
      <w:tr>
        <w:trPr>
          <w:cantSplit/>
        </w:trPr>
        <w:tc>
          <w:tcPr>
            <w:tcW w:type="dxa" w:w="1440"/>
            <w:vAlign w:val="center"/>
          </w:tcPr>
          <w:p>
            <w:r/>
            <w:r>
              <w:rPr>
                <w:b w:val="0"/>
                <w:sz w:val="16"/>
              </w:rPr>
              <w:t>P1</w:t>
            </w:r>
          </w:p>
        </w:tc>
        <w:tc>
          <w:tcPr>
            <w:tcW w:type="dxa" w:w="1440"/>
            <w:vAlign w:val="center"/>
          </w:tcPr>
          <w:p>
            <w:r/>
            <w:r>
              <w:rPr>
                <w:b w:val="0"/>
                <w:sz w:val="16"/>
              </w:rPr>
              <w:t>Pd/C, Pd/bentonite or Pd/Al2O3</w:t>
            </w:r>
          </w:p>
        </w:tc>
        <w:tc>
          <w:tcPr>
            <w:tcW w:type="dxa" w:w="1440"/>
            <w:vAlign w:val="center"/>
          </w:tcPr>
          <w:p>
            <w:r/>
            <w:r>
              <w:rPr>
                <w:b w:val="0"/>
                <w:sz w:val="16"/>
              </w:rPr>
              <w:t>0.01-0.05 wt% Pd</w:t>
            </w:r>
          </w:p>
        </w:tc>
        <w:tc>
          <w:tcPr>
            <w:tcW w:type="dxa" w:w="1440"/>
            <w:vAlign w:val="center"/>
          </w:tcPr>
          <w:p>
            <w:r/>
            <w:r>
              <w:rPr>
                <w:b w:val="0"/>
                <w:sz w:val="16"/>
              </w:rPr>
              <w:t>50-100</w:t>
            </w:r>
          </w:p>
        </w:tc>
        <w:tc>
          <w:tcPr>
            <w:tcW w:type="dxa" w:w="1440"/>
            <w:vAlign w:val="center"/>
          </w:tcPr>
          <w:p>
            <w:r/>
            <w:r>
              <w:rPr>
                <w:b w:val="0"/>
                <w:sz w:val="16"/>
              </w:rPr>
              <w:t>moderate-high</w:t>
            </w:r>
          </w:p>
        </w:tc>
        <w:tc>
          <w:tcPr>
            <w:tcW w:type="dxa" w:w="1440"/>
            <w:vAlign w:val="center"/>
          </w:tcPr>
          <w:p>
            <w:r/>
            <w:r>
              <w:rPr>
                <w:b w:val="0"/>
                <w:sz w:val="16"/>
              </w:rPr>
              <w:t>30-120 min</w:t>
            </w:r>
          </w:p>
        </w:tc>
        <w:tc>
          <w:tcPr>
            <w:tcW w:type="dxa" w:w="1440"/>
            <w:vAlign w:val="center"/>
          </w:tcPr>
          <w:p>
            <w:r/>
            <w:r>
              <w:rPr>
                <w:b w:val="0"/>
                <w:sz w:val="16"/>
              </w:rPr>
              <w:t>Lower-temperature selective trial</w:t>
            </w:r>
          </w:p>
        </w:tc>
      </w:tr>
      <w:tr>
        <w:trPr>
          <w:cantSplit/>
        </w:trPr>
        <w:tc>
          <w:tcPr>
            <w:tcW w:type="dxa" w:w="1440"/>
            <w:vAlign w:val="center"/>
          </w:tcPr>
          <w:p>
            <w:r/>
            <w:r>
              <w:rPr>
                <w:b w:val="0"/>
                <w:sz w:val="16"/>
              </w:rPr>
              <w:t>B1</w:t>
            </w:r>
          </w:p>
        </w:tc>
        <w:tc>
          <w:tcPr>
            <w:tcW w:type="dxa" w:w="1440"/>
            <w:vAlign w:val="center"/>
          </w:tcPr>
          <w:p>
            <w:r/>
            <w:r>
              <w:rPr>
                <w:b w:val="0"/>
                <w:sz w:val="16"/>
              </w:rPr>
              <w:t>Pd-Ru or Ni-Cu system</w:t>
            </w:r>
          </w:p>
        </w:tc>
        <w:tc>
          <w:tcPr>
            <w:tcW w:type="dxa" w:w="1440"/>
            <w:vAlign w:val="center"/>
          </w:tcPr>
          <w:p>
            <w:r/>
            <w:r>
              <w:rPr>
                <w:b w:val="0"/>
                <w:sz w:val="16"/>
              </w:rPr>
              <w:t>same total metal as best run</w:t>
            </w:r>
          </w:p>
        </w:tc>
        <w:tc>
          <w:tcPr>
            <w:tcW w:type="dxa" w:w="1440"/>
            <w:vAlign w:val="center"/>
          </w:tcPr>
          <w:p>
            <w:r/>
            <w:r>
              <w:rPr>
                <w:b w:val="0"/>
                <w:sz w:val="16"/>
              </w:rPr>
              <w:t>optimized</w:t>
            </w:r>
          </w:p>
        </w:tc>
        <w:tc>
          <w:tcPr>
            <w:tcW w:type="dxa" w:w="1440"/>
            <w:vAlign w:val="center"/>
          </w:tcPr>
          <w:p>
            <w:r/>
            <w:r>
              <w:rPr>
                <w:b w:val="0"/>
                <w:sz w:val="16"/>
              </w:rPr>
              <w:t>optimized</w:t>
            </w:r>
          </w:p>
        </w:tc>
        <w:tc>
          <w:tcPr>
            <w:tcW w:type="dxa" w:w="1440"/>
            <w:vAlign w:val="center"/>
          </w:tcPr>
          <w:p>
            <w:r/>
            <w:r>
              <w:rPr>
                <w:b w:val="0"/>
                <w:sz w:val="16"/>
              </w:rPr>
              <w:t>endpoint</w:t>
            </w:r>
          </w:p>
        </w:tc>
        <w:tc>
          <w:tcPr>
            <w:tcW w:type="dxa" w:w="1440"/>
            <w:vAlign w:val="center"/>
          </w:tcPr>
          <w:p>
            <w:r/>
            <w:r>
              <w:rPr>
                <w:b w:val="0"/>
                <w:sz w:val="16"/>
              </w:rPr>
              <w:t>Selectivity tuning</w:t>
            </w:r>
          </w:p>
        </w:tc>
      </w:tr>
      <w:tr>
        <w:trPr>
          <w:cantSplit/>
        </w:trPr>
        <w:tc>
          <w:tcPr>
            <w:tcW w:type="dxa" w:w="1440"/>
            <w:vAlign w:val="center"/>
          </w:tcPr>
          <w:p>
            <w:r/>
            <w:r>
              <w:rPr>
                <w:b w:val="0"/>
                <w:sz w:val="16"/>
              </w:rPr>
              <w:t>Endpoint</w:t>
            </w:r>
          </w:p>
        </w:tc>
        <w:tc>
          <w:tcPr>
            <w:tcW w:type="dxa" w:w="1440"/>
            <w:vAlign w:val="center"/>
          </w:tcPr>
          <w:p>
            <w:r/>
            <w:r>
              <w:rPr>
                <w:b w:val="0"/>
                <w:sz w:val="16"/>
              </w:rPr>
              <w:t>Best catalyst</w:t>
            </w:r>
          </w:p>
        </w:tc>
        <w:tc>
          <w:tcPr>
            <w:tcW w:type="dxa" w:w="1440"/>
            <w:vAlign w:val="center"/>
          </w:tcPr>
          <w:p>
            <w:r/>
            <w:r>
              <w:rPr>
                <w:b w:val="0"/>
                <w:sz w:val="16"/>
              </w:rPr>
              <w:t>fixed</w:t>
            </w:r>
          </w:p>
        </w:tc>
        <w:tc>
          <w:tcPr>
            <w:tcW w:type="dxa" w:w="1440"/>
            <w:vAlign w:val="center"/>
          </w:tcPr>
          <w:p>
            <w:r/>
            <w:r>
              <w:rPr>
                <w:b w:val="0"/>
                <w:sz w:val="16"/>
              </w:rPr>
              <w:t>fixed</w:t>
            </w:r>
          </w:p>
        </w:tc>
        <w:tc>
          <w:tcPr>
            <w:tcW w:type="dxa" w:w="1440"/>
            <w:vAlign w:val="center"/>
          </w:tcPr>
          <w:p>
            <w:r/>
            <w:r>
              <w:rPr>
                <w:b w:val="0"/>
                <w:sz w:val="16"/>
              </w:rPr>
              <w:t>fixed</w:t>
            </w:r>
          </w:p>
        </w:tc>
        <w:tc>
          <w:tcPr>
            <w:tcW w:type="dxa" w:w="1440"/>
            <w:vAlign w:val="center"/>
          </w:tcPr>
          <w:p>
            <w:r/>
            <w:r>
              <w:rPr>
                <w:b w:val="0"/>
                <w:sz w:val="16"/>
              </w:rPr>
              <w:t>stop at IV target</w:t>
            </w:r>
          </w:p>
        </w:tc>
        <w:tc>
          <w:tcPr>
            <w:tcW w:type="dxa" w:w="1440"/>
            <w:vAlign w:val="center"/>
          </w:tcPr>
          <w:p>
            <w:r/>
            <w:r>
              <w:rPr>
                <w:b w:val="0"/>
                <w:sz w:val="16"/>
              </w:rPr>
              <w:t>Confirm reproducibility at target IV</w:t>
            </w:r>
          </w:p>
        </w:tc>
      </w:tr>
    </w:tbl>
    <w:p>
      <w:pPr>
        <w:pStyle w:val="Heading1"/>
      </w:pPr>
      <w:r>
        <w:t>8. Measurements Needed</w:t>
      </w:r>
    </w:p>
    <w:p>
      <w:pPr>
        <w:pStyle w:val="ListBullet"/>
      </w:pPr>
      <w:r>
        <w:rPr>
          <w:b/>
        </w:rPr>
        <w:t xml:space="preserve">Iodine value: </w:t>
      </w:r>
      <w:r>
        <w:t>Primary measure of unsaturation. Lower IV means fewer double bonds.</w:t>
      </w:r>
    </w:p>
    <w:p>
      <w:pPr>
        <w:pStyle w:val="ListBullet"/>
      </w:pPr>
      <w:r>
        <w:rPr>
          <w:b/>
        </w:rPr>
        <w:t xml:space="preserve">GC-FAME fatty acid profile: </w:t>
      </w:r>
      <w:r>
        <w:t>Quantifies oleic, linoleic, linolenic, stearic and trans isomers.</w:t>
      </w:r>
    </w:p>
    <w:p>
      <w:pPr>
        <w:pStyle w:val="ListBullet"/>
      </w:pPr>
      <w:r>
        <w:rPr>
          <w:b/>
        </w:rPr>
        <w:t xml:space="preserve">1H NMR: </w:t>
      </w:r>
      <w:r>
        <w:t>Tracks olefinic proton signals and can estimate unsaturation rapidly.</w:t>
      </w:r>
    </w:p>
    <w:p>
      <w:pPr>
        <w:pStyle w:val="ListBullet"/>
      </w:pPr>
      <w:r>
        <w:rPr>
          <w:b/>
        </w:rPr>
        <w:t xml:space="preserve">Peroxide value and oxidative stability: </w:t>
      </w:r>
      <w:r>
        <w:t>Confirms whether lower unsaturation improves oxidation resistance.</w:t>
      </w:r>
    </w:p>
    <w:p>
      <w:pPr>
        <w:pStyle w:val="ListBullet"/>
      </w:pPr>
      <w:r>
        <w:rPr>
          <w:b/>
        </w:rPr>
        <w:t xml:space="preserve">Metal residue, ICP-OES/ICP-MS: </w:t>
      </w:r>
      <w:r>
        <w:t>Verifies removal of Ni/Pd/Pt/Ru after filtration or bleaching.</w:t>
      </w:r>
    </w:p>
    <w:p>
      <w:pPr>
        <w:pStyle w:val="ListBullet"/>
      </w:pPr>
      <w:r>
        <w:rPr>
          <w:b/>
        </w:rPr>
        <w:t xml:space="preserve">Melting point, cloud point, viscosity: </w:t>
      </w:r>
      <w:r>
        <w:t>Important for practical oil behavior after hydrogenation.</w:t>
      </w:r>
    </w:p>
    <w:p>
      <w:pPr>
        <w:pStyle w:val="Heading1"/>
      </w:pPr>
      <w:r>
        <w:t>9. Safety and Practical Warnings</w:t>
      </w:r>
    </w:p>
    <w:p>
      <w:pPr>
        <w:pStyle w:val="ListBullet"/>
      </w:pPr>
      <w:r>
        <w:t>Hydrogen gas is flammable and explosive. Use proper pressure reactors, purge procedures, leak detection and ignition control.</w:t>
      </w:r>
    </w:p>
    <w:p>
      <w:pPr>
        <w:pStyle w:val="ListBullet"/>
      </w:pPr>
      <w:r>
        <w:t>Dry nickel catalysts can be pyrophoric; handle according to supplier procedures and never expose active catalyst carelessly to air.</w:t>
      </w:r>
    </w:p>
    <w:p>
      <w:pPr>
        <w:pStyle w:val="ListBullet"/>
      </w:pPr>
      <w:r>
        <w:t>Nickel residue is undesirable in edible oils and can be restricted by regulations; final oil must be filtered and tested.</w:t>
      </w:r>
    </w:p>
    <w:p>
      <w:pPr>
        <w:pStyle w:val="ListBullet"/>
      </w:pPr>
      <w:r>
        <w:t>For edible oils, partial hydrogenation can form trans fats. A low IV alone is not enough to claim a good food-grade product.</w:t>
      </w:r>
    </w:p>
    <w:p>
      <w:pPr>
        <w:pStyle w:val="ListBullet"/>
      </w:pPr>
      <w:r>
        <w:t>For industrial oils, trans content may be less critical, but oxidative stability, pour point, viscosity and catalyst contamination remain important.</w:t>
      </w:r>
    </w:p>
    <w:p>
      <w:pPr>
        <w:pStyle w:val="Heading1"/>
      </w:pPr>
      <w:r>
        <w:t>10. Literature Data Notes Used in This Paper</w:t>
      </w:r>
    </w:p>
    <w:p>
      <w:r>
        <w:t>This section is included as source notes rather than a separate reference list.</w:t>
      </w:r>
    </w:p>
    <w:tbl>
      <w:tblPr>
        <w:tblStyle w:val="TableGrid"/>
        <w:tblW w:type="auto" w:w="0"/>
        <w:jc w:val="center"/>
        <w:tblLook w:firstColumn="1" w:firstRow="1" w:lastColumn="0" w:lastRow="0" w:noHBand="0" w:noVBand="1" w:val="04A0"/>
      </w:tblPr>
      <w:tblGrid>
        <w:gridCol w:w="3360"/>
        <w:gridCol w:w="3360"/>
        <w:gridCol w:w="3360"/>
      </w:tblGrid>
      <w:tr>
        <w:trPr>
          <w:cantSplit/>
          <w:cantSplit/>
        </w:trPr>
        <w:tc>
          <w:tcPr>
            <w:tcW w:type="dxa" w:w="3360"/>
            <w:vAlign w:val="center"/>
            <w:shd w:fill="F2F2F2"/>
          </w:tcPr>
          <w:p>
            <w:r/>
            <w:r>
              <w:rPr>
                <w:b/>
                <w:sz w:val="16"/>
              </w:rPr>
              <w:t>Source</w:t>
            </w:r>
          </w:p>
        </w:tc>
        <w:tc>
          <w:tcPr>
            <w:tcW w:type="dxa" w:w="3360"/>
            <w:vAlign w:val="center"/>
            <w:shd w:fill="F2F2F2"/>
          </w:tcPr>
          <w:p>
            <w:r/>
            <w:r>
              <w:rPr>
                <w:b/>
                <w:sz w:val="16"/>
              </w:rPr>
              <w:t>Data or claim used</w:t>
            </w:r>
          </w:p>
        </w:tc>
        <w:tc>
          <w:tcPr>
            <w:tcW w:type="dxa" w:w="3360"/>
            <w:vAlign w:val="center"/>
            <w:shd w:fill="F2F2F2"/>
          </w:tcPr>
          <w:p>
            <w:r/>
            <w:r>
              <w:rPr>
                <w:b/>
                <w:sz w:val="16"/>
              </w:rPr>
              <w:t>Why it matters</w:t>
            </w:r>
          </w:p>
        </w:tc>
      </w:tr>
      <w:tr>
        <w:trPr>
          <w:cantSplit/>
        </w:trPr>
        <w:tc>
          <w:tcPr>
            <w:tcW w:type="dxa" w:w="3360"/>
            <w:vAlign w:val="center"/>
          </w:tcPr>
          <w:p>
            <w:r/>
            <w:r>
              <w:rPr>
                <w:b w:val="0"/>
                <w:sz w:val="16"/>
              </w:rPr>
              <w:t>Spiekermann &amp; Seidensticker, Catalysis Science &amp; Technology, 2024</w:t>
            </w:r>
          </w:p>
        </w:tc>
        <w:tc>
          <w:tcPr>
            <w:tcW w:type="dxa" w:w="3360"/>
            <w:vAlign w:val="center"/>
          </w:tcPr>
          <w:p>
            <w:r/>
            <w:r>
              <w:rPr>
                <w:b w:val="0"/>
                <w:sz w:val="16"/>
              </w:rPr>
              <w:t>Review of catalytic processes for selective hydrogenation of fats and oils; notes Ni as historically common and highlights selectivity/trans-fat issues.</w:t>
            </w:r>
          </w:p>
        </w:tc>
        <w:tc>
          <w:tcPr>
            <w:tcW w:type="dxa" w:w="3360"/>
            <w:vAlign w:val="center"/>
          </w:tcPr>
          <w:p>
            <w:r/>
            <w:r>
              <w:rPr>
                <w:b w:val="0"/>
                <w:sz w:val="16"/>
              </w:rPr>
              <w:t>Provides scientific background and industrial context.</w:t>
            </w:r>
          </w:p>
        </w:tc>
      </w:tr>
      <w:tr>
        <w:trPr>
          <w:cantSplit/>
        </w:trPr>
        <w:tc>
          <w:tcPr>
            <w:tcW w:type="dxa" w:w="3360"/>
            <w:vAlign w:val="center"/>
          </w:tcPr>
          <w:p>
            <w:r/>
            <w:r>
              <w:rPr>
                <w:b w:val="0"/>
                <w:sz w:val="16"/>
              </w:rPr>
              <w:t>Herrera-Guzman et al., RSC Advances, 2025</w:t>
            </w:r>
          </w:p>
        </w:tc>
        <w:tc>
          <w:tcPr>
            <w:tcW w:type="dxa" w:w="3360"/>
            <w:vAlign w:val="center"/>
          </w:tcPr>
          <w:p>
            <w:r/>
            <w:r>
              <w:rPr>
                <w:b w:val="0"/>
                <w:sz w:val="16"/>
              </w:rPr>
              <w:t>Pd/bentonite hydrogenation of soybean oil and comparison table of supported catalysts reaching IV near 70.</w:t>
            </w:r>
          </w:p>
        </w:tc>
        <w:tc>
          <w:tcPr>
            <w:tcW w:type="dxa" w:w="3360"/>
            <w:vAlign w:val="center"/>
          </w:tcPr>
          <w:p>
            <w:r/>
            <w:r>
              <w:rPr>
                <w:b w:val="0"/>
                <w:sz w:val="16"/>
              </w:rPr>
              <w:t>Provides real catalyst data used in Figures 2 and 3.</w:t>
            </w:r>
          </w:p>
        </w:tc>
      </w:tr>
      <w:tr>
        <w:trPr>
          <w:cantSplit/>
        </w:trPr>
        <w:tc>
          <w:tcPr>
            <w:tcW w:type="dxa" w:w="3360"/>
            <w:vAlign w:val="center"/>
          </w:tcPr>
          <w:p>
            <w:r/>
            <w:r>
              <w:rPr>
                <w:b w:val="0"/>
                <w:sz w:val="16"/>
              </w:rPr>
              <w:t>Gabrovska et al., International Journal of Molecular Sciences, 2024</w:t>
            </w:r>
          </w:p>
        </w:tc>
        <w:tc>
          <w:tcPr>
            <w:tcW w:type="dxa" w:w="3360"/>
            <w:vAlign w:val="center"/>
          </w:tcPr>
          <w:p>
            <w:r/>
            <w:r>
              <w:rPr>
                <w:b w:val="0"/>
                <w:sz w:val="16"/>
              </w:rPr>
              <w:t>Ni/SiO2 catalyst activation by reduction to metallic Ni and the importance of Ni surface area/dispersion.</w:t>
            </w:r>
          </w:p>
        </w:tc>
        <w:tc>
          <w:tcPr>
            <w:tcW w:type="dxa" w:w="3360"/>
            <w:vAlign w:val="center"/>
          </w:tcPr>
          <w:p>
            <w:r/>
            <w:r>
              <w:rPr>
                <w:b w:val="0"/>
                <w:sz w:val="16"/>
              </w:rPr>
              <w:t>Supports catalyst-selection and activation discussion.</w:t>
            </w:r>
          </w:p>
        </w:tc>
      </w:tr>
      <w:tr>
        <w:trPr>
          <w:cantSplit/>
        </w:trPr>
        <w:tc>
          <w:tcPr>
            <w:tcW w:type="dxa" w:w="3360"/>
            <w:vAlign w:val="center"/>
          </w:tcPr>
          <w:p>
            <w:r/>
            <w:r>
              <w:rPr>
                <w:b w:val="0"/>
                <w:sz w:val="16"/>
              </w:rPr>
              <w:t>AOCS Hydrogenation in Practice, 2022</w:t>
            </w:r>
          </w:p>
        </w:tc>
        <w:tc>
          <w:tcPr>
            <w:tcW w:type="dxa" w:w="3360"/>
            <w:vAlign w:val="center"/>
          </w:tcPr>
          <w:p>
            <w:r/>
            <w:r>
              <w:rPr>
                <w:b w:val="0"/>
                <w:sz w:val="16"/>
              </w:rPr>
              <w:t>Industrial hydrogenation practice, Ni-catalyst deactivation, and soybean oil hardened to IV 70.</w:t>
            </w:r>
          </w:p>
        </w:tc>
        <w:tc>
          <w:tcPr>
            <w:tcW w:type="dxa" w:w="3360"/>
            <w:vAlign w:val="center"/>
          </w:tcPr>
          <w:p>
            <w:r/>
            <w:r>
              <w:rPr>
                <w:b w:val="0"/>
                <w:sz w:val="16"/>
              </w:rPr>
              <w:t>Supports practical processing warnings.</w:t>
            </w:r>
          </w:p>
        </w:tc>
      </w:tr>
      <w:tr>
        <w:trPr>
          <w:cantSplit/>
        </w:trPr>
        <w:tc>
          <w:tcPr>
            <w:tcW w:type="dxa" w:w="3360"/>
            <w:vAlign w:val="center"/>
          </w:tcPr>
          <w:p>
            <w:r/>
            <w:r>
              <w:rPr>
                <w:b w:val="0"/>
                <w:sz w:val="16"/>
              </w:rPr>
              <w:t>USDA ARS List et al., 2007</w:t>
            </w:r>
          </w:p>
        </w:tc>
        <w:tc>
          <w:tcPr>
            <w:tcW w:type="dxa" w:w="3360"/>
            <w:vAlign w:val="center"/>
          </w:tcPr>
          <w:p>
            <w:r/>
            <w:r>
              <w:rPr>
                <w:b w:val="0"/>
                <w:sz w:val="16"/>
              </w:rPr>
              <w:t>Ni-catalyzed hydrogenation at 175 C and 15 psi showed high trans-fat levels near IV 70; lower IV near 40 reduced trans but increased stearic acid.</w:t>
            </w:r>
          </w:p>
        </w:tc>
        <w:tc>
          <w:tcPr>
            <w:tcW w:type="dxa" w:w="3360"/>
            <w:vAlign w:val="center"/>
          </w:tcPr>
          <w:p>
            <w:r/>
            <w:r>
              <w:rPr>
                <w:b w:val="0"/>
                <w:sz w:val="16"/>
              </w:rPr>
              <w:t>Shows why IV reduction and quality must be optimized together.</w:t>
            </w:r>
          </w:p>
        </w:tc>
      </w:tr>
      <w:tr>
        <w:trPr>
          <w:cantSplit/>
        </w:trPr>
        <w:tc>
          <w:tcPr>
            <w:tcW w:type="dxa" w:w="3360"/>
            <w:vAlign w:val="center"/>
          </w:tcPr>
          <w:p>
            <w:r/>
            <w:r>
              <w:rPr>
                <w:b w:val="0"/>
                <w:sz w:val="16"/>
              </w:rPr>
              <w:t>Oriental Journal of Chemistry, 2014</w:t>
            </w:r>
          </w:p>
        </w:tc>
        <w:tc>
          <w:tcPr>
            <w:tcW w:type="dxa" w:w="3360"/>
            <w:vAlign w:val="center"/>
          </w:tcPr>
          <w:p>
            <w:r/>
            <w:r>
              <w:rPr>
                <w:b w:val="0"/>
                <w:sz w:val="16"/>
              </w:rPr>
              <w:t>Pd-B/gamma-Al2O3 sunflower-oil optimization: IV declined from 125 to 72.5 with 10.6% TFA at optimized conditions.</w:t>
            </w:r>
          </w:p>
        </w:tc>
        <w:tc>
          <w:tcPr>
            <w:tcW w:type="dxa" w:w="3360"/>
            <w:vAlign w:val="center"/>
          </w:tcPr>
          <w:p>
            <w:r/>
            <w:r>
              <w:rPr>
                <w:b w:val="0"/>
                <w:sz w:val="16"/>
              </w:rPr>
              <w:t>Supports DOE and optimization approach.</w:t>
            </w:r>
          </w:p>
        </w:tc>
      </w:tr>
    </w:tbl>
    <w:p>
      <w:pPr>
        <w:pStyle w:val="Heading1"/>
      </w:pPr>
      <w:r>
        <w:t>11. Conclusion</w:t>
      </w:r>
    </w:p>
    <w:p>
      <w:r>
        <w:rPr>
          <w:b/>
        </w:rPr>
        <w:t xml:space="preserve">Nanoparticle catalysts can reduce oil unsaturation effectively by catalytic hydrogenation. </w:t>
      </w:r>
      <w:r>
        <w:t>The strongest practical route is oil + H2 + supported metal nanoparticles + controlled heat/pressure/agitation. The best catalyst depends on the target: supported Ni is economical and strong, while supported Pd can work under milder conditions and may be better for selectivity optimization. The quality target should be an IV range, not simply the lowest IV possible. For edible oils, the formulation must minimize trans-fat formation and metal residue; for industrial oils, stronger saturation may be acceptable if viscosity, oxidative stability and catalyst removal are controlled.</w:t>
      </w:r>
    </w:p>
    <w:p>
      <w:r>
        <w:rPr>
          <w:b/>
        </w:rPr>
        <w:t xml:space="preserve">Recommended starting strategy: </w:t>
      </w:r>
      <w:r>
        <w:t>screen Ni/SiO2 or Ni/kieselguhr against Pd/C or Pd/bentonite at a small scale, stop the reaction at the target IV, and evaluate IV, GC-FAME, trans-fat content, saturated fatty acids, peroxide value, viscosity, melting behavior and metal residue before scale-up.</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Nanoparticle Catalysts for Oil Unsaturation Reduction -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