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Revision Tracker App Specification</w:t>
      </w:r>
    </w:p>
    <w:p>
      <w:pPr>
        <w:pStyle w:val="Subtitle"/>
        <w:spacing w:after="200" w:before="0" w:line="276" w:lineRule="auto"/>
      </w:pPr>
      <w:r>
        <w:t>Single-user web app for daily revision tracking, reminders, and exam-led scheduling.</w:t>
        <w:br/>
      </w:r>
      <w:r>
        <w:t>Hosting decision: Vercel. Scope: simple MVP, free-tier friendly, low complexity.</w:t>
      </w:r>
    </w:p>
    <w:tbl>
      <w:tblPr>
        <w:tblW w:type="auto" w:w="0"/>
        <w:jc w:val="left"/>
        <w:tblLayout w:type="fixed"/>
        <w:tblLook w:firstColumn="1" w:firstRow="1" w:lastColumn="0" w:lastRow="0" w:noHBand="0" w:noVBand="1" w:val="04A0"/>
      </w:tblPr>
      <w:tblGrid>
        <w:gridCol w:w="10080"/>
      </w:tblGrid>
      <w:tr>
        <w:tc>
          <w:tcPr>
            <w:tcW w:type="dxa" w:w="9648"/>
            <w:shd w:fill="EEF4FF"/>
            <w:tcMar>
              <w:top w:w="120" w:type="dxa"/>
              <w:start w:w="140" w:type="dxa"/>
              <w:bottom w:w="120" w:type="dxa"/>
              <w:end w:w="140" w:type="dxa"/>
            </w:tcMar>
            <w:vAlign w:val="center"/>
          </w:tcPr>
          <w:p>
            <w:r>
              <w:rPr>
                <w:b/>
                <w:color w:val="1E40AF"/>
                <w:sz w:val="22"/>
              </w:rPr>
              <w:t>Decisions locked</w:t>
              <w:br/>
            </w:r>
          </w:p>
          <w:p>
            <w:pPr>
              <w:spacing w:after="20" w:before="0" w:line="276" w:lineRule="auto"/>
            </w:pPr>
            <w:r>
              <w:t>• Platform: Next.js web app deployed on Vercel.</w:t>
            </w:r>
          </w:p>
          <w:p>
            <w:pPr>
              <w:spacing w:after="20" w:before="0" w:line="276" w:lineRule="auto"/>
            </w:pPr>
            <w:r>
              <w:t>• Personal use only: one student, no admin dashboard, no parent portal.</w:t>
            </w:r>
          </w:p>
          <w:p>
            <w:pPr>
              <w:spacing w:after="20" w:before="0" w:line="276" w:lineRule="auto"/>
            </w:pPr>
            <w:r>
              <w:t>• Reminders: browser/PWA notification for today’s sessions.</w:t>
            </w:r>
          </w:p>
          <w:p>
            <w:pPr>
              <w:spacing w:after="20" w:before="0" w:line="276" w:lineRule="auto"/>
            </w:pPr>
            <w:r>
              <w:t>• Scheduling weights before 10 May: highest-priority subjects = 2.0×, Biology and English Literature = 1.5×, all other subjects = 1.0×.</w:t>
            </w:r>
          </w:p>
          <w:p>
            <w:pPr>
              <w:spacing w:after="20" w:before="0" w:line="276" w:lineRule="auto"/>
            </w:pPr>
            <w:r>
              <w:t>• Scheduling rule after 10 May: exam-led plan with 90 minutes per day, usually focused on the next exam, with split sessions when two exams are very close together.</w:t>
            </w:r>
          </w:p>
        </w:tc>
      </w:tr>
    </w:tbl>
    <w:p/>
    <w:p>
      <w:pPr>
        <w:pStyle w:val="Heading1"/>
      </w:pPr>
      <w:r>
        <w:t>1. Product goal</w:t>
      </w:r>
    </w:p>
    <w:p>
      <w:pPr>
        <w:spacing w:after="80" w:before="0" w:line="276" w:lineRule="auto"/>
      </w:pPr>
      <w:r>
        <w:t>Build a lightweight revision planner that tells the student exactly what to revise today, lets him mark sessions complete, and adapts the plan around upcoming exams without requiring manual rescheduling every day.</w:t>
      </w:r>
    </w:p>
    <w:p>
      <w:pPr>
        <w:spacing w:after="80" w:before="0" w:line="276" w:lineRule="auto"/>
      </w:pPr>
      <w:r>
        <w:t>The app should feel closer to a personal study dashboard than a school MIS: fast, mobile-friendly, installable on a phone, and simple enough to maintain on the free Vercel Hobby tier.</w:t>
      </w:r>
    </w:p>
    <w:p>
      <w:pPr>
        <w:pStyle w:val="Heading1"/>
      </w:pPr>
      <w:r>
        <w:t>2. Core user stories</w:t>
      </w:r>
    </w:p>
    <w:p>
      <w:pPr>
        <w:ind w:left="259"/>
      </w:pPr>
      <w:r>
        <w:t>• As the student, I can open the app and immediately see what is scheduled for today.</w:t>
      </w:r>
    </w:p>
    <w:p>
      <w:pPr>
        <w:ind w:left="259"/>
      </w:pPr>
      <w:r>
        <w:t>• As the student, I can tick sessions off, record whether they went well, and see my next exam countdown.</w:t>
      </w:r>
    </w:p>
    <w:p>
      <w:pPr>
        <w:ind w:left="259"/>
      </w:pPr>
      <w:r>
        <w:t>• As the student, I can move a missed task to tomorrow without rebuilding the whole plan.</w:t>
      </w:r>
    </w:p>
    <w:p>
      <w:pPr>
        <w:ind w:left="259"/>
      </w:pPr>
      <w:r>
        <w:t>• As the student, I can see whether I am neglecting a weak subject such as Music.</w:t>
      </w:r>
    </w:p>
    <w:p>
      <w:pPr>
        <w:ind w:left="259"/>
      </w:pPr>
      <w:r>
        <w:t>• As the student, I receive a reminder in the evening telling me what is on the schedule that day.</w:t>
      </w:r>
    </w:p>
    <w:p>
      <w:pPr>
        <w:pStyle w:val="Heading1"/>
      </w:pPr>
      <w:r>
        <w:t>3. MVP screens</w:t>
      </w:r>
    </w:p>
    <w:tbl>
      <w:tblPr>
        <w:tblStyle w:val="TableGrid"/>
        <w:tblW w:type="auto" w:w="0"/>
        <w:jc w:val="left"/>
        <w:tblLayout w:type="fixed"/>
        <w:tblLook w:firstColumn="1" w:firstRow="1" w:lastColumn="0" w:lastRow="0" w:noHBand="0" w:noVBand="1" w:val="04A0"/>
      </w:tblPr>
      <w:tblGrid>
        <w:gridCol w:w="3360"/>
        <w:gridCol w:w="3360"/>
        <w:gridCol w:w="3360"/>
      </w:tblGrid>
      <w:tr>
        <w:trPr>
          <w:tblHeader w:val="true"/>
        </w:trPr>
        <w:tc>
          <w:tcPr>
            <w:tcW w:type="dxa" w:w="1584"/>
            <w:shd w:fill="DCE6F8"/>
            <w:tcMar>
              <w:top w:w="100" w:type="dxa"/>
              <w:start w:w="120" w:type="dxa"/>
              <w:bottom w:w="100" w:type="dxa"/>
              <w:end w:w="120" w:type="dxa"/>
            </w:tcMar>
            <w:vAlign w:val="center"/>
          </w:tcPr>
          <w:p>
            <w:r>
              <w:rPr>
                <w:b/>
                <w:sz w:val="20"/>
              </w:rPr>
              <w:t>Screen</w:t>
            </w:r>
          </w:p>
        </w:tc>
        <w:tc>
          <w:tcPr>
            <w:tcW w:type="dxa" w:w="2736"/>
            <w:shd w:fill="DCE6F8"/>
            <w:tcMar>
              <w:top w:w="100" w:type="dxa"/>
              <w:start w:w="120" w:type="dxa"/>
              <w:bottom w:w="100" w:type="dxa"/>
              <w:end w:w="120" w:type="dxa"/>
            </w:tcMar>
            <w:vAlign w:val="center"/>
          </w:tcPr>
          <w:p>
            <w:r>
              <w:rPr>
                <w:b/>
                <w:sz w:val="20"/>
              </w:rPr>
              <w:t>Purpose</w:t>
            </w:r>
          </w:p>
        </w:tc>
        <w:tc>
          <w:tcPr>
            <w:tcW w:type="dxa" w:w="5328"/>
            <w:shd w:fill="DCE6F8"/>
            <w:tcMar>
              <w:top w:w="100" w:type="dxa"/>
              <w:start w:w="120" w:type="dxa"/>
              <w:bottom w:w="100" w:type="dxa"/>
              <w:end w:w="120" w:type="dxa"/>
            </w:tcMar>
            <w:vAlign w:val="center"/>
          </w:tcPr>
          <w:p>
            <w:r>
              <w:rPr>
                <w:b/>
                <w:sz w:val="20"/>
              </w:rPr>
              <w:t>Key elements</w:t>
            </w:r>
          </w:p>
        </w:tc>
      </w:tr>
      <w:tr>
        <w:tc>
          <w:tcPr>
            <w:tcW w:type="dxa" w:w="1584"/>
            <w:tcMar>
              <w:top w:w="100" w:type="dxa"/>
              <w:start w:w="120" w:type="dxa"/>
              <w:bottom w:w="100" w:type="dxa"/>
              <w:end w:w="120" w:type="dxa"/>
            </w:tcMar>
            <w:vAlign w:val="center"/>
          </w:tcPr>
          <w:p>
            <w:r>
              <w:t>Today</w:t>
            </w:r>
          </w:p>
        </w:tc>
        <w:tc>
          <w:tcPr>
            <w:tcW w:type="dxa" w:w="2736"/>
            <w:tcMar>
              <w:top w:w="100" w:type="dxa"/>
              <w:start w:w="120" w:type="dxa"/>
              <w:bottom w:w="100" w:type="dxa"/>
              <w:end w:w="120" w:type="dxa"/>
            </w:tcMar>
            <w:vAlign w:val="center"/>
          </w:tcPr>
          <w:p>
            <w:r>
              <w:t>Default home screen</w:t>
            </w:r>
          </w:p>
        </w:tc>
        <w:tc>
          <w:tcPr>
            <w:tcW w:type="dxa" w:w="5328"/>
            <w:tcMar>
              <w:top w:w="100" w:type="dxa"/>
              <w:start w:w="120" w:type="dxa"/>
              <w:bottom w:w="100" w:type="dxa"/>
              <w:end w:w="120" w:type="dxa"/>
            </w:tcMar>
            <w:vAlign w:val="center"/>
          </w:tcPr>
          <w:p>
            <w:r>
              <w:t>Date, next exam countdown, today’s sessions, start/done buttons, quick note, completion state.</w:t>
            </w:r>
          </w:p>
        </w:tc>
      </w:tr>
      <w:tr>
        <w:tc>
          <w:tcPr>
            <w:tcW w:type="dxa" w:w="1584"/>
            <w:tcMar>
              <w:top w:w="100" w:type="dxa"/>
              <w:start w:w="120" w:type="dxa"/>
              <w:bottom w:w="100" w:type="dxa"/>
              <w:end w:w="120" w:type="dxa"/>
            </w:tcMar>
            <w:vAlign w:val="center"/>
          </w:tcPr>
          <w:p>
            <w:r>
              <w:t>Plan</w:t>
            </w:r>
          </w:p>
        </w:tc>
        <w:tc>
          <w:tcPr>
            <w:tcW w:type="dxa" w:w="2736"/>
            <w:tcMar>
              <w:top w:w="100" w:type="dxa"/>
              <w:start w:w="120" w:type="dxa"/>
              <w:bottom w:w="100" w:type="dxa"/>
              <w:end w:w="120" w:type="dxa"/>
            </w:tcMar>
            <w:vAlign w:val="center"/>
          </w:tcPr>
          <w:p>
            <w:r>
              <w:t>Forward view of revision plan</w:t>
            </w:r>
          </w:p>
        </w:tc>
        <w:tc>
          <w:tcPr>
            <w:tcW w:type="dxa" w:w="5328"/>
            <w:tcMar>
              <w:top w:w="100" w:type="dxa"/>
              <w:start w:w="120" w:type="dxa"/>
              <w:bottom w:w="100" w:type="dxa"/>
              <w:end w:w="120" w:type="dxa"/>
            </w:tcMar>
            <w:vAlign w:val="center"/>
          </w:tcPr>
          <w:p>
            <w:r>
              <w:t>Week view, upcoming sessions, move/skip actions, exam badges, auto-generated plan before and after 10 May.</w:t>
            </w:r>
          </w:p>
        </w:tc>
      </w:tr>
      <w:tr>
        <w:tc>
          <w:tcPr>
            <w:tcW w:type="dxa" w:w="1584"/>
            <w:tcMar>
              <w:top w:w="100" w:type="dxa"/>
              <w:start w:w="120" w:type="dxa"/>
              <w:bottom w:w="100" w:type="dxa"/>
              <w:end w:w="120" w:type="dxa"/>
            </w:tcMar>
            <w:vAlign w:val="center"/>
          </w:tcPr>
          <w:p>
            <w:r>
              <w:t>Progress</w:t>
            </w:r>
          </w:p>
        </w:tc>
        <w:tc>
          <w:tcPr>
            <w:tcW w:type="dxa" w:w="2736"/>
            <w:tcMar>
              <w:top w:w="100" w:type="dxa"/>
              <w:start w:w="120" w:type="dxa"/>
              <w:bottom w:w="100" w:type="dxa"/>
              <w:end w:w="120" w:type="dxa"/>
            </w:tcMar>
            <w:vAlign w:val="center"/>
          </w:tcPr>
          <w:p>
            <w:r>
              <w:t>Motivation and review</w:t>
            </w:r>
          </w:p>
        </w:tc>
        <w:tc>
          <w:tcPr>
            <w:tcW w:type="dxa" w:w="5328"/>
            <w:tcMar>
              <w:top w:w="100" w:type="dxa"/>
              <w:start w:w="120" w:type="dxa"/>
              <w:bottom w:w="100" w:type="dxa"/>
              <w:end w:w="120" w:type="dxa"/>
            </w:tcMar>
            <w:vAlign w:val="center"/>
          </w:tcPr>
          <w:p>
            <w:r>
              <w:t>Minutes completed by subject, completion rate, last revised date, confidence trend, sessions before each exam.</w:t>
            </w:r>
          </w:p>
        </w:tc>
      </w:tr>
    </w:tbl>
    <w:p>
      <w:pPr>
        <w:pStyle w:val="Heading1"/>
      </w:pPr>
      <w:r>
        <w:t>4. Functional specification</w:t>
      </w:r>
    </w:p>
    <w:p>
      <w:pPr>
        <w:pStyle w:val="Heading2"/>
      </w:pPr>
      <w:r>
        <w:t>4.1 Today screen</w:t>
      </w:r>
    </w:p>
    <w:p>
      <w:pPr>
        <w:spacing w:after="40" w:before="0" w:line="276" w:lineRule="auto"/>
        <w:ind w:left="259"/>
      </w:pPr>
      <w:r>
        <w:t>• Show today’s revision blocks in order with subject, topic, planned minutes, and priority badge.</w:t>
      </w:r>
    </w:p>
    <w:p>
      <w:pPr>
        <w:spacing w:after="40" w:before="0" w:line="276" w:lineRule="auto"/>
        <w:ind w:left="259"/>
      </w:pPr>
      <w:r>
        <w:t>• Show the next exam at the top with the exact date and a days-left countdown.</w:t>
      </w:r>
    </w:p>
    <w:p>
      <w:pPr>
        <w:spacing w:after="40" w:before="0" w:line="276" w:lineRule="auto"/>
        <w:ind w:left="259"/>
      </w:pPr>
      <w:r>
        <w:t>• Allow one-tap actions: Start, Done, Snooze to tomorrow, and Mark missed.</w:t>
      </w:r>
    </w:p>
    <w:p>
      <w:pPr>
        <w:spacing w:after="40" w:before="0" w:line="276" w:lineRule="auto"/>
        <w:ind w:left="259"/>
      </w:pPr>
      <w:r>
        <w:t>• Display a short prompt such as “Tonight: History 45 min + Music 30 min”.</w:t>
      </w:r>
    </w:p>
    <w:p>
      <w:pPr>
        <w:pStyle w:val="Heading2"/>
      </w:pPr>
      <w:r>
        <w:t>4.2 Session completion</w:t>
      </w:r>
    </w:p>
    <w:p>
      <w:pPr>
        <w:spacing w:after="40" w:before="0" w:line="276" w:lineRule="auto"/>
        <w:ind w:left="259"/>
      </w:pPr>
      <w:r>
        <w:t>• When a session is completed, ask for a quick review: confidence before, confidence after, and red/amber/green status.</w:t>
      </w:r>
    </w:p>
    <w:p>
      <w:pPr>
        <w:spacing w:after="40" w:before="0" w:line="276" w:lineRule="auto"/>
        <w:ind w:left="259"/>
      </w:pPr>
      <w:r>
        <w:t>• Store actual minutes completed so the plan can distinguish between planned and real revision time.</w:t>
      </w:r>
    </w:p>
    <w:p>
      <w:pPr>
        <w:pStyle w:val="Heading2"/>
      </w:pPr>
      <w:r>
        <w:t>4.3 Reminders</w:t>
      </w:r>
    </w:p>
    <w:p>
      <w:pPr>
        <w:spacing w:after="40" w:before="0" w:line="276" w:lineRule="auto"/>
        <w:ind w:left="259"/>
      </w:pPr>
      <w:r>
        <w:t>• Primary reminder once per day at a configurable time, default 18:30.</w:t>
      </w:r>
    </w:p>
    <w:p>
      <w:pPr>
        <w:spacing w:after="40" w:before="0" w:line="276" w:lineRule="auto"/>
        <w:ind w:left="259"/>
      </w:pPr>
      <w:r>
        <w:t>• Reminder text should summarise today’s sessions, not just open the app generically.</w:t>
      </w:r>
    </w:p>
    <w:p>
      <w:pPr>
        <w:spacing w:after="40" w:before="0" w:line="276" w:lineRule="auto"/>
        <w:ind w:left="259"/>
      </w:pPr>
      <w:r>
        <w:t>• Optional second reminder at 20:00 only if no session has been completed that day.</w:t>
      </w:r>
    </w:p>
    <w:p>
      <w:pPr>
        <w:spacing w:after="40" w:before="0" w:line="276" w:lineRule="auto"/>
        <w:ind w:left="259"/>
      </w:pPr>
      <w:r>
        <w:t>• For MVP, use browser notifications in the installed PWA; avoid SMS or complex push infrastructure.</w:t>
      </w:r>
    </w:p>
    <w:p>
      <w:pPr>
        <w:pStyle w:val="Heading2"/>
      </w:pPr>
      <w:r>
        <w:t>4.4 Plan adjustment</w:t>
      </w:r>
    </w:p>
    <w:p>
      <w:pPr>
        <w:spacing w:after="40" w:before="0" w:line="276" w:lineRule="auto"/>
        <w:ind w:left="259"/>
      </w:pPr>
      <w:r>
        <w:t>• If a session is missed, move it forward automatically into the next suitable slot without exceeding the daily time cap.</w:t>
      </w:r>
    </w:p>
    <w:p>
      <w:pPr>
        <w:spacing w:after="40" w:before="0" w:line="276" w:lineRule="auto"/>
        <w:ind w:left="259"/>
      </w:pPr>
      <w:r>
        <w:t>• Do not allow catch-up logic to bury high-priority subjects for multiple days in a row.</w:t>
      </w:r>
    </w:p>
    <w:p>
      <w:pPr>
        <w:spacing w:after="40" w:before="0" w:line="276" w:lineRule="auto"/>
        <w:ind w:left="259"/>
      </w:pPr>
      <w:r>
        <w:t>• Allow the student to manually drag a session to another day.</w:t>
      </w:r>
    </w:p>
    <w:p>
      <w:pPr>
        <w:pStyle w:val="Heading1"/>
      </w:pPr>
      <w:r>
        <w:t>5. Scheduling engine</w:t>
      </w:r>
    </w:p>
    <w:p>
      <w:pPr>
        <w:pStyle w:val="Heading2"/>
        <w:spacing w:after="80" w:before="0" w:line="276" w:lineRule="auto"/>
      </w:pPr>
      <w:r>
        <w:t>5.1 Subject priorities</w:t>
      </w:r>
    </w:p>
    <w:tbl>
      <w:tblPr>
        <w:tblStyle w:val="TableGrid"/>
        <w:tblW w:type="auto" w:w="0"/>
        <w:jc w:val="left"/>
        <w:tblLayout w:type="fixed"/>
        <w:tblLook w:firstColumn="1" w:firstRow="1" w:lastColumn="0" w:lastRow="0" w:noHBand="0" w:noVBand="1" w:val="04A0"/>
      </w:tblPr>
      <w:tblGrid>
        <w:gridCol w:w="2520"/>
        <w:gridCol w:w="2520"/>
        <w:gridCol w:w="2520"/>
        <w:gridCol w:w="2520"/>
      </w:tblGrid>
      <w:tr>
        <w:trPr>
          <w:tblHeader w:val="true"/>
        </w:trPr>
        <w:tc>
          <w:tcPr>
            <w:tcW w:type="dxa" w:w="1728"/>
            <w:shd w:fill="EAF2E3"/>
            <w:tcMar>
              <w:top w:w="100" w:type="dxa"/>
              <w:start w:w="120" w:type="dxa"/>
              <w:bottom w:w="100" w:type="dxa"/>
              <w:end w:w="120" w:type="dxa"/>
            </w:tcMar>
          </w:tcPr>
          <w:p>
            <w:r>
              <w:rPr>
                <w:b/>
              </w:rPr>
              <w:t>Band</w:t>
            </w:r>
          </w:p>
        </w:tc>
        <w:tc>
          <w:tcPr>
            <w:tcW w:type="dxa" w:w="3168"/>
            <w:shd w:fill="EAF2E3"/>
            <w:tcMar>
              <w:top w:w="100" w:type="dxa"/>
              <w:start w:w="120" w:type="dxa"/>
              <w:bottom w:w="100" w:type="dxa"/>
              <w:end w:w="120" w:type="dxa"/>
            </w:tcMar>
          </w:tcPr>
          <w:p>
            <w:r>
              <w:rPr>
                <w:b/>
              </w:rPr>
              <w:t>Subjects</w:t>
            </w:r>
          </w:p>
        </w:tc>
        <w:tc>
          <w:tcPr>
            <w:tcW w:type="dxa" w:w="1296"/>
            <w:shd w:fill="EAF2E3"/>
            <w:tcMar>
              <w:top w:w="100" w:type="dxa"/>
              <w:start w:w="120" w:type="dxa"/>
              <w:bottom w:w="100" w:type="dxa"/>
              <w:end w:w="120" w:type="dxa"/>
            </w:tcMar>
          </w:tcPr>
          <w:p>
            <w:r>
              <w:rPr>
                <w:b/>
              </w:rPr>
              <w:t>Weight</w:t>
            </w:r>
          </w:p>
        </w:tc>
        <w:tc>
          <w:tcPr>
            <w:tcW w:type="dxa" w:w="3312"/>
            <w:shd w:fill="EAF2E3"/>
            <w:tcMar>
              <w:top w:w="100" w:type="dxa"/>
              <w:start w:w="120" w:type="dxa"/>
              <w:bottom w:w="100" w:type="dxa"/>
              <w:end w:w="120" w:type="dxa"/>
            </w:tcMar>
          </w:tcPr>
          <w:p>
            <w:r>
              <w:rPr>
                <w:b/>
              </w:rPr>
              <w:t>Interpretation</w:t>
            </w:r>
          </w:p>
        </w:tc>
      </w:tr>
      <w:tr>
        <w:tc>
          <w:tcPr>
            <w:tcW w:type="dxa" w:w="1728"/>
            <w:tcMar>
              <w:top w:w="100" w:type="dxa"/>
              <w:start w:w="120" w:type="dxa"/>
              <w:bottom w:w="100" w:type="dxa"/>
              <w:end w:w="120" w:type="dxa"/>
            </w:tcMar>
            <w:vAlign w:val="center"/>
          </w:tcPr>
          <w:p>
            <w:r>
              <w:t>Highest priority</w:t>
            </w:r>
          </w:p>
        </w:tc>
        <w:tc>
          <w:tcPr>
            <w:tcW w:type="dxa" w:w="3168"/>
            <w:tcMar>
              <w:top w:w="100" w:type="dxa"/>
              <w:start w:w="120" w:type="dxa"/>
              <w:bottom w:w="100" w:type="dxa"/>
              <w:end w:w="120" w:type="dxa"/>
            </w:tcMar>
            <w:vAlign w:val="center"/>
          </w:tcPr>
          <w:p>
            <w:r>
              <w:t>Music; History; Chemistry</w:t>
            </w:r>
          </w:p>
        </w:tc>
        <w:tc>
          <w:tcPr>
            <w:tcW w:type="dxa" w:w="1296"/>
            <w:tcMar>
              <w:top w:w="100" w:type="dxa"/>
              <w:start w:w="120" w:type="dxa"/>
              <w:bottom w:w="100" w:type="dxa"/>
              <w:end w:w="120" w:type="dxa"/>
            </w:tcMar>
            <w:vAlign w:val="center"/>
          </w:tcPr>
          <w:p>
            <w:r>
              <w:t>2.0×</w:t>
            </w:r>
          </w:p>
        </w:tc>
        <w:tc>
          <w:tcPr>
            <w:tcW w:type="dxa" w:w="3312"/>
            <w:tcMar>
              <w:top w:w="100" w:type="dxa"/>
              <w:start w:w="120" w:type="dxa"/>
              <w:bottom w:w="100" w:type="dxa"/>
              <w:end w:w="120" w:type="dxa"/>
            </w:tcMar>
            <w:vAlign w:val="center"/>
          </w:tcPr>
          <w:p>
            <w:r>
              <w:t>Gets double the planning weight of standard subjects.</w:t>
            </w:r>
          </w:p>
        </w:tc>
      </w:tr>
      <w:tr>
        <w:tc>
          <w:tcPr>
            <w:tcW w:type="dxa" w:w="1728"/>
            <w:tcMar>
              <w:top w:w="100" w:type="dxa"/>
              <w:start w:w="120" w:type="dxa"/>
              <w:bottom w:w="100" w:type="dxa"/>
              <w:end w:w="120" w:type="dxa"/>
            </w:tcMar>
            <w:vAlign w:val="center"/>
          </w:tcPr>
          <w:p>
            <w:r>
              <w:t>Priority+</w:t>
            </w:r>
          </w:p>
        </w:tc>
        <w:tc>
          <w:tcPr>
            <w:tcW w:type="dxa" w:w="3168"/>
            <w:tcMar>
              <w:top w:w="100" w:type="dxa"/>
              <w:start w:w="120" w:type="dxa"/>
              <w:bottom w:w="100" w:type="dxa"/>
              <w:end w:w="120" w:type="dxa"/>
            </w:tcMar>
            <w:vAlign w:val="center"/>
          </w:tcPr>
          <w:p>
            <w:r>
              <w:t>Biology; English Literature</w:t>
            </w:r>
          </w:p>
        </w:tc>
        <w:tc>
          <w:tcPr>
            <w:tcW w:type="dxa" w:w="1296"/>
            <w:tcMar>
              <w:top w:w="100" w:type="dxa"/>
              <w:start w:w="120" w:type="dxa"/>
              <w:bottom w:w="100" w:type="dxa"/>
              <w:end w:w="120" w:type="dxa"/>
            </w:tcMar>
            <w:vAlign w:val="center"/>
          </w:tcPr>
          <w:p>
            <w:r>
              <w:t>1.5×</w:t>
            </w:r>
          </w:p>
        </w:tc>
        <w:tc>
          <w:tcPr>
            <w:tcW w:type="dxa" w:w="3312"/>
            <w:tcMar>
              <w:top w:w="100" w:type="dxa"/>
              <w:start w:w="120" w:type="dxa"/>
              <w:bottom w:w="100" w:type="dxa"/>
              <w:end w:w="120" w:type="dxa"/>
            </w:tcMar>
            <w:vAlign w:val="center"/>
          </w:tcPr>
          <w:p>
            <w:r>
              <w:t>Gets 50% more planning weight than standard subjects.</w:t>
            </w:r>
          </w:p>
        </w:tc>
      </w:tr>
      <w:tr>
        <w:tc>
          <w:tcPr>
            <w:tcW w:type="dxa" w:w="1728"/>
            <w:tcMar>
              <w:top w:w="100" w:type="dxa"/>
              <w:start w:w="120" w:type="dxa"/>
              <w:bottom w:w="100" w:type="dxa"/>
              <w:end w:w="120" w:type="dxa"/>
            </w:tcMar>
            <w:vAlign w:val="center"/>
          </w:tcPr>
          <w:p>
            <w:r>
              <w:t>Standard</w:t>
            </w:r>
          </w:p>
        </w:tc>
        <w:tc>
          <w:tcPr>
            <w:tcW w:type="dxa" w:w="3168"/>
            <w:tcMar>
              <w:top w:w="100" w:type="dxa"/>
              <w:start w:w="120" w:type="dxa"/>
              <w:bottom w:w="100" w:type="dxa"/>
              <w:end w:w="120" w:type="dxa"/>
            </w:tcMar>
            <w:vAlign w:val="center"/>
          </w:tcPr>
          <w:p>
            <w:r>
              <w:t>Maths, English Language, Physics, Computer Science, Spanish</w:t>
            </w:r>
          </w:p>
        </w:tc>
        <w:tc>
          <w:tcPr>
            <w:tcW w:type="dxa" w:w="1296"/>
            <w:tcMar>
              <w:top w:w="100" w:type="dxa"/>
              <w:start w:w="120" w:type="dxa"/>
              <w:bottom w:w="100" w:type="dxa"/>
              <w:end w:w="120" w:type="dxa"/>
            </w:tcMar>
            <w:vAlign w:val="center"/>
          </w:tcPr>
          <w:p>
            <w:r>
              <w:t>1.0×</w:t>
            </w:r>
          </w:p>
        </w:tc>
        <w:tc>
          <w:tcPr>
            <w:tcW w:type="dxa" w:w="3312"/>
            <w:tcMar>
              <w:top w:w="100" w:type="dxa"/>
              <w:start w:w="120" w:type="dxa"/>
              <w:bottom w:w="100" w:type="dxa"/>
              <w:end w:w="120" w:type="dxa"/>
            </w:tcMar>
            <w:vAlign w:val="center"/>
          </w:tcPr>
          <w:p>
            <w:r>
              <w:t>Included when an exam is approaching or when free slots remain.</w:t>
            </w:r>
          </w:p>
        </w:tc>
      </w:tr>
    </w:tbl>
    <w:p>
      <w:pPr>
        <w:spacing w:after="80" w:before="0" w:line="276" w:lineRule="auto"/>
      </w:pPr>
      <w:r>
        <w:t>Before 10 May, the schedule generator should distribute the available weekly study time according to those weights, while still respecting the student’s hard time limits: 45 minutes on weeknights and 60 minutes on weekend days.</w:t>
      </w:r>
    </w:p>
    <w:p>
      <w:pPr>
        <w:spacing w:after="80" w:before="0" w:line="276" w:lineRule="auto"/>
      </w:pPr>
      <w:r>
        <w:t>After 10 May, exam proximity overrides long-range weighting. The app still uses priority weights to break ties, but the next exam should dominate the plan.</w:t>
      </w:r>
    </w:p>
    <w:p>
      <w:pPr>
        <w:pStyle w:val="Heading2"/>
      </w:pPr>
      <w:r>
        <w:t>5.2 Rule set before 10 May</w:t>
      </w:r>
    </w:p>
    <w:p>
      <w:pPr>
        <w:spacing w:after="40" w:before="0" w:line="276" w:lineRule="auto"/>
        <w:ind w:left="259"/>
      </w:pPr>
      <w:r>
        <w:t>• Use recurring slots: Monday–Friday = 45 minutes; Saturday and Sunday = 60 minutes.</w:t>
      </w:r>
    </w:p>
    <w:p>
      <w:pPr>
        <w:spacing w:after="40" w:before="0" w:line="276" w:lineRule="auto"/>
        <w:ind w:left="259"/>
      </w:pPr>
      <w:r>
        <w:t>• Bias the weekly pattern toward Music, History, and Chemistry because they carry the highest 2.0× weighting.</w:t>
      </w:r>
    </w:p>
    <w:p>
      <w:pPr>
        <w:spacing w:after="40" w:before="0" w:line="276" w:lineRule="auto"/>
        <w:ind w:left="259"/>
      </w:pPr>
      <w:r>
        <w:t>• Keep Biology and English Literature present every week because their first papers arrive early in the exam run.</w:t>
      </w:r>
    </w:p>
    <w:p>
      <w:pPr>
        <w:spacing w:after="40" w:before="0" w:line="276" w:lineRule="auto"/>
        <w:ind w:left="259"/>
      </w:pPr>
      <w:r>
        <w:t>• Avoid scheduling more than two consecutive days without a highest-priority subject.</w:t>
      </w:r>
    </w:p>
    <w:p>
      <w:pPr>
        <w:pStyle w:val="Heading3"/>
      </w:pPr>
      <w:r>
        <w:t>Recommended recurring pattern before 10 May</w:t>
      </w:r>
    </w:p>
    <w:tbl>
      <w:tblPr>
        <w:tblStyle w:val="TableGrid"/>
        <w:tblW w:type="auto" w:w="0"/>
        <w:jc w:val="left"/>
        <w:tblLayout w:type="fixed"/>
        <w:tblLook w:firstColumn="1" w:firstRow="1" w:lastColumn="0" w:lastRow="0" w:noHBand="0" w:noVBand="1" w:val="04A0"/>
      </w:tblPr>
      <w:tblGrid>
        <w:gridCol w:w="3360"/>
        <w:gridCol w:w="3360"/>
        <w:gridCol w:w="3360"/>
      </w:tblGrid>
      <w:tr>
        <w:trPr>
          <w:tblHeader w:val="true"/>
        </w:trPr>
        <w:tc>
          <w:tcPr>
            <w:tcW w:type="dxa" w:w="1872"/>
            <w:shd w:fill="F6EBDC"/>
            <w:tcMar>
              <w:top w:w="100" w:type="dxa"/>
              <w:start w:w="120" w:type="dxa"/>
              <w:bottom w:w="100" w:type="dxa"/>
              <w:end w:w="120" w:type="dxa"/>
            </w:tcMar>
          </w:tcPr>
          <w:p>
            <w:r>
              <w:rPr>
                <w:b/>
              </w:rPr>
              <w:t>Day</w:t>
            </w:r>
          </w:p>
        </w:tc>
        <w:tc>
          <w:tcPr>
            <w:tcW w:type="dxa" w:w="1440"/>
            <w:shd w:fill="F6EBDC"/>
            <w:tcMar>
              <w:top w:w="100" w:type="dxa"/>
              <w:start w:w="120" w:type="dxa"/>
              <w:bottom w:w="100" w:type="dxa"/>
              <w:end w:w="120" w:type="dxa"/>
            </w:tcMar>
          </w:tcPr>
          <w:p>
            <w:r>
              <w:rPr>
                <w:b/>
              </w:rPr>
              <w:t>Minutes</w:t>
            </w:r>
          </w:p>
        </w:tc>
        <w:tc>
          <w:tcPr>
            <w:tcW w:type="dxa" w:w="6048"/>
            <w:shd w:fill="F6EBDC"/>
            <w:tcMar>
              <w:top w:w="100" w:type="dxa"/>
              <w:start w:w="120" w:type="dxa"/>
              <w:bottom w:w="100" w:type="dxa"/>
              <w:end w:w="120" w:type="dxa"/>
            </w:tcMar>
          </w:tcPr>
          <w:p>
            <w:r>
              <w:rPr>
                <w:b/>
              </w:rPr>
              <w:t>Default subject focus</w:t>
            </w:r>
          </w:p>
        </w:tc>
      </w:tr>
      <w:tr>
        <w:tc>
          <w:tcPr>
            <w:tcW w:type="dxa" w:w="1872"/>
            <w:tcMar>
              <w:top w:w="100" w:type="dxa"/>
              <w:start w:w="120" w:type="dxa"/>
              <w:bottom w:w="100" w:type="dxa"/>
              <w:end w:w="120" w:type="dxa"/>
            </w:tcMar>
            <w:vAlign w:val="center"/>
          </w:tcPr>
          <w:p>
            <w:r>
              <w:t>Monday</w:t>
            </w:r>
          </w:p>
        </w:tc>
        <w:tc>
          <w:tcPr>
            <w:tcW w:type="dxa" w:w="1440"/>
            <w:tcMar>
              <w:top w:w="100" w:type="dxa"/>
              <w:start w:w="120" w:type="dxa"/>
              <w:bottom w:w="100" w:type="dxa"/>
              <w:end w:w="120" w:type="dxa"/>
            </w:tcMar>
            <w:vAlign w:val="center"/>
          </w:tcPr>
          <w:p>
            <w:r>
              <w:t>45</w:t>
            </w:r>
          </w:p>
        </w:tc>
        <w:tc>
          <w:tcPr>
            <w:tcW w:type="dxa" w:w="6048"/>
            <w:tcMar>
              <w:top w:w="100" w:type="dxa"/>
              <w:start w:w="120" w:type="dxa"/>
              <w:bottom w:w="100" w:type="dxa"/>
              <w:end w:w="120" w:type="dxa"/>
            </w:tcMar>
            <w:vAlign w:val="center"/>
          </w:tcPr>
          <w:p>
            <w:r>
              <w:t>History</w:t>
            </w:r>
          </w:p>
        </w:tc>
      </w:tr>
      <w:tr>
        <w:tc>
          <w:tcPr>
            <w:tcW w:type="dxa" w:w="1872"/>
            <w:tcMar>
              <w:top w:w="100" w:type="dxa"/>
              <w:start w:w="120" w:type="dxa"/>
              <w:bottom w:w="100" w:type="dxa"/>
              <w:end w:w="120" w:type="dxa"/>
            </w:tcMar>
            <w:vAlign w:val="center"/>
          </w:tcPr>
          <w:p>
            <w:r>
              <w:t>Tuesday</w:t>
            </w:r>
          </w:p>
        </w:tc>
        <w:tc>
          <w:tcPr>
            <w:tcW w:type="dxa" w:w="1440"/>
            <w:tcMar>
              <w:top w:w="100" w:type="dxa"/>
              <w:start w:w="120" w:type="dxa"/>
              <w:bottom w:w="100" w:type="dxa"/>
              <w:end w:w="120" w:type="dxa"/>
            </w:tcMar>
            <w:vAlign w:val="center"/>
          </w:tcPr>
          <w:p>
            <w:r>
              <w:t>45</w:t>
            </w:r>
          </w:p>
        </w:tc>
        <w:tc>
          <w:tcPr>
            <w:tcW w:type="dxa" w:w="6048"/>
            <w:tcMar>
              <w:top w:w="100" w:type="dxa"/>
              <w:start w:w="120" w:type="dxa"/>
              <w:bottom w:w="100" w:type="dxa"/>
              <w:end w:w="120" w:type="dxa"/>
            </w:tcMar>
            <w:vAlign w:val="center"/>
          </w:tcPr>
          <w:p>
            <w:r>
              <w:t>Chemistry</w:t>
            </w:r>
          </w:p>
        </w:tc>
      </w:tr>
      <w:tr>
        <w:tc>
          <w:tcPr>
            <w:tcW w:type="dxa" w:w="1872"/>
            <w:tcMar>
              <w:top w:w="100" w:type="dxa"/>
              <w:start w:w="120" w:type="dxa"/>
              <w:bottom w:w="100" w:type="dxa"/>
              <w:end w:w="120" w:type="dxa"/>
            </w:tcMar>
            <w:vAlign w:val="center"/>
          </w:tcPr>
          <w:p>
            <w:r>
              <w:t>Wednesday</w:t>
            </w:r>
          </w:p>
        </w:tc>
        <w:tc>
          <w:tcPr>
            <w:tcW w:type="dxa" w:w="1440"/>
            <w:tcMar>
              <w:top w:w="100" w:type="dxa"/>
              <w:start w:w="120" w:type="dxa"/>
              <w:bottom w:w="100" w:type="dxa"/>
              <w:end w:w="120" w:type="dxa"/>
            </w:tcMar>
            <w:vAlign w:val="center"/>
          </w:tcPr>
          <w:p>
            <w:r>
              <w:t>45</w:t>
            </w:r>
          </w:p>
        </w:tc>
        <w:tc>
          <w:tcPr>
            <w:tcW w:type="dxa" w:w="6048"/>
            <w:tcMar>
              <w:top w:w="100" w:type="dxa"/>
              <w:start w:w="120" w:type="dxa"/>
              <w:bottom w:w="100" w:type="dxa"/>
              <w:end w:w="120" w:type="dxa"/>
            </w:tcMar>
            <w:vAlign w:val="center"/>
          </w:tcPr>
          <w:p>
            <w:r>
              <w:t>Music</w:t>
            </w:r>
          </w:p>
        </w:tc>
      </w:tr>
      <w:tr>
        <w:tc>
          <w:tcPr>
            <w:tcW w:type="dxa" w:w="1872"/>
            <w:tcMar>
              <w:top w:w="100" w:type="dxa"/>
              <w:start w:w="120" w:type="dxa"/>
              <w:bottom w:w="100" w:type="dxa"/>
              <w:end w:w="120" w:type="dxa"/>
            </w:tcMar>
            <w:vAlign w:val="center"/>
          </w:tcPr>
          <w:p>
            <w:r>
              <w:t>Thursday</w:t>
            </w:r>
          </w:p>
        </w:tc>
        <w:tc>
          <w:tcPr>
            <w:tcW w:type="dxa" w:w="1440"/>
            <w:tcMar>
              <w:top w:w="100" w:type="dxa"/>
              <w:start w:w="120" w:type="dxa"/>
              <w:bottom w:w="100" w:type="dxa"/>
              <w:end w:w="120" w:type="dxa"/>
            </w:tcMar>
            <w:vAlign w:val="center"/>
          </w:tcPr>
          <w:p>
            <w:r>
              <w:t>45</w:t>
            </w:r>
          </w:p>
        </w:tc>
        <w:tc>
          <w:tcPr>
            <w:tcW w:type="dxa" w:w="6048"/>
            <w:tcMar>
              <w:top w:w="100" w:type="dxa"/>
              <w:start w:w="120" w:type="dxa"/>
              <w:bottom w:w="100" w:type="dxa"/>
              <w:end w:w="120" w:type="dxa"/>
            </w:tcMar>
            <w:vAlign w:val="center"/>
          </w:tcPr>
          <w:p>
            <w:r>
              <w:t>English Literature</w:t>
            </w:r>
          </w:p>
        </w:tc>
      </w:tr>
      <w:tr>
        <w:tc>
          <w:tcPr>
            <w:tcW w:type="dxa" w:w="1872"/>
            <w:tcMar>
              <w:top w:w="100" w:type="dxa"/>
              <w:start w:w="120" w:type="dxa"/>
              <w:bottom w:w="100" w:type="dxa"/>
              <w:end w:w="120" w:type="dxa"/>
            </w:tcMar>
            <w:vAlign w:val="center"/>
          </w:tcPr>
          <w:p>
            <w:r>
              <w:t>Friday</w:t>
            </w:r>
          </w:p>
        </w:tc>
        <w:tc>
          <w:tcPr>
            <w:tcW w:type="dxa" w:w="1440"/>
            <w:tcMar>
              <w:top w:w="100" w:type="dxa"/>
              <w:start w:w="120" w:type="dxa"/>
              <w:bottom w:w="100" w:type="dxa"/>
              <w:end w:w="120" w:type="dxa"/>
            </w:tcMar>
            <w:vAlign w:val="center"/>
          </w:tcPr>
          <w:p>
            <w:r>
              <w:t>45</w:t>
            </w:r>
          </w:p>
        </w:tc>
        <w:tc>
          <w:tcPr>
            <w:tcW w:type="dxa" w:w="6048"/>
            <w:tcMar>
              <w:top w:w="100" w:type="dxa"/>
              <w:start w:w="120" w:type="dxa"/>
              <w:bottom w:w="100" w:type="dxa"/>
              <w:end w:w="120" w:type="dxa"/>
            </w:tcMar>
            <w:vAlign w:val="center"/>
          </w:tcPr>
          <w:p>
            <w:r>
              <w:t>Biology</w:t>
            </w:r>
          </w:p>
        </w:tc>
      </w:tr>
      <w:tr>
        <w:tc>
          <w:tcPr>
            <w:tcW w:type="dxa" w:w="1872"/>
            <w:tcMar>
              <w:top w:w="100" w:type="dxa"/>
              <w:start w:w="120" w:type="dxa"/>
              <w:bottom w:w="100" w:type="dxa"/>
              <w:end w:w="120" w:type="dxa"/>
            </w:tcMar>
            <w:vAlign w:val="center"/>
          </w:tcPr>
          <w:p>
            <w:r>
              <w:t>Saturday</w:t>
            </w:r>
          </w:p>
        </w:tc>
        <w:tc>
          <w:tcPr>
            <w:tcW w:type="dxa" w:w="1440"/>
            <w:tcMar>
              <w:top w:w="100" w:type="dxa"/>
              <w:start w:w="120" w:type="dxa"/>
              <w:bottom w:w="100" w:type="dxa"/>
              <w:end w:w="120" w:type="dxa"/>
            </w:tcMar>
            <w:vAlign w:val="center"/>
          </w:tcPr>
          <w:p>
            <w:r>
              <w:t>60</w:t>
            </w:r>
          </w:p>
        </w:tc>
        <w:tc>
          <w:tcPr>
            <w:tcW w:type="dxa" w:w="6048"/>
            <w:tcMar>
              <w:top w:w="100" w:type="dxa"/>
              <w:start w:w="120" w:type="dxa"/>
              <w:bottom w:w="100" w:type="dxa"/>
              <w:end w:w="120" w:type="dxa"/>
            </w:tcMar>
            <w:vAlign w:val="center"/>
          </w:tcPr>
          <w:p>
            <w:r>
              <w:t>Music</w:t>
            </w:r>
          </w:p>
        </w:tc>
      </w:tr>
      <w:tr>
        <w:tc>
          <w:tcPr>
            <w:tcW w:type="dxa" w:w="1872"/>
            <w:tcMar>
              <w:top w:w="100" w:type="dxa"/>
              <w:start w:w="120" w:type="dxa"/>
              <w:bottom w:w="100" w:type="dxa"/>
              <w:end w:w="120" w:type="dxa"/>
            </w:tcMar>
            <w:vAlign w:val="center"/>
          </w:tcPr>
          <w:p>
            <w:r>
              <w:t>Sunday</w:t>
            </w:r>
          </w:p>
        </w:tc>
        <w:tc>
          <w:tcPr>
            <w:tcW w:type="dxa" w:w="1440"/>
            <w:tcMar>
              <w:top w:w="100" w:type="dxa"/>
              <w:start w:w="120" w:type="dxa"/>
              <w:bottom w:w="100" w:type="dxa"/>
              <w:end w:w="120" w:type="dxa"/>
            </w:tcMar>
            <w:vAlign w:val="center"/>
          </w:tcPr>
          <w:p>
            <w:r>
              <w:t>60</w:t>
            </w:r>
          </w:p>
        </w:tc>
        <w:tc>
          <w:tcPr>
            <w:tcW w:type="dxa" w:w="6048"/>
            <w:tcMar>
              <w:top w:w="100" w:type="dxa"/>
              <w:start w:w="120" w:type="dxa"/>
              <w:bottom w:w="100" w:type="dxa"/>
              <w:end w:w="120" w:type="dxa"/>
            </w:tcMar>
            <w:vAlign w:val="center"/>
          </w:tcPr>
          <w:p>
            <w:r>
              <w:t>Alternate History / Chemistry</w:t>
            </w:r>
          </w:p>
        </w:tc>
      </w:tr>
    </w:tbl>
    <w:p>
      <w:pPr>
        <w:pStyle w:val="Heading2"/>
      </w:pPr>
      <w:r>
        <w:t>5.3 Rule set from 10 May onward</w:t>
      </w:r>
    </w:p>
    <w:p>
      <w:pPr>
        <w:spacing w:after="40" w:before="0" w:line="276" w:lineRule="auto"/>
        <w:ind w:left="259"/>
      </w:pPr>
      <w:r>
        <w:t>• Available revision time becomes 90 minutes per day.</w:t>
      </w:r>
    </w:p>
    <w:p>
      <w:pPr>
        <w:spacing w:after="40" w:before="0" w:line="276" w:lineRule="auto"/>
        <w:ind w:left="259"/>
      </w:pPr>
      <w:r>
        <w:t>• Default behaviour: assign the full 90 minutes to the next upcoming exam.</w:t>
      </w:r>
    </w:p>
    <w:p>
      <w:pPr>
        <w:spacing w:after="40" w:before="0" w:line="276" w:lineRule="auto"/>
        <w:ind w:left="259"/>
      </w:pPr>
      <w:r>
        <w:t>• If two exams fall within the next 48 hours, split 60/30 between them.</w:t>
      </w:r>
    </w:p>
    <w:p>
      <w:pPr>
        <w:spacing w:after="40" w:before="0" w:line="276" w:lineRule="auto"/>
        <w:ind w:left="259"/>
      </w:pPr>
      <w:r>
        <w:t>• If two exams occur on the same day, split 45/45 unless one subject is clearly underprepared; in that case allow a manual override.</w:t>
      </w:r>
    </w:p>
    <w:p>
      <w:pPr>
        <w:spacing w:after="40" w:before="0" w:line="276" w:lineRule="auto"/>
        <w:ind w:left="259"/>
      </w:pPr>
      <w:r>
        <w:t>• In the final two days before Music, reserve at least 30 minutes for Music each day because it is a highest-priority weakness.</w:t>
      </w:r>
    </w:p>
    <w:p>
      <w:pPr>
        <w:pStyle w:val="Heading1"/>
      </w:pPr>
      <w:r>
        <w:t>6. Upcoming schedule review</w:t>
      </w:r>
    </w:p>
    <w:p>
      <w:pPr>
        <w:spacing w:after="80" w:before="0" w:line="276" w:lineRule="auto"/>
      </w:pPr>
      <w:r>
        <w:t>The exam run starts quickly, so the app should treat English Literature, Biology, History, and Chemistry as the early sequence to protect. The key dates are 11 May (English Literature Paper 1), 12 May (Biology Paper 1), 15 May (History Paper 1), and 18 May (Chemistry Paper 1).</w:t>
      </w:r>
    </w:p>
    <w:p>
      <w:pPr>
        <w:spacing w:after="80" w:before="0" w:line="276" w:lineRule="auto"/>
      </w:pPr>
      <w:r>
        <w:t>There are also compressed clusters where a rigid “next exam only” rule would be too blunt. The most important split days are 19 May (English Literature and Computer Science), 5 June (English Language and Music), and 9 June (Spanish and History).</w:t>
      </w:r>
    </w:p>
    <w:p>
      <w:pPr>
        <w:spacing w:after="80" w:before="0" w:line="276" w:lineRule="auto"/>
      </w:pPr>
      <w:r>
        <w:t>That means the scheduler should switch to split sessions around those dates rather than blindly allocating all 90 minutes to one paper.</w:t>
      </w:r>
    </w:p>
    <w:p>
      <w:pPr>
        <w:pStyle w:val="Heading2"/>
      </w:pPr>
      <w:r>
        <w:t>Recommended generated plan shape</w:t>
      </w:r>
    </w:p>
    <w:tbl>
      <w:tblPr>
        <w:tblStyle w:val="TableGrid"/>
        <w:tblW w:type="auto" w:w="0"/>
        <w:jc w:val="left"/>
        <w:tblLayout w:type="fixed"/>
        <w:tblLook w:firstColumn="1" w:firstRow="1" w:lastColumn="0" w:lastRow="0" w:noHBand="0" w:noVBand="1" w:val="04A0"/>
      </w:tblPr>
      <w:tblGrid>
        <w:gridCol w:w="5040"/>
        <w:gridCol w:w="5040"/>
      </w:tblGrid>
      <w:tr>
        <w:trPr>
          <w:tblHeader w:val="true"/>
        </w:trPr>
        <w:tc>
          <w:tcPr>
            <w:tcW w:type="dxa" w:w="2592"/>
            <w:shd w:fill="E7EEF8"/>
            <w:tcMar>
              <w:top w:w="100" w:type="dxa"/>
              <w:start w:w="120" w:type="dxa"/>
              <w:bottom w:w="100" w:type="dxa"/>
              <w:end w:w="120" w:type="dxa"/>
            </w:tcMar>
          </w:tcPr>
          <w:p>
            <w:r>
              <w:rPr>
                <w:b/>
              </w:rPr>
              <w:t>Window</w:t>
            </w:r>
          </w:p>
        </w:tc>
        <w:tc>
          <w:tcPr>
            <w:tcW w:type="dxa" w:w="6768"/>
            <w:shd w:fill="E7EEF8"/>
            <w:tcMar>
              <w:top w:w="100" w:type="dxa"/>
              <w:start w:w="120" w:type="dxa"/>
              <w:bottom w:w="100" w:type="dxa"/>
              <w:end w:w="120" w:type="dxa"/>
            </w:tcMar>
          </w:tcPr>
          <w:p>
            <w:r>
              <w:rPr>
                <w:b/>
              </w:rPr>
              <w:t>Scheduler behaviour</w:t>
            </w:r>
          </w:p>
        </w:tc>
      </w:tr>
      <w:tr>
        <w:tc>
          <w:tcPr>
            <w:tcW w:type="dxa" w:w="2592"/>
            <w:tcMar>
              <w:top w:w="100" w:type="dxa"/>
              <w:start w:w="120" w:type="dxa"/>
              <w:bottom w:w="100" w:type="dxa"/>
              <w:end w:w="120" w:type="dxa"/>
            </w:tcMar>
            <w:vAlign w:val="center"/>
          </w:tcPr>
          <w:p>
            <w:r>
              <w:t>Now to 9 May</w:t>
            </w:r>
          </w:p>
        </w:tc>
        <w:tc>
          <w:tcPr>
            <w:tcW w:type="dxa" w:w="6768"/>
            <w:tcMar>
              <w:top w:w="100" w:type="dxa"/>
              <w:start w:w="120" w:type="dxa"/>
              <w:bottom w:w="100" w:type="dxa"/>
              <w:end w:w="120" w:type="dxa"/>
            </w:tcMar>
            <w:vAlign w:val="center"/>
          </w:tcPr>
          <w:p>
            <w:r>
              <w:t>Recurring weighted weekly plan with Music twice weekly, History weekly, Chemistry weekly, Biology weekly, English Literature weekly, and alternating Sunday focus.</w:t>
            </w:r>
          </w:p>
        </w:tc>
      </w:tr>
      <w:tr>
        <w:tc>
          <w:tcPr>
            <w:tcW w:type="dxa" w:w="2592"/>
            <w:tcMar>
              <w:top w:w="100" w:type="dxa"/>
              <w:start w:w="120" w:type="dxa"/>
              <w:bottom w:w="100" w:type="dxa"/>
              <w:end w:w="120" w:type="dxa"/>
            </w:tcMar>
            <w:vAlign w:val="center"/>
          </w:tcPr>
          <w:p>
            <w:r>
              <w:t>10–18 May</w:t>
            </w:r>
          </w:p>
        </w:tc>
        <w:tc>
          <w:tcPr>
            <w:tcW w:type="dxa" w:w="6768"/>
            <w:tcMar>
              <w:top w:w="100" w:type="dxa"/>
              <w:start w:w="120" w:type="dxa"/>
              <w:bottom w:w="100" w:type="dxa"/>
              <w:end w:w="120" w:type="dxa"/>
            </w:tcMar>
            <w:vAlign w:val="center"/>
          </w:tcPr>
          <w:p>
            <w:r>
              <w:t>Exam-led sequence: English Literature → Biology → Computer Science → Maths → History → Chemistry. Use 90 minutes daily, split only when a second exam is within 48 hours.</w:t>
            </w:r>
          </w:p>
        </w:tc>
      </w:tr>
      <w:tr>
        <w:tc>
          <w:tcPr>
            <w:tcW w:type="dxa" w:w="2592"/>
            <w:tcMar>
              <w:top w:w="100" w:type="dxa"/>
              <w:start w:w="120" w:type="dxa"/>
              <w:bottom w:w="100" w:type="dxa"/>
              <w:end w:w="120" w:type="dxa"/>
            </w:tcMar>
            <w:vAlign w:val="center"/>
          </w:tcPr>
          <w:p>
            <w:r>
              <w:t>19–21 May</w:t>
            </w:r>
          </w:p>
        </w:tc>
        <w:tc>
          <w:tcPr>
            <w:tcW w:type="dxa" w:w="6768"/>
            <w:tcMar>
              <w:top w:w="100" w:type="dxa"/>
              <w:start w:w="120" w:type="dxa"/>
              <w:bottom w:w="100" w:type="dxa"/>
              <w:end w:w="120" w:type="dxa"/>
            </w:tcMar>
            <w:vAlign w:val="center"/>
          </w:tcPr>
          <w:p>
            <w:r>
              <w:t>Split-session handling for 19 May double papers, then pivot to English Language for 21 May.</w:t>
            </w:r>
          </w:p>
        </w:tc>
      </w:tr>
      <w:tr>
        <w:tc>
          <w:tcPr>
            <w:tcW w:type="dxa" w:w="2592"/>
            <w:tcMar>
              <w:top w:w="100" w:type="dxa"/>
              <w:start w:w="120" w:type="dxa"/>
              <w:bottom w:w="100" w:type="dxa"/>
              <w:end w:w="120" w:type="dxa"/>
            </w:tcMar>
            <w:vAlign w:val="center"/>
          </w:tcPr>
          <w:p>
            <w:r>
              <w:t>2–5 June</w:t>
            </w:r>
          </w:p>
        </w:tc>
        <w:tc>
          <w:tcPr>
            <w:tcW w:type="dxa" w:w="6768"/>
            <w:tcMar>
              <w:top w:w="100" w:type="dxa"/>
              <w:start w:w="120" w:type="dxa"/>
              <w:bottom w:w="100" w:type="dxa"/>
              <w:end w:w="120" w:type="dxa"/>
            </w:tcMar>
            <w:vAlign w:val="center"/>
          </w:tcPr>
          <w:p>
            <w:r>
              <w:t>Physics → Maths → History → split English Language / Music.</w:t>
            </w:r>
          </w:p>
        </w:tc>
      </w:tr>
      <w:tr>
        <w:tc>
          <w:tcPr>
            <w:tcW w:type="dxa" w:w="2592"/>
            <w:tcMar>
              <w:top w:w="100" w:type="dxa"/>
              <w:start w:w="120" w:type="dxa"/>
              <w:bottom w:w="100" w:type="dxa"/>
              <w:end w:w="120" w:type="dxa"/>
            </w:tcMar>
            <w:vAlign w:val="center"/>
          </w:tcPr>
          <w:p>
            <w:r>
              <w:t>8–16 June</w:t>
            </w:r>
          </w:p>
        </w:tc>
        <w:tc>
          <w:tcPr>
            <w:tcW w:type="dxa" w:w="6768"/>
            <w:tcMar>
              <w:top w:w="100" w:type="dxa"/>
              <w:start w:w="120" w:type="dxa"/>
              <w:bottom w:w="100" w:type="dxa"/>
              <w:end w:w="120" w:type="dxa"/>
            </w:tcMar>
            <w:vAlign w:val="center"/>
          </w:tcPr>
          <w:p>
            <w:r>
              <w:t>Biology → split Spanish / History → Maths → Chemistry → Physics → Spanish Writing.</w:t>
            </w:r>
          </w:p>
        </w:tc>
      </w:tr>
    </w:tbl>
    <w:p>
      <w:pPr>
        <w:pStyle w:val="Heading1"/>
      </w:pPr>
      <w:r>
        <w:t>7. Technical specification</w:t>
      </w:r>
    </w:p>
    <w:p>
      <w:pPr>
        <w:pStyle w:val="Heading2"/>
      </w:pPr>
      <w:r>
        <w:t>7.1 Stack</w:t>
      </w:r>
    </w:p>
    <w:p>
      <w:pPr>
        <w:spacing w:after="40" w:before="0" w:line="276" w:lineRule="auto"/>
        <w:ind w:left="259"/>
      </w:pPr>
      <w:r>
        <w:t>• Framework: Next.js with TypeScript.</w:t>
      </w:r>
    </w:p>
    <w:p>
      <w:pPr>
        <w:spacing w:after="40" w:before="0" w:line="276" w:lineRule="auto"/>
        <w:ind w:left="259"/>
      </w:pPr>
      <w:r>
        <w:t>• Styling: Tailwind CSS.</w:t>
      </w:r>
    </w:p>
    <w:p>
      <w:pPr>
        <w:spacing w:after="40" w:before="0" w:line="276" w:lineRule="auto"/>
        <w:ind w:left="259"/>
      </w:pPr>
      <w:r>
        <w:t>• State: local storage for MVP; optional later migration to Firebase only if sync across devices becomes essential.</w:t>
      </w:r>
    </w:p>
    <w:p>
      <w:pPr>
        <w:spacing w:after="40" w:before="0" w:line="276" w:lineRule="auto"/>
        <w:ind w:left="259"/>
      </w:pPr>
      <w:r>
        <w:t>• Installability: PWA so the app can sit on a phone home screen.</w:t>
      </w:r>
    </w:p>
    <w:p>
      <w:pPr>
        <w:spacing w:after="40" w:before="0" w:line="276" w:lineRule="auto"/>
        <w:ind w:left="259"/>
      </w:pPr>
      <w:r>
        <w:t>• Hosting: Vercel Hobby deployment for personal use.</w:t>
      </w:r>
    </w:p>
    <w:p>
      <w:pPr>
        <w:pStyle w:val="Heading2"/>
      </w:pPr>
      <w:r>
        <w:t>7.2 Data model</w:t>
      </w:r>
    </w:p>
    <w:p>
      <w:pPr>
        <w:spacing w:after="40" w:before="0" w:line="276" w:lineRule="auto"/>
        <w:ind w:left="259"/>
      </w:pPr>
      <w:r>
        <w:t>• Subject { id, name, priorityWeight, color }</w:t>
      </w:r>
    </w:p>
    <w:p>
      <w:pPr>
        <w:spacing w:after="40" w:before="0" w:line="276" w:lineRule="auto"/>
        <w:ind w:left="259"/>
      </w:pPr>
      <w:r>
        <w:t>• Exam { id, subjectId, title, dateTime, paper }</w:t>
      </w:r>
    </w:p>
    <w:p>
      <w:pPr>
        <w:spacing w:after="40" w:before="0" w:line="276" w:lineRule="auto"/>
        <w:ind w:left="259"/>
      </w:pPr>
      <w:r>
        <w:t>• RevisionSession { id, date, subjectId, plannedMinutes, actualMinutes, topic, status }</w:t>
      </w:r>
    </w:p>
    <w:p>
      <w:pPr>
        <w:spacing w:after="40" w:before="0" w:line="276" w:lineRule="auto"/>
        <w:ind w:left="259"/>
      </w:pPr>
      <w:r>
        <w:t>• ReviewLog { sessionId, confidenceBefore, confidenceAfter, trafficLight, note }</w:t>
      </w:r>
    </w:p>
    <w:p>
      <w:pPr>
        <w:pStyle w:val="Heading2"/>
      </w:pPr>
      <w:r>
        <w:t>7.3 Non-functional requirements</w:t>
      </w:r>
    </w:p>
    <w:p>
      <w:pPr>
        <w:spacing w:after="40" w:before="0" w:line="276" w:lineRule="auto"/>
        <w:ind w:left="259"/>
      </w:pPr>
      <w:r>
        <w:t>• Must load fast on mobile first.</w:t>
      </w:r>
    </w:p>
    <w:p>
      <w:pPr>
        <w:spacing w:after="40" w:before="0" w:line="276" w:lineRule="auto"/>
        <w:ind w:left="259"/>
      </w:pPr>
      <w:r>
        <w:t>• Must work without a backend for MVP.</w:t>
      </w:r>
    </w:p>
    <w:p>
      <w:pPr>
        <w:spacing w:after="40" w:before="0" w:line="276" w:lineRule="auto"/>
        <w:ind w:left="259"/>
      </w:pPr>
      <w:r>
        <w:t>• Must survive refreshes and browser restarts.</w:t>
      </w:r>
    </w:p>
    <w:p>
      <w:pPr>
        <w:spacing w:after="40" w:before="0" w:line="276" w:lineRule="auto"/>
        <w:ind w:left="259"/>
      </w:pPr>
      <w:r>
        <w:t>• Must allow the full plan to be reset and regenerated from exam dates plus priority weights.</w:t>
      </w:r>
    </w:p>
    <w:p>
      <w:pPr>
        <w:pStyle w:val="Heading1"/>
      </w:pPr>
      <w:r>
        <w:t>8. Delivery plan</w:t>
      </w:r>
    </w:p>
    <w:p>
      <w:pPr>
        <w:spacing w:after="40" w:before="0" w:line="276" w:lineRule="auto"/>
        <w:ind w:left="259"/>
      </w:pPr>
      <w:r>
        <w:t>• Phase 1: static exam import and weighted plan generation.</w:t>
      </w:r>
    </w:p>
    <w:p>
      <w:pPr>
        <w:spacing w:after="40" w:before="0" w:line="276" w:lineRule="auto"/>
        <w:ind w:left="259"/>
      </w:pPr>
      <w:r>
        <w:t>• Phase 2: today screen, completion logging, and progress view.</w:t>
      </w:r>
    </w:p>
    <w:p>
      <w:pPr>
        <w:spacing w:after="40" w:before="0" w:line="276" w:lineRule="auto"/>
        <w:ind w:left="259"/>
      </w:pPr>
      <w:r>
        <w:t>• Phase 3: PWA install prompt and daily browser reminder.</w:t>
      </w:r>
    </w:p>
    <w:p>
      <w:pPr>
        <w:spacing w:after="40" w:before="0" w:line="276" w:lineRule="auto"/>
        <w:ind w:left="259"/>
      </w:pPr>
      <w:r>
        <w:t>• Phase 4: optional sync or sign-in only if needed after real use.</w:t>
      </w:r>
    </w:p>
    <w:p>
      <w:pPr>
        <w:pStyle w:val="Heading1"/>
      </w:pPr>
      <w:r>
        <w:t>Appendix: key exams informing the schedule review</w:t>
      </w:r>
    </w:p>
    <w:tbl>
      <w:tblPr>
        <w:tblStyle w:val="TableGrid"/>
        <w:tblW w:type="auto" w:w="0"/>
        <w:jc w:val="left"/>
        <w:tblLayout w:type="fixed"/>
        <w:tblLook w:firstColumn="1" w:firstRow="1" w:lastColumn="0" w:lastRow="0" w:noHBand="0" w:noVBand="1" w:val="04A0"/>
      </w:tblPr>
      <w:tblGrid>
        <w:gridCol w:w="3360"/>
        <w:gridCol w:w="3360"/>
        <w:gridCol w:w="3360"/>
      </w:tblGrid>
      <w:tr>
        <w:trPr>
          <w:tblHeader w:val="true"/>
        </w:trPr>
        <w:tc>
          <w:tcPr>
            <w:tcW w:type="dxa" w:w="2016"/>
            <w:shd w:fill="E8ECEF"/>
            <w:tcMar>
              <w:top w:w="100" w:type="dxa"/>
              <w:start w:w="120" w:type="dxa"/>
              <w:bottom w:w="100" w:type="dxa"/>
              <w:end w:w="120" w:type="dxa"/>
            </w:tcMar>
          </w:tcPr>
          <w:p>
            <w:r>
              <w:rPr>
                <w:b/>
              </w:rPr>
              <w:t>Date</w:t>
            </w:r>
          </w:p>
        </w:tc>
        <w:tc>
          <w:tcPr>
            <w:tcW w:type="dxa" w:w="2592"/>
            <w:shd w:fill="E8ECEF"/>
            <w:tcMar>
              <w:top w:w="100" w:type="dxa"/>
              <w:start w:w="120" w:type="dxa"/>
              <w:bottom w:w="100" w:type="dxa"/>
              <w:end w:w="120" w:type="dxa"/>
            </w:tcMar>
          </w:tcPr>
          <w:p>
            <w:r>
              <w:rPr>
                <w:b/>
              </w:rPr>
              <w:t>Subject</w:t>
            </w:r>
          </w:p>
        </w:tc>
        <w:tc>
          <w:tcPr>
            <w:tcW w:type="dxa" w:w="4752"/>
            <w:shd w:fill="E8ECEF"/>
            <w:tcMar>
              <w:top w:w="100" w:type="dxa"/>
              <w:start w:w="120" w:type="dxa"/>
              <w:bottom w:w="100" w:type="dxa"/>
              <w:end w:w="120" w:type="dxa"/>
            </w:tcMar>
          </w:tcPr>
          <w:p>
            <w:r>
              <w:rPr>
                <w:b/>
              </w:rPr>
              <w:t>Note</w:t>
            </w:r>
          </w:p>
        </w:tc>
      </w:tr>
      <w:tr>
        <w:tc>
          <w:tcPr>
            <w:tcW w:type="dxa" w:w="2016"/>
            <w:tcMar>
              <w:top w:w="100" w:type="dxa"/>
              <w:start w:w="120" w:type="dxa"/>
              <w:bottom w:w="100" w:type="dxa"/>
              <w:end w:w="120" w:type="dxa"/>
            </w:tcMar>
            <w:vAlign w:val="center"/>
          </w:tcPr>
          <w:p>
            <w:r>
              <w:t>11 May</w:t>
            </w:r>
          </w:p>
        </w:tc>
        <w:tc>
          <w:tcPr>
            <w:tcW w:type="dxa" w:w="2592"/>
            <w:tcMar>
              <w:top w:w="100" w:type="dxa"/>
              <w:start w:w="120" w:type="dxa"/>
              <w:bottom w:w="100" w:type="dxa"/>
              <w:end w:w="120" w:type="dxa"/>
            </w:tcMar>
            <w:vAlign w:val="center"/>
          </w:tcPr>
          <w:p>
            <w:r>
              <w:t>English Literature</w:t>
            </w:r>
          </w:p>
        </w:tc>
        <w:tc>
          <w:tcPr>
            <w:tcW w:type="dxa" w:w="4752"/>
            <w:tcMar>
              <w:top w:w="100" w:type="dxa"/>
              <w:start w:w="120" w:type="dxa"/>
              <w:bottom w:w="100" w:type="dxa"/>
              <w:end w:w="120" w:type="dxa"/>
            </w:tcMar>
            <w:vAlign w:val="center"/>
          </w:tcPr>
          <w:p>
            <w:r>
              <w:t>Paper 1 starts the exam run.</w:t>
            </w:r>
          </w:p>
        </w:tc>
      </w:tr>
      <w:tr>
        <w:tc>
          <w:tcPr>
            <w:tcW w:type="dxa" w:w="2016"/>
            <w:tcMar>
              <w:top w:w="100" w:type="dxa"/>
              <w:start w:w="120" w:type="dxa"/>
              <w:bottom w:w="100" w:type="dxa"/>
              <w:end w:w="120" w:type="dxa"/>
            </w:tcMar>
            <w:vAlign w:val="center"/>
          </w:tcPr>
          <w:p>
            <w:r>
              <w:t>12 May</w:t>
            </w:r>
          </w:p>
        </w:tc>
        <w:tc>
          <w:tcPr>
            <w:tcW w:type="dxa" w:w="2592"/>
            <w:tcMar>
              <w:top w:w="100" w:type="dxa"/>
              <w:start w:w="120" w:type="dxa"/>
              <w:bottom w:w="100" w:type="dxa"/>
              <w:end w:w="120" w:type="dxa"/>
            </w:tcMar>
            <w:vAlign w:val="center"/>
          </w:tcPr>
          <w:p>
            <w:r>
              <w:t>Biology</w:t>
            </w:r>
          </w:p>
        </w:tc>
        <w:tc>
          <w:tcPr>
            <w:tcW w:type="dxa" w:w="4752"/>
            <w:tcMar>
              <w:top w:w="100" w:type="dxa"/>
              <w:start w:w="120" w:type="dxa"/>
              <w:bottom w:w="100" w:type="dxa"/>
              <w:end w:w="120" w:type="dxa"/>
            </w:tcMar>
            <w:vAlign w:val="center"/>
          </w:tcPr>
          <w:p>
            <w:r>
              <w:t>Early science paper; keep in weekly rotation before exams begin.</w:t>
            </w:r>
          </w:p>
        </w:tc>
      </w:tr>
      <w:tr>
        <w:tc>
          <w:tcPr>
            <w:tcW w:type="dxa" w:w="2016"/>
            <w:tcMar>
              <w:top w:w="100" w:type="dxa"/>
              <w:start w:w="120" w:type="dxa"/>
              <w:bottom w:w="100" w:type="dxa"/>
              <w:end w:w="120" w:type="dxa"/>
            </w:tcMar>
            <w:vAlign w:val="center"/>
          </w:tcPr>
          <w:p>
            <w:r>
              <w:t>15 May</w:t>
            </w:r>
          </w:p>
        </w:tc>
        <w:tc>
          <w:tcPr>
            <w:tcW w:type="dxa" w:w="2592"/>
            <w:tcMar>
              <w:top w:w="100" w:type="dxa"/>
              <w:start w:w="120" w:type="dxa"/>
              <w:bottom w:w="100" w:type="dxa"/>
              <w:end w:w="120" w:type="dxa"/>
            </w:tcMar>
            <w:vAlign w:val="center"/>
          </w:tcPr>
          <w:p>
            <w:r>
              <w:t>History</w:t>
            </w:r>
          </w:p>
        </w:tc>
        <w:tc>
          <w:tcPr>
            <w:tcW w:type="dxa" w:w="4752"/>
            <w:tcMar>
              <w:top w:w="100" w:type="dxa"/>
              <w:start w:w="120" w:type="dxa"/>
              <w:bottom w:w="100" w:type="dxa"/>
              <w:end w:w="120" w:type="dxa"/>
            </w:tcMar>
            <w:vAlign w:val="center"/>
          </w:tcPr>
          <w:p>
            <w:r>
              <w:t>High-priority 2.0× subject.</w:t>
            </w:r>
          </w:p>
        </w:tc>
      </w:tr>
      <w:tr>
        <w:tc>
          <w:tcPr>
            <w:tcW w:type="dxa" w:w="2016"/>
            <w:tcMar>
              <w:top w:w="100" w:type="dxa"/>
              <w:start w:w="120" w:type="dxa"/>
              <w:bottom w:w="100" w:type="dxa"/>
              <w:end w:w="120" w:type="dxa"/>
            </w:tcMar>
            <w:vAlign w:val="center"/>
          </w:tcPr>
          <w:p>
            <w:r>
              <w:t>18 May</w:t>
            </w:r>
          </w:p>
        </w:tc>
        <w:tc>
          <w:tcPr>
            <w:tcW w:type="dxa" w:w="2592"/>
            <w:tcMar>
              <w:top w:w="100" w:type="dxa"/>
              <w:start w:w="120" w:type="dxa"/>
              <w:bottom w:w="100" w:type="dxa"/>
              <w:end w:w="120" w:type="dxa"/>
            </w:tcMar>
            <w:vAlign w:val="center"/>
          </w:tcPr>
          <w:p>
            <w:r>
              <w:t>Chemistry</w:t>
            </w:r>
          </w:p>
        </w:tc>
        <w:tc>
          <w:tcPr>
            <w:tcW w:type="dxa" w:w="4752"/>
            <w:tcMar>
              <w:top w:w="100" w:type="dxa"/>
              <w:start w:w="120" w:type="dxa"/>
              <w:bottom w:w="100" w:type="dxa"/>
              <w:end w:w="120" w:type="dxa"/>
            </w:tcMar>
            <w:vAlign w:val="center"/>
          </w:tcPr>
          <w:p>
            <w:r>
              <w:t>High-priority 2.0× subject.</w:t>
            </w:r>
          </w:p>
        </w:tc>
      </w:tr>
      <w:tr>
        <w:tc>
          <w:tcPr>
            <w:tcW w:type="dxa" w:w="2016"/>
            <w:tcMar>
              <w:top w:w="100" w:type="dxa"/>
              <w:start w:w="120" w:type="dxa"/>
              <w:bottom w:w="100" w:type="dxa"/>
              <w:end w:w="120" w:type="dxa"/>
            </w:tcMar>
            <w:vAlign w:val="center"/>
          </w:tcPr>
          <w:p>
            <w:r>
              <w:t>19 May</w:t>
            </w:r>
          </w:p>
        </w:tc>
        <w:tc>
          <w:tcPr>
            <w:tcW w:type="dxa" w:w="2592"/>
            <w:tcMar>
              <w:top w:w="100" w:type="dxa"/>
              <w:start w:w="120" w:type="dxa"/>
              <w:bottom w:w="100" w:type="dxa"/>
              <w:end w:w="120" w:type="dxa"/>
            </w:tcMar>
            <w:vAlign w:val="center"/>
          </w:tcPr>
          <w:p>
            <w:r>
              <w:t>English Literature + Computer Science</w:t>
            </w:r>
          </w:p>
        </w:tc>
        <w:tc>
          <w:tcPr>
            <w:tcW w:type="dxa" w:w="4752"/>
            <w:tcMar>
              <w:top w:w="100" w:type="dxa"/>
              <w:start w:w="120" w:type="dxa"/>
              <w:bottom w:w="100" w:type="dxa"/>
              <w:end w:w="120" w:type="dxa"/>
            </w:tcMar>
            <w:vAlign w:val="center"/>
          </w:tcPr>
          <w:p>
            <w:r>
              <w:t>Double-paper day; requires split planning.</w:t>
            </w:r>
          </w:p>
        </w:tc>
      </w:tr>
      <w:tr>
        <w:tc>
          <w:tcPr>
            <w:tcW w:type="dxa" w:w="2016"/>
            <w:tcMar>
              <w:top w:w="100" w:type="dxa"/>
              <w:start w:w="120" w:type="dxa"/>
              <w:bottom w:w="100" w:type="dxa"/>
              <w:end w:w="120" w:type="dxa"/>
            </w:tcMar>
            <w:vAlign w:val="center"/>
          </w:tcPr>
          <w:p>
            <w:r>
              <w:t>5 June</w:t>
            </w:r>
          </w:p>
        </w:tc>
        <w:tc>
          <w:tcPr>
            <w:tcW w:type="dxa" w:w="2592"/>
            <w:tcMar>
              <w:top w:w="100" w:type="dxa"/>
              <w:start w:w="120" w:type="dxa"/>
              <w:bottom w:w="100" w:type="dxa"/>
              <w:end w:w="120" w:type="dxa"/>
            </w:tcMar>
            <w:vAlign w:val="center"/>
          </w:tcPr>
          <w:p>
            <w:r>
              <w:t>English Language + Music</w:t>
            </w:r>
          </w:p>
        </w:tc>
        <w:tc>
          <w:tcPr>
            <w:tcW w:type="dxa" w:w="4752"/>
            <w:tcMar>
              <w:top w:w="100" w:type="dxa"/>
              <w:start w:w="120" w:type="dxa"/>
              <w:bottom w:w="100" w:type="dxa"/>
              <w:end w:w="120" w:type="dxa"/>
            </w:tcMar>
            <w:vAlign w:val="center"/>
          </w:tcPr>
          <w:p>
            <w:r>
              <w:t>Double-paper day; Music must not be squeezed out.</w:t>
            </w:r>
          </w:p>
        </w:tc>
      </w:tr>
      <w:tr>
        <w:tc>
          <w:tcPr>
            <w:tcW w:type="dxa" w:w="2016"/>
            <w:tcMar>
              <w:top w:w="100" w:type="dxa"/>
              <w:start w:w="120" w:type="dxa"/>
              <w:bottom w:w="100" w:type="dxa"/>
              <w:end w:w="120" w:type="dxa"/>
            </w:tcMar>
            <w:vAlign w:val="center"/>
          </w:tcPr>
          <w:p>
            <w:r>
              <w:t>9 June</w:t>
            </w:r>
          </w:p>
        </w:tc>
        <w:tc>
          <w:tcPr>
            <w:tcW w:type="dxa" w:w="2592"/>
            <w:tcMar>
              <w:top w:w="100" w:type="dxa"/>
              <w:start w:w="120" w:type="dxa"/>
              <w:bottom w:w="100" w:type="dxa"/>
              <w:end w:w="120" w:type="dxa"/>
            </w:tcMar>
            <w:vAlign w:val="center"/>
          </w:tcPr>
          <w:p>
            <w:r>
              <w:t>Spanish + History</w:t>
            </w:r>
          </w:p>
        </w:tc>
        <w:tc>
          <w:tcPr>
            <w:tcW w:type="dxa" w:w="4752"/>
            <w:tcMar>
              <w:top w:w="100" w:type="dxa"/>
              <w:start w:w="120" w:type="dxa"/>
              <w:bottom w:w="100" w:type="dxa"/>
              <w:end w:w="120" w:type="dxa"/>
            </w:tcMar>
            <w:vAlign w:val="center"/>
          </w:tcPr>
          <w:p>
            <w:r>
              <w:t>Double-paper day; use split planning again.</w:t>
            </w:r>
          </w:p>
        </w:tc>
      </w:tr>
      <w:tr>
        <w:tc>
          <w:tcPr>
            <w:tcW w:type="dxa" w:w="2016"/>
            <w:tcMar>
              <w:top w:w="100" w:type="dxa"/>
              <w:start w:w="120" w:type="dxa"/>
              <w:bottom w:w="100" w:type="dxa"/>
              <w:end w:w="120" w:type="dxa"/>
            </w:tcMar>
            <w:vAlign w:val="center"/>
          </w:tcPr>
          <w:p>
            <w:r>
              <w:t>16 June</w:t>
            </w:r>
          </w:p>
        </w:tc>
        <w:tc>
          <w:tcPr>
            <w:tcW w:type="dxa" w:w="2592"/>
            <w:tcMar>
              <w:top w:w="100" w:type="dxa"/>
              <w:start w:w="120" w:type="dxa"/>
              <w:bottom w:w="100" w:type="dxa"/>
              <w:end w:w="120" w:type="dxa"/>
            </w:tcMar>
            <w:vAlign w:val="center"/>
          </w:tcPr>
          <w:p>
            <w:r>
              <w:t>Spanish Writing</w:t>
            </w:r>
          </w:p>
        </w:tc>
        <w:tc>
          <w:tcPr>
            <w:tcW w:type="dxa" w:w="4752"/>
            <w:tcMar>
              <w:top w:w="100" w:type="dxa"/>
              <w:start w:w="120" w:type="dxa"/>
              <w:bottom w:w="100" w:type="dxa"/>
              <w:end w:w="120" w:type="dxa"/>
            </w:tcMar>
            <w:vAlign w:val="center"/>
          </w:tcPr>
          <w:p>
            <w:r>
              <w:t>Final listed exam.</w:t>
            </w:r>
          </w:p>
        </w:tc>
      </w:tr>
    </w:tbl>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w:hAnsi="Aptos"/>
      <w:b/>
      <w:bCs/>
      <w:color w:val="1E40AF"/>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374151"/>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b/>
      <w:bCs/>
      <w:color w:val="37415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293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B5563"/>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