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2022.2.22(回调博反弹)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2022.2.22 上证指数跌，源于券商向下，银行向上，地产，基建向上，金属资源反弹（向上未知），反弹判断</w:t>
      </w:r>
      <w:bookmarkStart w:id="0" w:name="_GoBack"/>
      <w:bookmarkEnd w:id="0"/>
      <w:r>
        <w:rPr>
          <w:rFonts w:hint="eastAsia"/>
        </w:rPr>
        <w:t>券商向下不大，指数向下空间有限，分仓打地产基建银行，少部分打红利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2022-02-22T03:20:51Z</dcterms:created>
  <dc:creator>UserA</dc:creator>
  <cp:lastModifiedBy>UserA</cp:lastModifiedBy>
  <dcterms:modified xsi:type="dcterms:W3CDTF">2022-02-22T03:21:54Z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A50A9AD4E32B48A4990C87F0F997F75D</vt:lpwstr>
  </property>
</Properties>
</file>