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sz w:val="40"/>
        </w:rPr>
        <w:t>CREDIT DEFAULT RISK – PROJECT REPORT</w:t>
      </w:r>
    </w:p>
    <w:p>
      <w:r>
        <w:t>DA2040: Data Science in Practice</w:t>
        <w:br/>
        <w:t>Team Members:</w:t>
        <w:br/>
        <w:t>• Harshit Agarwal – Modelling &amp; Deployment</w:t>
        <w:br/>
        <w:t>• Sebin Kannampuzha – Modelling &amp; Feature Selection</w:t>
        <w:br/>
        <w:t>• Shreya Shrivastava – Exploratory Data Analysis</w:t>
        <w:br/>
        <w:t>• Tushar Srivastava – Preprocessing &amp; Feature Engineering</w:t>
        <w:br/>
      </w:r>
    </w:p>
    <w:p>
      <w:pPr>
        <w:pStyle w:val="Heading2"/>
      </w:pPr>
      <w:r>
        <w:rPr>
          <w:b/>
          <w:sz w:val="28"/>
        </w:rPr>
        <w:t>1. Motivation and Problem Statement</w:t>
      </w:r>
    </w:p>
    <w:p>
      <w:r>
        <w:t>Financial inclusion remains a major global challenge, particularly in developing economies where millions lack formal credit histories. Traditional credit scoring mechanisms rely heavily on past loan performance and documented financial activity. Consequently, individuals without such records are denied fair access to credit or become vulnerable to informal and exploitative lenders.</w:t>
        <w:br/>
        <w:br/>
        <w:t>Home Credit’s objective—and the goal of this project—is to build machine learning models that reliably assess the creditworthiness of first‑time or under-documented borrowers using alternative data sources. This contributes to:</w:t>
        <w:br/>
        <w:t>• Expanding access to safe, regulated credit products</w:t>
        <w:br/>
        <w:t>• Reducing financial risk for lenders</w:t>
        <w:br/>
        <w:t>• Enabling responsible lending decisions</w:t>
        <w:br/>
        <w:t>• Empowering borrowers through fair evaluation mechanisms</w:t>
        <w:br/>
        <w:br/>
        <w:t>The problem is therefore both socially impactful and analytically challenging, requiring the integration of heterogeneous datasets, careful feature engineering, and robust predictive modeling.</w:t>
      </w:r>
    </w:p>
    <w:p>
      <w:pPr>
        <w:pStyle w:val="Heading2"/>
      </w:pPr>
      <w:r>
        <w:rPr>
          <w:b/>
          <w:sz w:val="28"/>
        </w:rPr>
        <w:t>2. Dataset Description and Data Preparation</w:t>
      </w:r>
    </w:p>
    <w:p>
      <w:r>
        <w:t>The dataset used in this project originates from the Home Credit Default Risk competition on Kaggle. The data spans multiple relational tables, each capturing a unique aspect of the customer’s financial and behavioral profile.</w:t>
        <w:br/>
        <w:br/>
        <w:t>Key datasets include:</w:t>
        <w:br/>
        <w:t>• application_train/test: Applicant demographics, income, employment, and loan details</w:t>
        <w:br/>
        <w:t>• bureau &amp; bureau_balance: Credit history from external financial institutions</w:t>
        <w:br/>
        <w:t>• previous_application: Previous loans taken with Home Credit</w:t>
        <w:br/>
        <w:t>• POS_CASH_balance: Point‑of‑sale loan repayment behavior</w:t>
        <w:br/>
        <w:t>• installment_payments: Installment‑level repayment behavior</w:t>
        <w:br/>
        <w:t>• credit_card_balance: Revolving credit performance</w:t>
        <w:br/>
        <w:br/>
        <w:t>Data Preparation Steps:</w:t>
        <w:br/>
        <w:t>• Missing Value Treatment: Several columns contain &gt;50% missing values; imputation and selective removal were applied.</w:t>
        <w:br/>
        <w:t>• Outlier Detection: Extreme values in DAYS_BIRTH and income variables were investigated via boxplots.</w:t>
        <w:br/>
        <w:t>• Categorical Encoding: One‑hot encoding performed across all categorical attributes.</w:t>
        <w:br/>
        <w:t>• Aggregation: Multi-level aggregations (mean/max/min/sum/count) created for historical tables to generate borrower‑level features.</w:t>
        <w:br/>
        <w:t>• Feature Engineering: Polynomial interactions using EXT_SOURCE scores and DAYS_BIRTH; domain‑informed ratios (e.g., credit-to-income ratio, annuity-to-income ratio).</w:t>
      </w:r>
    </w:p>
    <w:p>
      <w:pPr>
        <w:pStyle w:val="Heading2"/>
      </w:pPr>
      <w:r>
        <w:rPr>
          <w:b/>
          <w:sz w:val="28"/>
        </w:rPr>
        <w:t>3. Methodology</w:t>
      </w:r>
    </w:p>
    <w:p>
      <w:r>
        <w:t>The modeling pipeline consisted of four major stages: EDA, Feature Engineering, Model Development, and Evaluation.</w:t>
        <w:br/>
        <w:br/>
        <w:t>Exploratory Data Analysis:</w:t>
        <w:br/>
        <w:t>• Checked imbalance: Target variable is ~92% non‑defaulters, 8% defaulters.</w:t>
        <w:br/>
        <w:t>• Visualized distributions of key features (income, age, credit amount).</w:t>
        <w:br/>
        <w:t>• Correlation analysis revealed EXT_SOURCE features as strong predictors.</w:t>
        <w:br/>
        <w:t>• Identified age trends—older applicants have lower default risk.</w:t>
        <w:br/>
        <w:br/>
        <w:t>Feature Engineering:</w:t>
        <w:br/>
        <w:t>• Added missing flags for heavily null columns.</w:t>
        <w:br/>
        <w:t>• Polynomial interactions of external credit scores.</w:t>
        <w:br/>
        <w:t>• Aggregated behavioral histories using statistical summaries.</w:t>
        <w:br/>
        <w:t>• Applied feature importance ranking using LGBM and XGBoost.</w:t>
        <w:br/>
        <w:br/>
        <w:t>Models Used:</w:t>
        <w:br/>
        <w:t>• Logistic Regression – baseline benchmark</w:t>
        <w:br/>
        <w:t>• Random Forest – non-linear baseline</w:t>
        <w:br/>
        <w:t>• XGBoost – high‑performance boosting model</w:t>
        <w:br/>
        <w:t>• LightGBM – optimized gradient boosting with speed advantages</w:t>
        <w:br/>
        <w:t>• Blended Model (50% XGB + 50% LGBM) – best performing model</w:t>
        <w:br/>
        <w:br/>
        <w:t>Evaluation Strategy:</w:t>
        <w:br/>
        <w:t>• Primary metric: ROC‑AUC</w:t>
        <w:br/>
        <w:t>• Secondary metric: F1‑score to address class imbalance</w:t>
        <w:br/>
        <w:t>• Used stratified K‑Fold cross‑validation</w:t>
      </w:r>
    </w:p>
    <w:p>
      <w:pPr>
        <w:pStyle w:val="Heading2"/>
      </w:pPr>
      <w:r>
        <w:rPr>
          <w:b/>
          <w:sz w:val="28"/>
        </w:rPr>
        <w:t>4. Key Results and Insights</w:t>
      </w:r>
    </w:p>
    <w:p>
      <w:r>
        <w:t>• LightGBM achieved the highest standalone ROC‑AUC among individual models.</w:t>
        <w:br/>
        <w:t>• The blended (XGB + LGBM) model outperformed all others with superior validation stability.</w:t>
        <w:br/>
        <w:t>• Most important features consistently across models:</w:t>
        <w:br/>
        <w:t xml:space="preserve">  – EXT_SOURCE_1, EXT_SOURCE_2, EXT_SOURCE_3</w:t>
        <w:br/>
        <w:t xml:space="preserve">  – DAYS_BIRTH (age)</w:t>
        <w:br/>
        <w:t xml:space="preserve">  – Previous application repayment behavior</w:t>
        <w:br/>
        <w:t xml:space="preserve">  – Credit bureau history counts and overdue indicators</w:t>
        <w:br/>
        <w:br/>
        <w:t>Key Insights:</w:t>
        <w:br/>
        <w:t>• Borrower age is strongly correlated with repayment likelihood—older borrowers have substantially lower risk.</w:t>
        <w:br/>
        <w:t>• External credit scores are highly predictive and reduce uncertainty significantly.</w:t>
        <w:br/>
        <w:t>• Behavioral history (missed installments, credit card delinquencies) remains a strong determinant of default risk.</w:t>
        <w:br/>
      </w:r>
    </w:p>
    <w:p>
      <w:pPr>
        <w:pStyle w:val="Heading2"/>
      </w:pPr>
      <w:r>
        <w:rPr>
          <w:b/>
          <w:sz w:val="28"/>
        </w:rPr>
        <w:t>5. Limitations and Future Improvements</w:t>
      </w:r>
    </w:p>
    <w:p>
      <w:r>
        <w:t>Limitations:</w:t>
        <w:br/>
        <w:t>• Large proportion of missing data increases dependence on imputation.</w:t>
        <w:br/>
        <w:t>• Gradient boosting models, while accurate, lack interpretability without SHAP analysis.</w:t>
        <w:br/>
        <w:t>• Imbalanced dataset requires careful handling to avoid misleading accuracy metrics.</w:t>
        <w:br/>
        <w:t>• Potential model bias if sensitive attributes correlate with socioeconomic factors.</w:t>
        <w:br/>
        <w:br/>
        <w:t>Future Improvements:</w:t>
        <w:br/>
        <w:t>• Apply SHAP‑based explainability to highlight actionable risk drivers.</w:t>
        <w:br/>
        <w:t>• Implement fairness metrics for bias detection.</w:t>
        <w:br/>
        <w:t>• Explore TabNet or deep neural architectures suited for tabular learning.</w:t>
        <w:br/>
        <w:t>• Calibrate probability outputs using Platt scaling or isotonic regression.</w:t>
      </w:r>
    </w:p>
    <w:p>
      <w:pPr>
        <w:pStyle w:val="Heading2"/>
      </w:pPr>
      <w:r>
        <w:rPr>
          <w:b/>
          <w:sz w:val="28"/>
        </w:rPr>
        <w:t>6. Contributions by Team Members</w:t>
      </w:r>
    </w:p>
    <w:p>
      <w:r>
        <w:t>• Harshit Agarwal – Model development, deployment pipelines, ensemble creation.</w:t>
        <w:br/>
        <w:t>• Sebin Kannampuzha – Feature selection, boosting model tuning, importance analysis.</w:t>
        <w:br/>
        <w:t>• Shreya Shrivastava – Full EDA, data visualization, imbalance analysis.</w:t>
        <w:br/>
        <w:t>• Tushar Srivastava – Preprocessing, feature engineering, dataset integration.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