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color w:val="1F3864"/>
          <w:sz w:val="56"/>
          <w:szCs w:val="56"/>
        </w:rPr>
        <w:t xml:space="preserve">Advanced Data Analysis and Visualization in Logistics</w:t>
      </w:r>
    </w:p>
    <w:p>
      <w:pPr>
        <w:spacing w:after="800"/>
        <w:jc w:val="center"/>
      </w:pPr>
      <w:r>
        <w:rPr>
          <w:color w:val="444444"/>
          <w:sz w:val="28"/>
          <w:szCs w:val="28"/>
        </w:rPr>
        <w:t xml:space="preserve">Week 3 Task — Exploratory Analysis, Visualization, and Operational Insights</w:t>
      </w:r>
    </w:p>
    <w:p>
      <w:pPr>
        <w:spacing w:after="200"/>
        <w:jc w:val="center"/>
      </w:pPr>
      <w:r>
        <w:rPr>
          <w:i/>
          <w:iCs/>
          <w:color w:val="666666"/>
          <w:sz w:val="22"/>
          <w:szCs w:val="22"/>
        </w:rPr>
        <w:t xml:space="preserve">Prepared using Python (pandas, numpy, matplotlib, seaborn)</w:t>
      </w:r>
    </w:p>
    <w:p>
      <w:pPr>
        <w:spacing w:after="200"/>
        <w:jc w:val="center"/>
      </w:pPr>
      <w:r>
        <w:rPr>
          <w:i/>
          <w:iCs/>
          <w:color w:val="666666"/>
          <w:sz w:val="22"/>
          <w:szCs w:val="22"/>
        </w:rPr>
        <w:t xml:space="preserve">Dataset: Simulated FY2025 Shipment-Level Logistics Operations (n = 5,000 shipments)</w:t>
      </w:r>
    </w:p>
    <w:p>
      <w:pPr>
        <w:jc w:val="center"/>
      </w:pPr>
      <w:r>
        <w:rPr>
          <w:color w:val="666666"/>
          <w:sz w:val="22"/>
          <w:szCs w:val="22"/>
        </w:rPr>
        <w:t xml:space="preserve">Date: September 2026</w:t>
      </w:r>
    </w:p>
    <w:p>
      <w:r>
        <w:br w:type="page"/>
      </w:r>
    </w:p>
    <w:p>
      <w:pPr>
        <w:pStyle w:val="Heading1"/>
        <w:spacing w:after="160" w:before="360"/>
      </w:pPr>
      <w:r>
        <w:t xml:space="preserve">1. Introduction &amp; Objective</w:t>
      </w:r>
    </w:p>
    <w:p>
      <w:pPr>
        <w:spacing w:after="160" w:line="276"/>
      </w:pPr>
      <w:r>
        <w:t xml:space="preserve">This report documents an end-to-end analytical exercise on logistics operations data: from dataset design, through exploratory data analysis (EDA), to a set of visualizations and data-driven recommendations. The goal is to demonstrate how structured analysis of delivery-time, cost, and volume metrics can surface operational bottlenecks and cost drivers in a logistics network, and to show the Python methodology used to produce each result.</w:t>
      </w:r>
    </w:p>
    <w:p>
      <w:pPr>
        <w:spacing w:after="160" w:line="276"/>
      </w:pPr>
      <w:r>
        <w:t xml:space="preserve">Because a proprietary logistics dataset was not available, a realistic synthetic dataset was simulated in Python with parameters (speed profiles, cost structures, congestion factors) chosen to mirror typical multi-modal freight operations. This keeps the workflow reproducible and lets the analysis generalize directly to a real operational dataset with the same schema.</w:t>
      </w:r>
    </w:p>
    <w:p>
      <w:pPr>
        <w:pStyle w:val="Heading1"/>
        <w:spacing w:after="160" w:before="360"/>
      </w:pPr>
      <w:r>
        <w:t xml:space="preserve">2. Data Simulation &amp; Dataset Structure</w:t>
      </w:r>
    </w:p>
    <w:p>
      <w:pPr>
        <w:spacing w:after="160" w:line="276"/>
      </w:pPr>
      <w:r>
        <w:t xml:space="preserve">The simulated dataset represents 5,000 shipment-level records across full-year 2025, spanning five regional hubs (North, South, East, West, Central) and four transport modes (Road, Rail, Air, Sea). Each record captures the operational and financial attributes needed to analyze delivery performance and cost.</w:t>
      </w:r>
    </w:p>
    <w:p>
      <w:pPr>
        <w:pStyle w:val="Heading3"/>
        <w:spacing w:after="100" w:before="220"/>
      </w:pPr>
      <w:r>
        <w:t xml:space="preserve">2.1 Key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1F3864" w:val="clear"/>
            <w:tcMar>
              <w:top w:type="dxa" w:w="80"/>
              <w:left w:type="dxa" w:w="100"/>
              <w:bottom w:type="dxa" w:w="80"/>
              <w:right w:type="dxa" w:w="100"/>
            </w:tcMar>
          </w:tcPr>
          <w:p>
            <w:pPr>
              <w:jc w:val="left"/>
            </w:pPr>
            <w:r>
              <w:rPr>
                <w:b/>
                <w:bCs/>
                <w:color w:val="FFFFFF"/>
                <w:sz w:val="20"/>
                <w:szCs w:val="20"/>
              </w:rPr>
              <w:t xml:space="preserve">Variable</w:t>
            </w:r>
          </w:p>
        </w:tc>
        <w:tc>
          <w:tcPr>
            <w:tcW w:type="dxa" w:w="6300"/>
            <w:shd w:fill="1F3864" w:val="clear"/>
            <w:tcMar>
              <w:top w:type="dxa" w:w="80"/>
              <w:left w:type="dxa" w:w="100"/>
              <w:bottom w:type="dxa" w:w="80"/>
              <w:right w:type="dxa" w:w="100"/>
            </w:tcMar>
          </w:tcPr>
          <w:p>
            <w:pPr>
              <w:jc w:val="left"/>
            </w:pPr>
            <w:r>
              <w:rPr>
                <w:b/>
                <w:bCs/>
                <w:color w:val="FFFFFF"/>
                <w:sz w:val="20"/>
                <w:szCs w:val="20"/>
              </w:rPr>
              <w:t xml:space="preserve">Description</w:t>
            </w:r>
          </w:p>
        </w:tc>
      </w:tr>
      <w:tr>
        <w:trPr>
          <w:tblHeader w:val="false"/>
        </w:trPr>
        <w:tc>
          <w:tcPr>
            <w:tcW w:type="dxa" w:w="3200"/>
            <w:tcMar>
              <w:top w:type="dxa" w:w="80"/>
              <w:left w:type="dxa" w:w="100"/>
              <w:bottom w:type="dxa" w:w="80"/>
              <w:right w:type="dxa" w:w="100"/>
            </w:tcMar>
          </w:tcPr>
          <w:p>
            <w:pPr>
              <w:jc w:val="center"/>
            </w:pPr>
            <w:r>
              <w:rPr>
                <w:color w:val="1B1B1B"/>
                <w:sz w:val="20"/>
                <w:szCs w:val="20"/>
              </w:rPr>
              <w:t xml:space="preserve">shipment_id</w:t>
            </w:r>
          </w:p>
        </w:tc>
        <w:tc>
          <w:tcPr>
            <w:tcW w:type="dxa" w:w="6300"/>
            <w:tcMar>
              <w:top w:type="dxa" w:w="80"/>
              <w:left w:type="dxa" w:w="100"/>
              <w:bottom w:type="dxa" w:w="80"/>
              <w:right w:type="dxa" w:w="100"/>
            </w:tcMar>
          </w:tcPr>
          <w:p>
            <w:pPr>
              <w:jc w:val="center"/>
            </w:pPr>
            <w:r>
              <w:rPr>
                <w:color w:val="1B1B1B"/>
                <w:sz w:val="20"/>
                <w:szCs w:val="20"/>
              </w:rPr>
              <w:t xml:space="preserve">Unique shipment identifier</w:t>
            </w:r>
          </w:p>
        </w:tc>
      </w:tr>
      <w:tr>
        <w:trPr>
          <w:tblHeader w:val="false"/>
        </w:trPr>
        <w:tc>
          <w:tcPr>
            <w:tcW w:type="dxa" w:w="3200"/>
            <w:shd w:fill="F2F2F2" w:val="clear"/>
            <w:tcMar>
              <w:top w:type="dxa" w:w="80"/>
              <w:left w:type="dxa" w:w="100"/>
              <w:bottom w:type="dxa" w:w="80"/>
              <w:right w:type="dxa" w:w="100"/>
            </w:tcMar>
          </w:tcPr>
          <w:p>
            <w:pPr>
              <w:jc w:val="center"/>
            </w:pPr>
            <w:r>
              <w:rPr>
                <w:color w:val="1B1B1B"/>
                <w:sz w:val="20"/>
                <w:szCs w:val="20"/>
              </w:rPr>
              <w:t xml:space="preserve">date / region / transport_mode</w:t>
            </w:r>
          </w:p>
        </w:tc>
        <w:tc>
          <w:tcPr>
            <w:tcW w:type="dxa" w:w="6300"/>
            <w:shd w:fill="F2F2F2" w:val="clear"/>
            <w:tcMar>
              <w:top w:type="dxa" w:w="80"/>
              <w:left w:type="dxa" w:w="100"/>
              <w:bottom w:type="dxa" w:w="80"/>
              <w:right w:type="dxa" w:w="100"/>
            </w:tcMar>
          </w:tcPr>
          <w:p>
            <w:pPr>
              <w:jc w:val="center"/>
            </w:pPr>
            <w:r>
              <w:rPr>
                <w:color w:val="1B1B1B"/>
                <w:sz w:val="20"/>
                <w:szCs w:val="20"/>
              </w:rPr>
              <w:t xml:space="preserve">Dispatch date, destination hub, and mode used</w:t>
            </w:r>
          </w:p>
        </w:tc>
      </w:tr>
      <w:tr>
        <w:trPr>
          <w:tblHeader w:val="false"/>
        </w:trPr>
        <w:tc>
          <w:tcPr>
            <w:tcW w:type="dxa" w:w="3200"/>
            <w:tcMar>
              <w:top w:type="dxa" w:w="80"/>
              <w:left w:type="dxa" w:w="100"/>
              <w:bottom w:type="dxa" w:w="80"/>
              <w:right w:type="dxa" w:w="100"/>
            </w:tcMar>
          </w:tcPr>
          <w:p>
            <w:pPr>
              <w:jc w:val="center"/>
            </w:pPr>
            <w:r>
              <w:rPr>
                <w:color w:val="1B1B1B"/>
                <w:sz w:val="20"/>
                <w:szCs w:val="20"/>
              </w:rPr>
              <w:t xml:space="preserve">shipment_volume_kg</w:t>
            </w:r>
          </w:p>
        </w:tc>
        <w:tc>
          <w:tcPr>
            <w:tcW w:type="dxa" w:w="6300"/>
            <w:tcMar>
              <w:top w:type="dxa" w:w="80"/>
              <w:left w:type="dxa" w:w="100"/>
              <w:bottom w:type="dxa" w:w="80"/>
              <w:right w:type="dxa" w:w="100"/>
            </w:tcMar>
          </w:tcPr>
          <w:p>
            <w:pPr>
              <w:jc w:val="center"/>
            </w:pPr>
            <w:r>
              <w:rPr>
                <w:color w:val="1B1B1B"/>
                <w:sz w:val="20"/>
                <w:szCs w:val="20"/>
              </w:rPr>
              <w:t xml:space="preserve">Weight of the shipment (kg), log-normally distributed</w:t>
            </w:r>
          </w:p>
        </w:tc>
      </w:tr>
      <w:tr>
        <w:trPr>
          <w:tblHeader w:val="false"/>
        </w:trPr>
        <w:tc>
          <w:tcPr>
            <w:tcW w:type="dxa" w:w="3200"/>
            <w:shd w:fill="F2F2F2" w:val="clear"/>
            <w:tcMar>
              <w:top w:type="dxa" w:w="80"/>
              <w:left w:type="dxa" w:w="100"/>
              <w:bottom w:type="dxa" w:w="80"/>
              <w:right w:type="dxa" w:w="100"/>
            </w:tcMar>
          </w:tcPr>
          <w:p>
            <w:pPr>
              <w:jc w:val="center"/>
            </w:pPr>
            <w:r>
              <w:rPr>
                <w:color w:val="1B1B1B"/>
                <w:sz w:val="20"/>
                <w:szCs w:val="20"/>
              </w:rPr>
              <w:t xml:space="preserve">distance_km</w:t>
            </w:r>
          </w:p>
        </w:tc>
        <w:tc>
          <w:tcPr>
            <w:tcW w:type="dxa" w:w="6300"/>
            <w:shd w:fill="F2F2F2" w:val="clear"/>
            <w:tcMar>
              <w:top w:type="dxa" w:w="80"/>
              <w:left w:type="dxa" w:w="100"/>
              <w:bottom w:type="dxa" w:w="80"/>
              <w:right w:type="dxa" w:w="100"/>
            </w:tcMar>
          </w:tcPr>
          <w:p>
            <w:pPr>
              <w:jc w:val="center"/>
            </w:pPr>
            <w:r>
              <w:rPr>
                <w:color w:val="1B1B1B"/>
                <w:sz w:val="20"/>
                <w:szCs w:val="20"/>
              </w:rPr>
              <w:t xml:space="preserve">Distance travelled, mode-dependent</w:t>
            </w:r>
          </w:p>
        </w:tc>
      </w:tr>
      <w:tr>
        <w:trPr>
          <w:tblHeader w:val="false"/>
        </w:trPr>
        <w:tc>
          <w:tcPr>
            <w:tcW w:type="dxa" w:w="3200"/>
            <w:tcMar>
              <w:top w:type="dxa" w:w="80"/>
              <w:left w:type="dxa" w:w="100"/>
              <w:bottom w:type="dxa" w:w="80"/>
              <w:right w:type="dxa" w:w="100"/>
            </w:tcMar>
          </w:tcPr>
          <w:p>
            <w:pPr>
              <w:jc w:val="center"/>
            </w:pPr>
            <w:r>
              <w:rPr>
                <w:color w:val="1B1B1B"/>
                <w:sz w:val="20"/>
                <w:szCs w:val="20"/>
              </w:rPr>
              <w:t xml:space="preserve">delivery_time_hrs / promised_time_hrs</w:t>
            </w:r>
          </w:p>
        </w:tc>
        <w:tc>
          <w:tcPr>
            <w:tcW w:type="dxa" w:w="6300"/>
            <w:tcMar>
              <w:top w:type="dxa" w:w="80"/>
              <w:left w:type="dxa" w:w="100"/>
              <w:bottom w:type="dxa" w:w="80"/>
              <w:right w:type="dxa" w:w="100"/>
            </w:tcMar>
          </w:tcPr>
          <w:p>
            <w:pPr>
              <w:jc w:val="center"/>
            </w:pPr>
            <w:r>
              <w:rPr>
                <w:color w:val="1B1B1B"/>
                <w:sz w:val="20"/>
                <w:szCs w:val="20"/>
              </w:rPr>
              <w:t xml:space="preserve">Actual vs. SLA-promised delivery time</w:t>
            </w:r>
          </w:p>
        </w:tc>
      </w:tr>
      <w:tr>
        <w:trPr>
          <w:tblHeader w:val="false"/>
        </w:trPr>
        <w:tc>
          <w:tcPr>
            <w:tcW w:type="dxa" w:w="3200"/>
            <w:shd w:fill="F2F2F2" w:val="clear"/>
            <w:tcMar>
              <w:top w:type="dxa" w:w="80"/>
              <w:left w:type="dxa" w:w="100"/>
              <w:bottom w:type="dxa" w:w="80"/>
              <w:right w:type="dxa" w:w="100"/>
            </w:tcMar>
          </w:tcPr>
          <w:p>
            <w:pPr>
              <w:jc w:val="center"/>
            </w:pPr>
            <w:r>
              <w:rPr>
                <w:color w:val="1B1B1B"/>
                <w:sz w:val="20"/>
                <w:szCs w:val="20"/>
              </w:rPr>
              <w:t xml:space="preserve">delay_hrs / delay_flag</w:t>
            </w:r>
          </w:p>
        </w:tc>
        <w:tc>
          <w:tcPr>
            <w:tcW w:type="dxa" w:w="6300"/>
            <w:shd w:fill="F2F2F2" w:val="clear"/>
            <w:tcMar>
              <w:top w:type="dxa" w:w="80"/>
              <w:left w:type="dxa" w:w="100"/>
              <w:bottom w:type="dxa" w:w="80"/>
              <w:right w:type="dxa" w:w="100"/>
            </w:tcMar>
          </w:tcPr>
          <w:p>
            <w:pPr>
              <w:jc w:val="center"/>
            </w:pPr>
            <w:r>
              <w:rPr>
                <w:color w:val="1B1B1B"/>
                <w:sz w:val="20"/>
                <w:szCs w:val="20"/>
              </w:rPr>
              <w:t xml:space="preserve">Actual minus promised time; binary late-delivery flag</w:t>
            </w:r>
          </w:p>
        </w:tc>
      </w:tr>
      <w:tr>
        <w:trPr>
          <w:tblHeader w:val="false"/>
        </w:trPr>
        <w:tc>
          <w:tcPr>
            <w:tcW w:type="dxa" w:w="3200"/>
            <w:tcMar>
              <w:top w:type="dxa" w:w="80"/>
              <w:left w:type="dxa" w:w="100"/>
              <w:bottom w:type="dxa" w:w="80"/>
              <w:right w:type="dxa" w:w="100"/>
            </w:tcMar>
          </w:tcPr>
          <w:p>
            <w:pPr>
              <w:jc w:val="center"/>
            </w:pPr>
            <w:r>
              <w:rPr>
                <w:color w:val="1B1B1B"/>
                <w:sz w:val="20"/>
                <w:szCs w:val="20"/>
              </w:rPr>
              <w:t xml:space="preserve">transportation_cost / fuel_cost / labor_cost</w:t>
            </w:r>
          </w:p>
        </w:tc>
        <w:tc>
          <w:tcPr>
            <w:tcW w:type="dxa" w:w="6300"/>
            <w:tcMar>
              <w:top w:type="dxa" w:w="80"/>
              <w:left w:type="dxa" w:w="100"/>
              <w:bottom w:type="dxa" w:w="80"/>
              <w:right w:type="dxa" w:w="100"/>
            </w:tcMar>
          </w:tcPr>
          <w:p>
            <w:pPr>
              <w:jc w:val="center"/>
            </w:pPr>
            <w:r>
              <w:rPr>
                <w:color w:val="1B1B1B"/>
                <w:sz w:val="20"/>
                <w:szCs w:val="20"/>
              </w:rPr>
              <w:t xml:space="preserve">Total cost and its fuel/labor components (USD)</w:t>
            </w:r>
          </w:p>
        </w:tc>
      </w:tr>
      <w:tr>
        <w:trPr>
          <w:tblHeader w:val="false"/>
        </w:trPr>
        <w:tc>
          <w:tcPr>
            <w:tcW w:type="dxa" w:w="3200"/>
            <w:shd w:fill="F2F2F2" w:val="clear"/>
            <w:tcMar>
              <w:top w:type="dxa" w:w="80"/>
              <w:left w:type="dxa" w:w="100"/>
              <w:bottom w:type="dxa" w:w="80"/>
              <w:right w:type="dxa" w:w="100"/>
            </w:tcMar>
          </w:tcPr>
          <w:p>
            <w:pPr>
              <w:jc w:val="center"/>
            </w:pPr>
            <w:r>
              <w:rPr>
                <w:color w:val="1B1B1B"/>
                <w:sz w:val="20"/>
                <w:szCs w:val="20"/>
              </w:rPr>
              <w:t xml:space="preserve">customer_rating</w:t>
            </w:r>
          </w:p>
        </w:tc>
        <w:tc>
          <w:tcPr>
            <w:tcW w:type="dxa" w:w="6300"/>
            <w:shd w:fill="F2F2F2" w:val="clear"/>
            <w:tcMar>
              <w:top w:type="dxa" w:w="80"/>
              <w:left w:type="dxa" w:w="100"/>
              <w:bottom w:type="dxa" w:w="80"/>
              <w:right w:type="dxa" w:w="100"/>
            </w:tcMar>
          </w:tcPr>
          <w:p>
            <w:pPr>
              <w:jc w:val="center"/>
            </w:pPr>
            <w:r>
              <w:rPr>
                <w:color w:val="1B1B1B"/>
                <w:sz w:val="20"/>
                <w:szCs w:val="20"/>
              </w:rPr>
              <w:t xml:space="preserve">Post-delivery satisfaction score (1–5), modeled as delay-sensitive</w:t>
            </w:r>
          </w:p>
        </w:tc>
      </w:tr>
    </w:tbl>
    <w:p>
      <w:pPr>
        <w:spacing w:after="120"/>
      </w:pPr>
    </w:p>
    <w:p>
      <w:pPr>
        <w:spacing w:after="160" w:line="276"/>
      </w:pPr>
      <w:r>
        <w:t xml:space="preserve">Delivery times were generated from each mode's characteristic speed, a per-region congestion multiplier, handling/customs overhead, and stochastic noise — so that Air is fastest per kilometer but incurs high fixed handling overhead, while Sea is slow but economical. Cost was modeled as a base fee plus a per-kilometer rate (mode-specific) plus a small volume surcharge, again with random noise to reflect real-world variability. Customer rating was modeled to degrade with delay, capturing the intuitive link between reliability and customer experience.</w:t>
      </w:r>
    </w:p>
    <w:p>
      <w:pPr>
        <w:pStyle w:val="Heading1"/>
        <w:spacing w:after="160" w:before="360"/>
      </w:pPr>
      <w:r>
        <w:t xml:space="preserve">3. Methodology (Python Workflow)</w:t>
      </w:r>
    </w:p>
    <w:p>
      <w:pPr>
        <w:spacing w:after="160" w:line="276"/>
      </w:pPr>
      <w:r>
        <w:t xml:space="preserve">The analysis was carried out with pandas and numpy for data generation and manipulation, and matplotlib/seaborn for visualization. The core simulation logic is excerpted below; the full script (logistics_analysis.py) accompanies this report.</w:t>
      </w:r>
    </w:p>
    <w:p>
      <w:pPr>
        <w:pStyle w:val="Heading3"/>
        <w:spacing w:after="100" w:before="220"/>
      </w:pPr>
      <w:r>
        <w:t xml:space="preserve">3.1 Data Simulation Excerpt</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mode_params = {</w:t>
            </w:r>
          </w:p>
          <w:p>
            <w:pPr>
              <w:spacing w:after="0"/>
            </w:pPr>
            <w:r>
              <w:rPr>
                <w:rFonts w:ascii="Consolas" w:cs="Consolas" w:eastAsia="Consolas" w:hAnsi="Consolas"/>
                <w:color w:val="1B1B1B"/>
                <w:sz w:val="18"/>
                <w:szCs w:val="18"/>
              </w:rPr>
              <w:t xml:space="preserve">    "Road": {"speed_kmh": 55,  "cost_per_km": 1.10, "base_cost": 40},</w:t>
            </w:r>
          </w:p>
          <w:p>
            <w:pPr>
              <w:spacing w:after="0"/>
            </w:pPr>
            <w:r>
              <w:rPr>
                <w:rFonts w:ascii="Consolas" w:cs="Consolas" w:eastAsia="Consolas" w:hAnsi="Consolas"/>
                <w:color w:val="1B1B1B"/>
                <w:sz w:val="18"/>
                <w:szCs w:val="18"/>
              </w:rPr>
              <w:t xml:space="preserve">    "Rail": {"speed_kmh": 65,  "cost_per_km": 0.65, "base_cost": 90},</w:t>
            </w:r>
          </w:p>
          <w:p>
            <w:pPr>
              <w:spacing w:after="0"/>
            </w:pPr>
            <w:r>
              <w:rPr>
                <w:rFonts w:ascii="Consolas" w:cs="Consolas" w:eastAsia="Consolas" w:hAnsi="Consolas"/>
                <w:color w:val="1B1B1B"/>
                <w:sz w:val="18"/>
                <w:szCs w:val="18"/>
              </w:rPr>
              <w:t xml:space="preserve">    "Air":  {"speed_kmh": 700, "cost_per_km": 3.50, "base_cost": 250},</w:t>
            </w:r>
          </w:p>
          <w:p>
            <w:pPr>
              <w:spacing w:after="0"/>
            </w:pPr>
            <w:r>
              <w:rPr>
                <w:rFonts w:ascii="Consolas" w:cs="Consolas" w:eastAsia="Consolas" w:hAnsi="Consolas"/>
                <w:color w:val="1B1B1B"/>
                <w:sz w:val="18"/>
                <w:szCs w:val="18"/>
              </w:rPr>
              <w:t xml:space="preserve">    "Sea":  {"speed_kmh": 35,  "cost_per_km": 0.30, "base_cost": 150},</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def simulate_delivery_time(row):</w:t>
            </w:r>
          </w:p>
          <w:p>
            <w:pPr>
              <w:spacing w:after="0"/>
            </w:pPr>
            <w:r>
              <w:rPr>
                <w:rFonts w:ascii="Consolas" w:cs="Consolas" w:eastAsia="Consolas" w:hAnsi="Consolas"/>
                <w:color w:val="1B1B1B"/>
                <w:sz w:val="18"/>
                <w:szCs w:val="18"/>
              </w:rPr>
              <w:t xml:space="preserve">    params = mode_params[row["transport_mode"]]</w:t>
            </w:r>
          </w:p>
          <w:p>
            <w:pPr>
              <w:spacing w:after="0"/>
            </w:pPr>
            <w:r>
              <w:rPr>
                <w:rFonts w:ascii="Consolas" w:cs="Consolas" w:eastAsia="Consolas" w:hAnsi="Consolas"/>
                <w:color w:val="1B1B1B"/>
                <w:sz w:val="18"/>
                <w:szCs w:val="18"/>
              </w:rPr>
              <w:t xml:space="preserve">    base_hours = row["distance_km"] / params["speed_kmh"]</w:t>
            </w:r>
          </w:p>
          <w:p>
            <w:pPr>
              <w:spacing w:after="0"/>
            </w:pPr>
            <w:r>
              <w:rPr>
                <w:rFonts w:ascii="Consolas" w:cs="Consolas" w:eastAsia="Consolas" w:hAnsi="Consolas"/>
                <w:color w:val="1B1B1B"/>
                <w:sz w:val="18"/>
                <w:szCs w:val="18"/>
              </w:rPr>
              <w:t xml:space="preserve">    congestion = region_congestion[row["region"]]</w:t>
            </w:r>
          </w:p>
          <w:p>
            <w:pPr>
              <w:spacing w:after="0"/>
            </w:pPr>
            <w:r>
              <w:rPr>
                <w:rFonts w:ascii="Consolas" w:cs="Consolas" w:eastAsia="Consolas" w:hAnsi="Consolas"/>
                <w:color w:val="1B1B1B"/>
                <w:sz w:val="18"/>
                <w:szCs w:val="18"/>
              </w:rPr>
              <w:t xml:space="preserve">    noise = np.random.normal(1.0, params['variability'])</w:t>
            </w:r>
          </w:p>
          <w:p>
            <w:pPr>
              <w:spacing w:after="0"/>
            </w:pPr>
            <w:r>
              <w:rPr>
                <w:rFonts w:ascii="Consolas" w:cs="Consolas" w:eastAsia="Consolas" w:hAnsi="Consolas"/>
                <w:color w:val="1B1B1B"/>
                <w:sz w:val="18"/>
                <w:szCs w:val="18"/>
              </w:rPr>
              <w:t xml:space="preserve">    handling_hours = np.random.uniform(2, 12)</w:t>
            </w:r>
          </w:p>
          <w:p>
            <w:pPr>
              <w:spacing w:after="0"/>
            </w:pPr>
            <w:r>
              <w:rPr>
                <w:rFonts w:ascii="Consolas" w:cs="Consolas" w:eastAsia="Consolas" w:hAnsi="Consolas"/>
                <w:color w:val="1B1B1B"/>
                <w:sz w:val="18"/>
                <w:szCs w:val="18"/>
              </w:rPr>
              <w:t xml:space="preserve">    return max(base_hours * congestion * noise + handling_hours, 1)</w:t>
            </w:r>
          </w:p>
        </w:tc>
      </w:tr>
    </w:tbl>
    <w:p>
      <w:pPr>
        <w:spacing w:after="120"/>
      </w:pPr>
    </w:p>
    <w:p>
      <w:pPr>
        <w:pStyle w:val="Heading3"/>
        <w:spacing w:after="100" w:before="220"/>
      </w:pPr>
      <w:r>
        <w:t xml:space="preserve">3.2 EDA Excerpt — Central Tendency, Spread, and Correlation</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summary_stats = df[[</w:t>
            </w:r>
          </w:p>
          <w:p>
            <w:pPr>
              <w:spacing w:after="0"/>
            </w:pPr>
            <w:r>
              <w:rPr>
                <w:rFonts w:ascii="Consolas" w:cs="Consolas" w:eastAsia="Consolas" w:hAnsi="Consolas"/>
                <w:color w:val="1B1B1B"/>
                <w:sz w:val="18"/>
                <w:szCs w:val="18"/>
              </w:rPr>
              <w:t xml:space="preserve">    "delivery_time_hrs", "promised_time_hrs", "delay_hrs",</w:t>
            </w:r>
          </w:p>
          <w:p>
            <w:pPr>
              <w:spacing w:after="0"/>
            </w:pPr>
            <w:r>
              <w:rPr>
                <w:rFonts w:ascii="Consolas" w:cs="Consolas" w:eastAsia="Consolas" w:hAnsi="Consolas"/>
                <w:color w:val="1B1B1B"/>
                <w:sz w:val="18"/>
                <w:szCs w:val="18"/>
              </w:rPr>
              <w:t xml:space="preserve">    "shipment_volume_kg", "distance_km", "transportation_cost",</w:t>
            </w:r>
          </w:p>
          <w:p>
            <w:pPr>
              <w:spacing w:after="0"/>
            </w:pPr>
            <w:r>
              <w:rPr>
                <w:rFonts w:ascii="Consolas" w:cs="Consolas" w:eastAsia="Consolas" w:hAnsi="Consolas"/>
                <w:color w:val="1B1B1B"/>
                <w:sz w:val="18"/>
                <w:szCs w:val="18"/>
              </w:rPr>
              <w:t xml:space="preserve">    "cost_per_kg", "customer_rating"</w:t>
            </w:r>
          </w:p>
          <w:p>
            <w:pPr>
              <w:spacing w:after="0"/>
            </w:pPr>
            <w:r>
              <w:rPr>
                <w:rFonts w:ascii="Consolas" w:cs="Consolas" w:eastAsia="Consolas" w:hAnsi="Consolas"/>
                <w:color w:val="1B1B1B"/>
                <w:sz w:val="18"/>
                <w:szCs w:val="18"/>
              </w:rPr>
              <w:t xml:space="preserve">]].describe().T</w:t>
            </w:r>
          </w:p>
          <w:p>
            <w:pPr>
              <w:spacing w:after="0"/>
            </w:pPr>
            <w:r>
              <w:rPr>
                <w:rFonts w:ascii="Consolas" w:cs="Consolas" w:eastAsia="Consolas" w:hAnsi="Consolas"/>
                <w:color w:val="1B1B1B"/>
                <w:sz w:val="18"/>
                <w:szCs w:val="18"/>
              </w:rPr>
              <w:t xml:space="preserve">summary_stats["skew"] = df[summary_stats.index].skew()</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otp_by_mode = 100 * (1 - df.groupby('transport_mode')['delay_flag'].mean())</w:t>
            </w:r>
          </w:p>
          <w:p>
            <w:pPr>
              <w:spacing w:after="0"/>
            </w:pPr>
            <w:r>
              <w:rPr>
                <w:rFonts w:ascii="Consolas" w:cs="Consolas" w:eastAsia="Consolas" w:hAnsi="Consolas"/>
                <w:color w:val="1B1B1B"/>
                <w:sz w:val="18"/>
                <w:szCs w:val="18"/>
              </w:rPr>
              <w:t xml:space="preserve">corr = df[corr_cols].corr()</w:t>
            </w:r>
          </w:p>
        </w:tc>
      </w:tr>
    </w:tbl>
    <w:p>
      <w:pPr>
        <w:spacing w:after="120"/>
      </w:pPr>
    </w:p>
    <w:p>
      <w:pPr>
        <w:pStyle w:val="Heading3"/>
        <w:spacing w:after="100" w:before="220"/>
      </w:pPr>
      <w:r>
        <w:t xml:space="preserve">3.3 Visualization Excerpt</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sns.histplot(df['delivery_time_hrs'], bins=40, kde=True)</w:t>
            </w:r>
          </w:p>
          <w:p>
            <w:pPr>
              <w:spacing w:after="0"/>
            </w:pPr>
            <w:r>
              <w:rPr>
                <w:rFonts w:ascii="Consolas" w:cs="Consolas" w:eastAsia="Consolas" w:hAnsi="Consolas"/>
                <w:color w:val="1B1B1B"/>
                <w:sz w:val="18"/>
                <w:szCs w:val="18"/>
              </w:rPr>
              <w:t xml:space="preserve">sns.scatterplot(data=df, x='distance_km', y='transportation_cost', hue='transport_mode')</w:t>
            </w:r>
          </w:p>
          <w:p>
            <w:pPr>
              <w:spacing w:after="0"/>
            </w:pPr>
            <w:r>
              <w:rPr>
                <w:rFonts w:ascii="Consolas" w:cs="Consolas" w:eastAsia="Consolas" w:hAnsi="Consolas"/>
                <w:color w:val="1B1B1B"/>
                <w:sz w:val="18"/>
                <w:szCs w:val="18"/>
              </w:rPr>
              <w:t xml:space="preserve">sns.heatmap(corr, annot=True, fmt='.2f', cmap='RdBu_r', center=0)</w:t>
            </w:r>
          </w:p>
          <w:p>
            <w:pPr>
              <w:spacing w:after="0"/>
            </w:pPr>
            <w:r>
              <w:rPr>
                <w:rFonts w:ascii="Consolas" w:cs="Consolas" w:eastAsia="Consolas" w:hAnsi="Consolas"/>
                <w:color w:val="1B1B1B"/>
                <w:sz w:val="18"/>
                <w:szCs w:val="18"/>
              </w:rPr>
              <w:t xml:space="preserve">sns.boxplot(data=df, x='region', y='delay_hrs')</w:t>
            </w:r>
          </w:p>
          <w:p>
            <w:pPr>
              <w:spacing w:after="0"/>
            </w:pPr>
            <w:r>
              <w:rPr>
                <w:rFonts w:ascii="Consolas" w:cs="Consolas" w:eastAsia="Consolas" w:hAnsi="Consolas"/>
                <w:color w:val="1B1B1B"/>
                <w:sz w:val="18"/>
                <w:szCs w:val="18"/>
              </w:rPr>
              <w:t xml:space="preserve">sns.regplot(data=df, x='delay_hrs', y='customer_rating')</w:t>
            </w:r>
          </w:p>
        </w:tc>
      </w:tr>
    </w:tbl>
    <w:p>
      <w:pPr>
        <w:pStyle w:val="Heading1"/>
        <w:spacing w:after="160" w:before="360"/>
      </w:pPr>
      <w:r>
        <w:t xml:space="preserve">4. Exploratory Data Analysis — Summary Statistics</w:t>
      </w:r>
    </w:p>
    <w:p>
      <w:pPr>
        <w:spacing w:after="160" w:line="276"/>
      </w:pPr>
      <w:r>
        <w:t xml:space="preserve">Descriptive statistics for the core numeric fields (n = 5,000 shipments) are summarized below. Several variables — delivery time, shipment volume, distance, and cost — show pronounced right skew, consistent with real freight data where most shipments are small/local and a smaller number are large, long-haul, or delayed outliers.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2400"/>
            <w:shd w:fill="1F3864" w:val="clear"/>
            <w:tcMar>
              <w:top w:type="dxa" w:w="80"/>
              <w:left w:type="dxa" w:w="100"/>
              <w:bottom w:type="dxa" w:w="80"/>
              <w:right w:type="dxa" w:w="100"/>
            </w:tcMar>
          </w:tcPr>
          <w:p>
            <w:pPr>
              <w:jc w:val="left"/>
            </w:pPr>
            <w:r>
              <w:rPr>
                <w:b/>
                <w:bCs/>
                <w:color w:val="FFFFFF"/>
                <w:sz w:val="20"/>
                <w:szCs w:val="20"/>
              </w:rPr>
              <w:t xml:space="preserve">Metric</w:t>
            </w:r>
          </w:p>
        </w:tc>
        <w:tc>
          <w:tcPr>
            <w:tcW w:type="dxa" w:w="950"/>
            <w:shd w:fill="1F3864" w:val="clear"/>
            <w:tcMar>
              <w:top w:type="dxa" w:w="80"/>
              <w:left w:type="dxa" w:w="100"/>
              <w:bottom w:type="dxa" w:w="80"/>
              <w:right w:type="dxa" w:w="100"/>
            </w:tcMar>
          </w:tcPr>
          <w:p>
            <w:pPr>
              <w:jc w:val="left"/>
            </w:pPr>
            <w:r>
              <w:rPr>
                <w:b/>
                <w:bCs/>
                <w:color w:val="FFFFFF"/>
                <w:sz w:val="20"/>
                <w:szCs w:val="20"/>
              </w:rPr>
              <w:t xml:space="preserve">Mean</w:t>
            </w:r>
          </w:p>
        </w:tc>
        <w:tc>
          <w:tcPr>
            <w:tcW w:type="dxa" w:w="950"/>
            <w:shd w:fill="1F3864" w:val="clear"/>
            <w:tcMar>
              <w:top w:type="dxa" w:w="80"/>
              <w:left w:type="dxa" w:w="100"/>
              <w:bottom w:type="dxa" w:w="80"/>
              <w:right w:type="dxa" w:w="100"/>
            </w:tcMar>
          </w:tcPr>
          <w:p>
            <w:pPr>
              <w:jc w:val="left"/>
            </w:pPr>
            <w:r>
              <w:rPr>
                <w:b/>
                <w:bCs/>
                <w:color w:val="FFFFFF"/>
                <w:sz w:val="20"/>
                <w:szCs w:val="20"/>
              </w:rPr>
              <w:t xml:space="preserve">Median</w:t>
            </w:r>
          </w:p>
        </w:tc>
        <w:tc>
          <w:tcPr>
            <w:tcW w:type="dxa" w:w="950"/>
            <w:shd w:fill="1F3864" w:val="clear"/>
            <w:tcMar>
              <w:top w:type="dxa" w:w="80"/>
              <w:left w:type="dxa" w:w="100"/>
              <w:bottom w:type="dxa" w:w="80"/>
              <w:right w:type="dxa" w:w="100"/>
            </w:tcMar>
          </w:tcPr>
          <w:p>
            <w:pPr>
              <w:jc w:val="left"/>
            </w:pPr>
            <w:r>
              <w:rPr>
                <w:b/>
                <w:bCs/>
                <w:color w:val="FFFFFF"/>
                <w:sz w:val="20"/>
                <w:szCs w:val="20"/>
              </w:rPr>
              <w:t xml:space="preserve">Std Dev</w:t>
            </w:r>
          </w:p>
        </w:tc>
        <w:tc>
          <w:tcPr>
            <w:tcW w:type="dxa" w:w="950"/>
            <w:shd w:fill="1F3864" w:val="clear"/>
            <w:tcMar>
              <w:top w:type="dxa" w:w="80"/>
              <w:left w:type="dxa" w:w="100"/>
              <w:bottom w:type="dxa" w:w="80"/>
              <w:right w:type="dxa" w:w="100"/>
            </w:tcMar>
          </w:tcPr>
          <w:p>
            <w:pPr>
              <w:jc w:val="left"/>
            </w:pPr>
            <w:r>
              <w:rPr>
                <w:b/>
                <w:bCs/>
                <w:color w:val="FFFFFF"/>
                <w:sz w:val="20"/>
                <w:szCs w:val="20"/>
              </w:rPr>
              <w:t xml:space="preserve">Min</w:t>
            </w:r>
          </w:p>
        </w:tc>
        <w:tc>
          <w:tcPr>
            <w:tcW w:type="dxa" w:w="1150"/>
            <w:shd w:fill="1F3864" w:val="clear"/>
            <w:tcMar>
              <w:top w:type="dxa" w:w="80"/>
              <w:left w:type="dxa" w:w="100"/>
              <w:bottom w:type="dxa" w:w="80"/>
              <w:right w:type="dxa" w:w="100"/>
            </w:tcMar>
          </w:tcPr>
          <w:p>
            <w:pPr>
              <w:jc w:val="left"/>
            </w:pPr>
            <w:r>
              <w:rPr>
                <w:b/>
                <w:bCs/>
                <w:color w:val="FFFFFF"/>
                <w:sz w:val="20"/>
                <w:szCs w:val="20"/>
              </w:rPr>
              <w:t xml:space="preserve">Max</w:t>
            </w:r>
          </w:p>
        </w:tc>
        <w:tc>
          <w:tcPr>
            <w:tcW w:type="dxa" w:w="950"/>
            <w:shd w:fill="1F3864" w:val="clear"/>
            <w:tcMar>
              <w:top w:type="dxa" w:w="80"/>
              <w:left w:type="dxa" w:w="100"/>
              <w:bottom w:type="dxa" w:w="80"/>
              <w:right w:type="dxa" w:w="100"/>
            </w:tcMar>
          </w:tcPr>
          <w:p>
            <w:pPr>
              <w:jc w:val="left"/>
            </w:pPr>
            <w:r>
              <w:rPr>
                <w:b/>
                <w:bCs/>
                <w:color w:val="FFFFFF"/>
                <w:sz w:val="20"/>
                <w:szCs w:val="20"/>
              </w:rPr>
              <w:t xml:space="preserve">Skew</w:t>
            </w:r>
          </w:p>
        </w:tc>
      </w:tr>
      <w:tr>
        <w:trPr>
          <w:tblHeader w:val="false"/>
        </w:trPr>
        <w:tc>
          <w:tcPr>
            <w:tcW w:type="dxa" w:w="2400"/>
            <w:tcMar>
              <w:top w:type="dxa" w:w="80"/>
              <w:left w:type="dxa" w:w="100"/>
              <w:bottom w:type="dxa" w:w="80"/>
              <w:right w:type="dxa" w:w="100"/>
            </w:tcMar>
          </w:tcPr>
          <w:p>
            <w:pPr>
              <w:jc w:val="center"/>
            </w:pPr>
            <w:r>
              <w:rPr>
                <w:color w:val="1B1B1B"/>
                <w:sz w:val="20"/>
                <w:szCs w:val="20"/>
              </w:rPr>
              <w:t xml:space="preserve">Delivery time (hrs)</w:t>
            </w:r>
          </w:p>
        </w:tc>
        <w:tc>
          <w:tcPr>
            <w:tcW w:type="dxa" w:w="950"/>
            <w:tcMar>
              <w:top w:type="dxa" w:w="80"/>
              <w:left w:type="dxa" w:w="100"/>
              <w:bottom w:type="dxa" w:w="80"/>
              <w:right w:type="dxa" w:w="100"/>
            </w:tcMar>
          </w:tcPr>
          <w:p>
            <w:pPr>
              <w:jc w:val="center"/>
            </w:pPr>
            <w:r>
              <w:rPr>
                <w:color w:val="1B1B1B"/>
                <w:sz w:val="20"/>
                <w:szCs w:val="20"/>
              </w:rPr>
              <w:t xml:space="preserve">17.9</w:t>
            </w:r>
          </w:p>
        </w:tc>
        <w:tc>
          <w:tcPr>
            <w:tcW w:type="dxa" w:w="950"/>
            <w:tcMar>
              <w:top w:type="dxa" w:w="80"/>
              <w:left w:type="dxa" w:w="100"/>
              <w:bottom w:type="dxa" w:w="80"/>
              <w:right w:type="dxa" w:w="100"/>
            </w:tcMar>
          </w:tcPr>
          <w:p>
            <w:pPr>
              <w:jc w:val="center"/>
            </w:pPr>
            <w:r>
              <w:rPr>
                <w:color w:val="1B1B1B"/>
                <w:sz w:val="20"/>
                <w:szCs w:val="20"/>
              </w:rPr>
              <w:t xml:space="preserve">12.2</w:t>
            </w:r>
          </w:p>
        </w:tc>
        <w:tc>
          <w:tcPr>
            <w:tcW w:type="dxa" w:w="950"/>
            <w:tcMar>
              <w:top w:type="dxa" w:w="80"/>
              <w:left w:type="dxa" w:w="100"/>
              <w:bottom w:type="dxa" w:w="80"/>
              <w:right w:type="dxa" w:w="100"/>
            </w:tcMar>
          </w:tcPr>
          <w:p>
            <w:pPr>
              <w:jc w:val="center"/>
            </w:pPr>
            <w:r>
              <w:rPr>
                <w:color w:val="1B1B1B"/>
                <w:sz w:val="20"/>
                <w:szCs w:val="20"/>
              </w:rPr>
              <w:t xml:space="preserve">23.5</w:t>
            </w:r>
          </w:p>
        </w:tc>
        <w:tc>
          <w:tcPr>
            <w:tcW w:type="dxa" w:w="950"/>
            <w:tcMar>
              <w:top w:type="dxa" w:w="80"/>
              <w:left w:type="dxa" w:w="100"/>
              <w:bottom w:type="dxa" w:w="80"/>
              <w:right w:type="dxa" w:w="100"/>
            </w:tcMar>
          </w:tcPr>
          <w:p>
            <w:pPr>
              <w:jc w:val="center"/>
            </w:pPr>
            <w:r>
              <w:rPr>
                <w:color w:val="1B1B1B"/>
                <w:sz w:val="20"/>
                <w:szCs w:val="20"/>
              </w:rPr>
              <w:t xml:space="preserve">2.3</w:t>
            </w:r>
          </w:p>
        </w:tc>
        <w:tc>
          <w:tcPr>
            <w:tcW w:type="dxa" w:w="1150"/>
            <w:tcMar>
              <w:top w:type="dxa" w:w="80"/>
              <w:left w:type="dxa" w:w="100"/>
              <w:bottom w:type="dxa" w:w="80"/>
              <w:right w:type="dxa" w:w="100"/>
            </w:tcMar>
          </w:tcPr>
          <w:p>
            <w:pPr>
              <w:jc w:val="center"/>
            </w:pPr>
            <w:r>
              <w:rPr>
                <w:color w:val="1B1B1B"/>
                <w:sz w:val="20"/>
                <w:szCs w:val="20"/>
              </w:rPr>
              <w:t xml:space="preserve">308.3</w:t>
            </w:r>
          </w:p>
        </w:tc>
        <w:tc>
          <w:tcPr>
            <w:tcW w:type="dxa" w:w="950"/>
            <w:tcMar>
              <w:top w:type="dxa" w:w="80"/>
              <w:left w:type="dxa" w:w="100"/>
              <w:bottom w:type="dxa" w:w="80"/>
              <w:right w:type="dxa" w:w="100"/>
            </w:tcMar>
          </w:tcPr>
          <w:p>
            <w:pPr>
              <w:jc w:val="center"/>
            </w:pPr>
            <w:r>
              <w:rPr>
                <w:color w:val="1B1B1B"/>
                <w:sz w:val="20"/>
                <w:szCs w:val="20"/>
              </w:rPr>
              <w:t xml:space="preserve">5.08</w:t>
            </w:r>
          </w:p>
        </w:tc>
      </w:tr>
      <w:tr>
        <w:trPr>
          <w:tblHeader w:val="false"/>
        </w:trPr>
        <w:tc>
          <w:tcPr>
            <w:tcW w:type="dxa" w:w="2400"/>
            <w:shd w:fill="F2F2F2" w:val="clear"/>
            <w:tcMar>
              <w:top w:type="dxa" w:w="80"/>
              <w:left w:type="dxa" w:w="100"/>
              <w:bottom w:type="dxa" w:w="80"/>
              <w:right w:type="dxa" w:w="100"/>
            </w:tcMar>
          </w:tcPr>
          <w:p>
            <w:pPr>
              <w:jc w:val="center"/>
            </w:pPr>
            <w:r>
              <w:rPr>
                <w:color w:val="1B1B1B"/>
                <w:sz w:val="20"/>
                <w:szCs w:val="20"/>
              </w:rPr>
              <w:t xml:space="preserve">Promised time (hrs)</w:t>
            </w:r>
          </w:p>
        </w:tc>
        <w:tc>
          <w:tcPr>
            <w:tcW w:type="dxa" w:w="950"/>
            <w:shd w:fill="F2F2F2" w:val="clear"/>
            <w:tcMar>
              <w:top w:type="dxa" w:w="80"/>
              <w:left w:type="dxa" w:w="100"/>
              <w:bottom w:type="dxa" w:w="80"/>
              <w:right w:type="dxa" w:w="100"/>
            </w:tcMar>
          </w:tcPr>
          <w:p>
            <w:pPr>
              <w:jc w:val="center"/>
            </w:pPr>
            <w:r>
              <w:rPr>
                <w:color w:val="1B1B1B"/>
                <w:sz w:val="20"/>
                <w:szCs w:val="20"/>
              </w:rPr>
              <w:t xml:space="preserve">20.7</w:t>
            </w:r>
          </w:p>
        </w:tc>
        <w:tc>
          <w:tcPr>
            <w:tcW w:type="dxa" w:w="950"/>
            <w:shd w:fill="F2F2F2" w:val="clear"/>
            <w:tcMar>
              <w:top w:type="dxa" w:w="80"/>
              <w:left w:type="dxa" w:w="100"/>
              <w:bottom w:type="dxa" w:w="80"/>
              <w:right w:type="dxa" w:w="100"/>
            </w:tcMar>
          </w:tcPr>
          <w:p>
            <w:pPr>
              <w:jc w:val="center"/>
            </w:pPr>
            <w:r>
              <w:rPr>
                <w:color w:val="1B1B1B"/>
                <w:sz w:val="20"/>
                <w:szCs w:val="20"/>
              </w:rPr>
              <w:t xml:space="preserve">13.2</w:t>
            </w:r>
          </w:p>
        </w:tc>
        <w:tc>
          <w:tcPr>
            <w:tcW w:type="dxa" w:w="950"/>
            <w:shd w:fill="F2F2F2" w:val="clear"/>
            <w:tcMar>
              <w:top w:type="dxa" w:w="80"/>
              <w:left w:type="dxa" w:w="100"/>
              <w:bottom w:type="dxa" w:w="80"/>
              <w:right w:type="dxa" w:w="100"/>
            </w:tcMar>
          </w:tcPr>
          <w:p>
            <w:pPr>
              <w:jc w:val="center"/>
            </w:pPr>
            <w:r>
              <w:rPr>
                <w:color w:val="1B1B1B"/>
                <w:sz w:val="20"/>
                <w:szCs w:val="20"/>
              </w:rPr>
              <w:t xml:space="preserve">25.9</w:t>
            </w:r>
          </w:p>
        </w:tc>
        <w:tc>
          <w:tcPr>
            <w:tcW w:type="dxa" w:w="950"/>
            <w:shd w:fill="F2F2F2" w:val="clear"/>
            <w:tcMar>
              <w:top w:type="dxa" w:w="80"/>
              <w:left w:type="dxa" w:w="100"/>
              <w:bottom w:type="dxa" w:w="80"/>
              <w:right w:type="dxa" w:w="100"/>
            </w:tcMar>
          </w:tcPr>
          <w:p>
            <w:pPr>
              <w:jc w:val="center"/>
            </w:pPr>
            <w:r>
              <w:rPr>
                <w:color w:val="1B1B1B"/>
                <w:sz w:val="20"/>
                <w:szCs w:val="20"/>
              </w:rPr>
              <w:t xml:space="preserve">8.0</w:t>
            </w:r>
          </w:p>
        </w:tc>
        <w:tc>
          <w:tcPr>
            <w:tcW w:type="dxa" w:w="1150"/>
            <w:shd w:fill="F2F2F2" w:val="clear"/>
            <w:tcMar>
              <w:top w:type="dxa" w:w="80"/>
              <w:left w:type="dxa" w:w="100"/>
              <w:bottom w:type="dxa" w:w="80"/>
              <w:right w:type="dxa" w:w="100"/>
            </w:tcMar>
          </w:tcPr>
          <w:p>
            <w:pPr>
              <w:jc w:val="center"/>
            </w:pPr>
            <w:r>
              <w:rPr>
                <w:color w:val="1B1B1B"/>
                <w:sz w:val="20"/>
                <w:szCs w:val="20"/>
              </w:rPr>
              <w:t xml:space="preserve">295.2</w:t>
            </w:r>
          </w:p>
        </w:tc>
        <w:tc>
          <w:tcPr>
            <w:tcW w:type="dxa" w:w="950"/>
            <w:shd w:fill="F2F2F2" w:val="clear"/>
            <w:tcMar>
              <w:top w:type="dxa" w:w="80"/>
              <w:left w:type="dxa" w:w="100"/>
              <w:bottom w:type="dxa" w:w="80"/>
              <w:right w:type="dxa" w:w="100"/>
            </w:tcMar>
          </w:tcPr>
          <w:p>
            <w:pPr>
              <w:jc w:val="center"/>
            </w:pPr>
            <w:r>
              <w:rPr>
                <w:color w:val="1B1B1B"/>
                <w:sz w:val="20"/>
                <w:szCs w:val="20"/>
              </w:rPr>
              <w:t xml:space="preserve">4.70</w:t>
            </w:r>
          </w:p>
        </w:tc>
      </w:tr>
      <w:tr>
        <w:trPr>
          <w:tblHeader w:val="false"/>
        </w:trPr>
        <w:tc>
          <w:tcPr>
            <w:tcW w:type="dxa" w:w="2400"/>
            <w:tcMar>
              <w:top w:type="dxa" w:w="80"/>
              <w:left w:type="dxa" w:w="100"/>
              <w:bottom w:type="dxa" w:w="80"/>
              <w:right w:type="dxa" w:w="100"/>
            </w:tcMar>
          </w:tcPr>
          <w:p>
            <w:pPr>
              <w:jc w:val="center"/>
            </w:pPr>
            <w:r>
              <w:rPr>
                <w:color w:val="1B1B1B"/>
                <w:sz w:val="20"/>
                <w:szCs w:val="20"/>
              </w:rPr>
              <w:t xml:space="preserve">Delay (hrs)</w:t>
            </w:r>
          </w:p>
        </w:tc>
        <w:tc>
          <w:tcPr>
            <w:tcW w:type="dxa" w:w="950"/>
            <w:tcMar>
              <w:top w:type="dxa" w:w="80"/>
              <w:left w:type="dxa" w:w="100"/>
              <w:bottom w:type="dxa" w:w="80"/>
              <w:right w:type="dxa" w:w="100"/>
            </w:tcMar>
          </w:tcPr>
          <w:p>
            <w:pPr>
              <w:jc w:val="center"/>
            </w:pPr>
            <w:r>
              <w:rPr>
                <w:color w:val="1B1B1B"/>
                <w:sz w:val="20"/>
                <w:szCs w:val="20"/>
              </w:rPr>
              <w:t xml:space="preserve">-2.8</w:t>
            </w:r>
          </w:p>
        </w:tc>
        <w:tc>
          <w:tcPr>
            <w:tcW w:type="dxa" w:w="950"/>
            <w:tcMar>
              <w:top w:type="dxa" w:w="80"/>
              <w:left w:type="dxa" w:w="100"/>
              <w:bottom w:type="dxa" w:w="80"/>
              <w:right w:type="dxa" w:w="100"/>
            </w:tcMar>
          </w:tcPr>
          <w:p>
            <w:pPr>
              <w:jc w:val="center"/>
            </w:pPr>
            <w:r>
              <w:rPr>
                <w:color w:val="1B1B1B"/>
                <w:sz w:val="20"/>
                <w:szCs w:val="20"/>
              </w:rPr>
              <w:t xml:space="preserve">-2.1</w:t>
            </w:r>
          </w:p>
        </w:tc>
        <w:tc>
          <w:tcPr>
            <w:tcW w:type="dxa" w:w="950"/>
            <w:tcMar>
              <w:top w:type="dxa" w:w="80"/>
              <w:left w:type="dxa" w:w="100"/>
              <w:bottom w:type="dxa" w:w="80"/>
              <w:right w:type="dxa" w:w="100"/>
            </w:tcMar>
          </w:tcPr>
          <w:p>
            <w:pPr>
              <w:jc w:val="center"/>
            </w:pPr>
            <w:r>
              <w:rPr>
                <w:color w:val="1B1B1B"/>
                <w:sz w:val="20"/>
                <w:szCs w:val="20"/>
              </w:rPr>
              <w:t xml:space="preserve">8.0</w:t>
            </w:r>
          </w:p>
        </w:tc>
        <w:tc>
          <w:tcPr>
            <w:tcW w:type="dxa" w:w="950"/>
            <w:tcMar>
              <w:top w:type="dxa" w:w="80"/>
              <w:left w:type="dxa" w:w="100"/>
              <w:bottom w:type="dxa" w:w="80"/>
              <w:right w:type="dxa" w:w="100"/>
            </w:tcMar>
          </w:tcPr>
          <w:p>
            <w:pPr>
              <w:jc w:val="center"/>
            </w:pPr>
            <w:r>
              <w:rPr>
                <w:color w:val="1B1B1B"/>
                <w:sz w:val="20"/>
                <w:szCs w:val="20"/>
              </w:rPr>
              <w:t xml:space="preserve">-140.2</w:t>
            </w:r>
          </w:p>
        </w:tc>
        <w:tc>
          <w:tcPr>
            <w:tcW w:type="dxa" w:w="1150"/>
            <w:tcMar>
              <w:top w:type="dxa" w:w="80"/>
              <w:left w:type="dxa" w:w="100"/>
              <w:bottom w:type="dxa" w:w="80"/>
              <w:right w:type="dxa" w:w="100"/>
            </w:tcMar>
          </w:tcPr>
          <w:p>
            <w:pPr>
              <w:jc w:val="center"/>
            </w:pPr>
            <w:r>
              <w:rPr>
                <w:color w:val="1B1B1B"/>
                <w:sz w:val="20"/>
                <w:szCs w:val="20"/>
              </w:rPr>
              <w:t xml:space="preserve">82.7</w:t>
            </w:r>
          </w:p>
        </w:tc>
        <w:tc>
          <w:tcPr>
            <w:tcW w:type="dxa" w:w="950"/>
            <w:tcMar>
              <w:top w:type="dxa" w:w="80"/>
              <w:left w:type="dxa" w:w="100"/>
              <w:bottom w:type="dxa" w:w="80"/>
              <w:right w:type="dxa" w:w="100"/>
            </w:tcMar>
          </w:tcPr>
          <w:p>
            <w:pPr>
              <w:jc w:val="center"/>
            </w:pPr>
            <w:r>
              <w:rPr>
                <w:color w:val="1B1B1B"/>
                <w:sz w:val="20"/>
                <w:szCs w:val="20"/>
              </w:rPr>
              <w:t xml:space="preserve">-3.74</w:t>
            </w:r>
          </w:p>
        </w:tc>
      </w:tr>
      <w:tr>
        <w:trPr>
          <w:tblHeader w:val="false"/>
        </w:trPr>
        <w:tc>
          <w:tcPr>
            <w:tcW w:type="dxa" w:w="2400"/>
            <w:shd w:fill="F2F2F2" w:val="clear"/>
            <w:tcMar>
              <w:top w:type="dxa" w:w="80"/>
              <w:left w:type="dxa" w:w="100"/>
              <w:bottom w:type="dxa" w:w="80"/>
              <w:right w:type="dxa" w:w="100"/>
            </w:tcMar>
          </w:tcPr>
          <w:p>
            <w:pPr>
              <w:jc w:val="center"/>
            </w:pPr>
            <w:r>
              <w:rPr>
                <w:color w:val="1B1B1B"/>
                <w:sz w:val="20"/>
                <w:szCs w:val="20"/>
              </w:rPr>
              <w:t xml:space="preserve">Shipment volume (kg)</w:t>
            </w:r>
          </w:p>
        </w:tc>
        <w:tc>
          <w:tcPr>
            <w:tcW w:type="dxa" w:w="950"/>
            <w:shd w:fill="F2F2F2" w:val="clear"/>
            <w:tcMar>
              <w:top w:type="dxa" w:w="80"/>
              <w:left w:type="dxa" w:w="100"/>
              <w:bottom w:type="dxa" w:w="80"/>
              <w:right w:type="dxa" w:w="100"/>
            </w:tcMar>
          </w:tcPr>
          <w:p>
            <w:pPr>
              <w:jc w:val="center"/>
            </w:pPr>
            <w:r>
              <w:rPr>
                <w:color w:val="1B1B1B"/>
                <w:sz w:val="20"/>
                <w:szCs w:val="20"/>
              </w:rPr>
              <w:t xml:space="preserve">745.1</w:t>
            </w:r>
          </w:p>
        </w:tc>
        <w:tc>
          <w:tcPr>
            <w:tcW w:type="dxa" w:w="950"/>
            <w:shd w:fill="F2F2F2" w:val="clear"/>
            <w:tcMar>
              <w:top w:type="dxa" w:w="80"/>
              <w:left w:type="dxa" w:w="100"/>
              <w:bottom w:type="dxa" w:w="80"/>
              <w:right w:type="dxa" w:w="100"/>
            </w:tcMar>
          </w:tcPr>
          <w:p>
            <w:pPr>
              <w:jc w:val="center"/>
            </w:pPr>
            <w:r>
              <w:rPr>
                <w:color w:val="1B1B1B"/>
                <w:sz w:val="20"/>
                <w:szCs w:val="20"/>
              </w:rPr>
              <w:t xml:space="preserve">490.6</w:t>
            </w:r>
          </w:p>
        </w:tc>
        <w:tc>
          <w:tcPr>
            <w:tcW w:type="dxa" w:w="950"/>
            <w:shd w:fill="F2F2F2" w:val="clear"/>
            <w:tcMar>
              <w:top w:type="dxa" w:w="80"/>
              <w:left w:type="dxa" w:w="100"/>
              <w:bottom w:type="dxa" w:w="80"/>
              <w:right w:type="dxa" w:w="100"/>
            </w:tcMar>
          </w:tcPr>
          <w:p>
            <w:pPr>
              <w:jc w:val="center"/>
            </w:pPr>
            <w:r>
              <w:rPr>
                <w:color w:val="1B1B1B"/>
                <w:sz w:val="20"/>
                <w:szCs w:val="20"/>
              </w:rPr>
              <w:t xml:space="preserve">843.7</w:t>
            </w:r>
          </w:p>
        </w:tc>
        <w:tc>
          <w:tcPr>
            <w:tcW w:type="dxa" w:w="950"/>
            <w:shd w:fill="F2F2F2" w:val="clear"/>
            <w:tcMar>
              <w:top w:type="dxa" w:w="80"/>
              <w:left w:type="dxa" w:w="100"/>
              <w:bottom w:type="dxa" w:w="80"/>
              <w:right w:type="dxa" w:w="100"/>
            </w:tcMar>
          </w:tcPr>
          <w:p>
            <w:pPr>
              <w:jc w:val="center"/>
            </w:pPr>
            <w:r>
              <w:rPr>
                <w:color w:val="1B1B1B"/>
                <w:sz w:val="20"/>
                <w:szCs w:val="20"/>
              </w:rPr>
              <w:t xml:space="preserve">22.3</w:t>
            </w:r>
          </w:p>
        </w:tc>
        <w:tc>
          <w:tcPr>
            <w:tcW w:type="dxa" w:w="1150"/>
            <w:shd w:fill="F2F2F2" w:val="clear"/>
            <w:tcMar>
              <w:top w:type="dxa" w:w="80"/>
              <w:left w:type="dxa" w:w="100"/>
              <w:bottom w:type="dxa" w:w="80"/>
              <w:right w:type="dxa" w:w="100"/>
            </w:tcMar>
          </w:tcPr>
          <w:p>
            <w:pPr>
              <w:jc w:val="center"/>
            </w:pPr>
            <w:r>
              <w:rPr>
                <w:color w:val="1B1B1B"/>
                <w:sz w:val="20"/>
                <w:szCs w:val="20"/>
              </w:rPr>
              <w:t xml:space="preserve">15,154.4</w:t>
            </w:r>
          </w:p>
        </w:tc>
        <w:tc>
          <w:tcPr>
            <w:tcW w:type="dxa" w:w="950"/>
            <w:shd w:fill="F2F2F2" w:val="clear"/>
            <w:tcMar>
              <w:top w:type="dxa" w:w="80"/>
              <w:left w:type="dxa" w:w="100"/>
              <w:bottom w:type="dxa" w:w="80"/>
              <w:right w:type="dxa" w:w="100"/>
            </w:tcMar>
          </w:tcPr>
          <w:p>
            <w:pPr>
              <w:jc w:val="center"/>
            </w:pPr>
            <w:r>
              <w:rPr>
                <w:color w:val="1B1B1B"/>
                <w:sz w:val="20"/>
                <w:szCs w:val="20"/>
              </w:rPr>
              <w:t xml:space="preserve">4.77</w:t>
            </w:r>
          </w:p>
        </w:tc>
      </w:tr>
      <w:tr>
        <w:trPr>
          <w:tblHeader w:val="false"/>
        </w:trPr>
        <w:tc>
          <w:tcPr>
            <w:tcW w:type="dxa" w:w="2400"/>
            <w:tcMar>
              <w:top w:type="dxa" w:w="80"/>
              <w:left w:type="dxa" w:w="100"/>
              <w:bottom w:type="dxa" w:w="80"/>
              <w:right w:type="dxa" w:w="100"/>
            </w:tcMar>
          </w:tcPr>
          <w:p>
            <w:pPr>
              <w:jc w:val="center"/>
            </w:pPr>
            <w:r>
              <w:rPr>
                <w:color w:val="1B1B1B"/>
                <w:sz w:val="20"/>
                <w:szCs w:val="20"/>
              </w:rPr>
              <w:t xml:space="preserve">Distance (km)</w:t>
            </w:r>
          </w:p>
        </w:tc>
        <w:tc>
          <w:tcPr>
            <w:tcW w:type="dxa" w:w="950"/>
            <w:tcMar>
              <w:top w:type="dxa" w:w="80"/>
              <w:left w:type="dxa" w:w="100"/>
              <w:bottom w:type="dxa" w:w="80"/>
              <w:right w:type="dxa" w:w="100"/>
            </w:tcMar>
          </w:tcPr>
          <w:p>
            <w:pPr>
              <w:jc w:val="center"/>
            </w:pPr>
            <w:r>
              <w:rPr>
                <w:color w:val="1B1B1B"/>
                <w:sz w:val="20"/>
                <w:szCs w:val="20"/>
              </w:rPr>
              <w:t xml:space="preserve">625.1</w:t>
            </w:r>
          </w:p>
        </w:tc>
        <w:tc>
          <w:tcPr>
            <w:tcW w:type="dxa" w:w="950"/>
            <w:tcMar>
              <w:top w:type="dxa" w:w="80"/>
              <w:left w:type="dxa" w:w="100"/>
              <w:bottom w:type="dxa" w:w="80"/>
              <w:right w:type="dxa" w:w="100"/>
            </w:tcMar>
          </w:tcPr>
          <w:p>
            <w:pPr>
              <w:jc w:val="center"/>
            </w:pPr>
            <w:r>
              <w:rPr>
                <w:color w:val="1B1B1B"/>
                <w:sz w:val="20"/>
                <w:szCs w:val="20"/>
              </w:rPr>
              <w:t xml:space="preserve">332.2</w:t>
            </w:r>
          </w:p>
        </w:tc>
        <w:tc>
          <w:tcPr>
            <w:tcW w:type="dxa" w:w="950"/>
            <w:tcMar>
              <w:top w:type="dxa" w:w="80"/>
              <w:left w:type="dxa" w:w="100"/>
              <w:bottom w:type="dxa" w:w="80"/>
              <w:right w:type="dxa" w:w="100"/>
            </w:tcMar>
          </w:tcPr>
          <w:p>
            <w:pPr>
              <w:jc w:val="center"/>
            </w:pPr>
            <w:r>
              <w:rPr>
                <w:color w:val="1B1B1B"/>
                <w:sz w:val="20"/>
                <w:szCs w:val="20"/>
              </w:rPr>
              <w:t xml:space="preserve">810.6</w:t>
            </w:r>
          </w:p>
        </w:tc>
        <w:tc>
          <w:tcPr>
            <w:tcW w:type="dxa" w:w="950"/>
            <w:tcMar>
              <w:top w:type="dxa" w:w="80"/>
              <w:left w:type="dxa" w:w="100"/>
              <w:bottom w:type="dxa" w:w="80"/>
              <w:right w:type="dxa" w:w="100"/>
            </w:tcMar>
          </w:tcPr>
          <w:p>
            <w:pPr>
              <w:jc w:val="center"/>
            </w:pPr>
            <w:r>
              <w:rPr>
                <w:color w:val="1B1B1B"/>
                <w:sz w:val="20"/>
                <w:szCs w:val="20"/>
              </w:rPr>
              <w:t xml:space="preserve">4.2</w:t>
            </w:r>
          </w:p>
        </w:tc>
        <w:tc>
          <w:tcPr>
            <w:tcW w:type="dxa" w:w="1150"/>
            <w:tcMar>
              <w:top w:type="dxa" w:w="80"/>
              <w:left w:type="dxa" w:w="100"/>
              <w:bottom w:type="dxa" w:w="80"/>
              <w:right w:type="dxa" w:w="100"/>
            </w:tcMar>
          </w:tcPr>
          <w:p>
            <w:pPr>
              <w:jc w:val="center"/>
            </w:pPr>
            <w:r>
              <w:rPr>
                <w:color w:val="1B1B1B"/>
                <w:sz w:val="20"/>
                <w:szCs w:val="20"/>
              </w:rPr>
              <w:t xml:space="preserve">8,042.0</w:t>
            </w:r>
          </w:p>
        </w:tc>
        <w:tc>
          <w:tcPr>
            <w:tcW w:type="dxa" w:w="950"/>
            <w:tcMar>
              <w:top w:type="dxa" w:w="80"/>
              <w:left w:type="dxa" w:w="100"/>
              <w:bottom w:type="dxa" w:w="80"/>
              <w:right w:type="dxa" w:w="100"/>
            </w:tcMar>
          </w:tcPr>
          <w:p>
            <w:pPr>
              <w:jc w:val="center"/>
            </w:pPr>
            <w:r>
              <w:rPr>
                <w:color w:val="1B1B1B"/>
                <w:sz w:val="20"/>
                <w:szCs w:val="20"/>
              </w:rPr>
              <w:t xml:space="preserve">3.18</w:t>
            </w:r>
          </w:p>
        </w:tc>
      </w:tr>
      <w:tr>
        <w:trPr>
          <w:tblHeader w:val="false"/>
        </w:trPr>
        <w:tc>
          <w:tcPr>
            <w:tcW w:type="dxa" w:w="2400"/>
            <w:shd w:fill="F2F2F2" w:val="clear"/>
            <w:tcMar>
              <w:top w:type="dxa" w:w="80"/>
              <w:left w:type="dxa" w:w="100"/>
              <w:bottom w:type="dxa" w:w="80"/>
              <w:right w:type="dxa" w:w="100"/>
            </w:tcMar>
          </w:tcPr>
          <w:p>
            <w:pPr>
              <w:jc w:val="center"/>
            </w:pPr>
            <w:r>
              <w:rPr>
                <w:color w:val="1B1B1B"/>
                <w:sz w:val="20"/>
                <w:szCs w:val="20"/>
              </w:rPr>
              <w:t xml:space="preserve">Transportation cost ($)</w:t>
            </w:r>
          </w:p>
        </w:tc>
        <w:tc>
          <w:tcPr>
            <w:tcW w:type="dxa" w:w="950"/>
            <w:shd w:fill="F2F2F2" w:val="clear"/>
            <w:tcMar>
              <w:top w:type="dxa" w:w="80"/>
              <w:left w:type="dxa" w:w="100"/>
              <w:bottom w:type="dxa" w:w="80"/>
              <w:right w:type="dxa" w:w="100"/>
            </w:tcMar>
          </w:tcPr>
          <w:p>
            <w:pPr>
              <w:jc w:val="center"/>
            </w:pPr>
            <w:r>
              <w:rPr>
                <w:color w:val="1B1B1B"/>
                <w:sz w:val="20"/>
                <w:szCs w:val="20"/>
              </w:rPr>
              <w:t xml:space="preserve">1,020.1</w:t>
            </w:r>
          </w:p>
        </w:tc>
        <w:tc>
          <w:tcPr>
            <w:tcW w:type="dxa" w:w="950"/>
            <w:shd w:fill="F2F2F2" w:val="clear"/>
            <w:tcMar>
              <w:top w:type="dxa" w:w="80"/>
              <w:left w:type="dxa" w:w="100"/>
              <w:bottom w:type="dxa" w:w="80"/>
              <w:right w:type="dxa" w:w="100"/>
            </w:tcMar>
          </w:tcPr>
          <w:p>
            <w:pPr>
              <w:jc w:val="center"/>
            </w:pPr>
            <w:r>
              <w:rPr>
                <w:color w:val="1B1B1B"/>
                <w:sz w:val="20"/>
                <w:szCs w:val="20"/>
              </w:rPr>
              <w:t xml:space="preserve">382.1</w:t>
            </w:r>
          </w:p>
        </w:tc>
        <w:tc>
          <w:tcPr>
            <w:tcW w:type="dxa" w:w="950"/>
            <w:shd w:fill="F2F2F2" w:val="clear"/>
            <w:tcMar>
              <w:top w:type="dxa" w:w="80"/>
              <w:left w:type="dxa" w:w="100"/>
              <w:bottom w:type="dxa" w:w="80"/>
              <w:right w:type="dxa" w:w="100"/>
            </w:tcMar>
          </w:tcPr>
          <w:p>
            <w:pPr>
              <w:jc w:val="center"/>
            </w:pPr>
            <w:r>
              <w:rPr>
                <w:color w:val="1B1B1B"/>
                <w:sz w:val="20"/>
                <w:szCs w:val="20"/>
              </w:rPr>
              <w:t xml:space="preserve">1,849.4</w:t>
            </w:r>
          </w:p>
        </w:tc>
        <w:tc>
          <w:tcPr>
            <w:tcW w:type="dxa" w:w="950"/>
            <w:shd w:fill="F2F2F2" w:val="clear"/>
            <w:tcMar>
              <w:top w:type="dxa" w:w="80"/>
              <w:left w:type="dxa" w:w="100"/>
              <w:bottom w:type="dxa" w:w="80"/>
              <w:right w:type="dxa" w:w="100"/>
            </w:tcMar>
          </w:tcPr>
          <w:p>
            <w:pPr>
              <w:jc w:val="center"/>
            </w:pPr>
            <w:r>
              <w:rPr>
                <w:color w:val="1B1B1B"/>
                <w:sz w:val="20"/>
                <w:szCs w:val="20"/>
              </w:rPr>
              <w:t xml:space="preserve">44.5</w:t>
            </w:r>
          </w:p>
        </w:tc>
        <w:tc>
          <w:tcPr>
            <w:tcW w:type="dxa" w:w="1150"/>
            <w:shd w:fill="F2F2F2" w:val="clear"/>
            <w:tcMar>
              <w:top w:type="dxa" w:w="80"/>
              <w:left w:type="dxa" w:w="100"/>
              <w:bottom w:type="dxa" w:w="80"/>
              <w:right w:type="dxa" w:w="100"/>
            </w:tcMar>
          </w:tcPr>
          <w:p>
            <w:pPr>
              <w:jc w:val="center"/>
            </w:pPr>
            <w:r>
              <w:rPr>
                <w:color w:val="1B1B1B"/>
                <w:sz w:val="20"/>
                <w:szCs w:val="20"/>
              </w:rPr>
              <w:t xml:space="preserve">17,441.3</w:t>
            </w:r>
          </w:p>
        </w:tc>
        <w:tc>
          <w:tcPr>
            <w:tcW w:type="dxa" w:w="950"/>
            <w:shd w:fill="F2F2F2" w:val="clear"/>
            <w:tcMar>
              <w:top w:type="dxa" w:w="80"/>
              <w:left w:type="dxa" w:w="100"/>
              <w:bottom w:type="dxa" w:w="80"/>
              <w:right w:type="dxa" w:w="100"/>
            </w:tcMar>
          </w:tcPr>
          <w:p>
            <w:pPr>
              <w:jc w:val="center"/>
            </w:pPr>
            <w:r>
              <w:rPr>
                <w:color w:val="1B1B1B"/>
                <w:sz w:val="20"/>
                <w:szCs w:val="20"/>
              </w:rPr>
              <w:t xml:space="preserve">3.59</w:t>
            </w:r>
          </w:p>
        </w:tc>
      </w:tr>
      <w:tr>
        <w:trPr>
          <w:tblHeader w:val="false"/>
        </w:trPr>
        <w:tc>
          <w:tcPr>
            <w:tcW w:type="dxa" w:w="2400"/>
            <w:tcMar>
              <w:top w:type="dxa" w:w="80"/>
              <w:left w:type="dxa" w:w="100"/>
              <w:bottom w:type="dxa" w:w="80"/>
              <w:right w:type="dxa" w:w="100"/>
            </w:tcMar>
          </w:tcPr>
          <w:p>
            <w:pPr>
              <w:jc w:val="center"/>
            </w:pPr>
            <w:r>
              <w:rPr>
                <w:color w:val="1B1B1B"/>
                <w:sz w:val="20"/>
                <w:szCs w:val="20"/>
              </w:rPr>
              <w:t xml:space="preserve">Customer rating (1–5)</w:t>
            </w:r>
          </w:p>
        </w:tc>
        <w:tc>
          <w:tcPr>
            <w:tcW w:type="dxa" w:w="950"/>
            <w:tcMar>
              <w:top w:type="dxa" w:w="80"/>
              <w:left w:type="dxa" w:w="100"/>
              <w:bottom w:type="dxa" w:w="80"/>
              <w:right w:type="dxa" w:w="100"/>
            </w:tcMar>
          </w:tcPr>
          <w:p>
            <w:pPr>
              <w:jc w:val="center"/>
            </w:pPr>
            <w:r>
              <w:rPr>
                <w:color w:val="1B1B1B"/>
                <w:sz w:val="20"/>
                <w:szCs w:val="20"/>
              </w:rPr>
              <w:t xml:space="preserve">4.46</w:t>
            </w:r>
          </w:p>
        </w:tc>
        <w:tc>
          <w:tcPr>
            <w:tcW w:type="dxa" w:w="950"/>
            <w:tcMar>
              <w:top w:type="dxa" w:w="80"/>
              <w:left w:type="dxa" w:w="100"/>
              <w:bottom w:type="dxa" w:w="80"/>
              <w:right w:type="dxa" w:w="100"/>
            </w:tcMar>
          </w:tcPr>
          <w:p>
            <w:pPr>
              <w:jc w:val="center"/>
            </w:pPr>
            <w:r>
              <w:rPr>
                <w:color w:val="1B1B1B"/>
                <w:sz w:val="20"/>
                <w:szCs w:val="20"/>
              </w:rPr>
              <w:t xml:space="preserve">4.8</w:t>
            </w:r>
          </w:p>
        </w:tc>
        <w:tc>
          <w:tcPr>
            <w:tcW w:type="dxa" w:w="950"/>
            <w:tcMar>
              <w:top w:type="dxa" w:w="80"/>
              <w:left w:type="dxa" w:w="100"/>
              <w:bottom w:type="dxa" w:w="80"/>
              <w:right w:type="dxa" w:w="100"/>
            </w:tcMar>
          </w:tcPr>
          <w:p>
            <w:pPr>
              <w:jc w:val="center"/>
            </w:pPr>
            <w:r>
              <w:rPr>
                <w:color w:val="1B1B1B"/>
                <w:sz w:val="20"/>
                <w:szCs w:val="20"/>
              </w:rPr>
              <w:t xml:space="preserve">0.70</w:t>
            </w:r>
          </w:p>
        </w:tc>
        <w:tc>
          <w:tcPr>
            <w:tcW w:type="dxa" w:w="950"/>
            <w:tcMar>
              <w:top w:type="dxa" w:w="80"/>
              <w:left w:type="dxa" w:w="100"/>
              <w:bottom w:type="dxa" w:w="80"/>
              <w:right w:type="dxa" w:w="100"/>
            </w:tcMar>
          </w:tcPr>
          <w:p>
            <w:pPr>
              <w:jc w:val="center"/>
            </w:pPr>
            <w:r>
              <w:rPr>
                <w:color w:val="1B1B1B"/>
                <w:sz w:val="20"/>
                <w:szCs w:val="20"/>
              </w:rPr>
              <w:t xml:space="preserve">1.0</w:t>
            </w:r>
          </w:p>
        </w:tc>
        <w:tc>
          <w:tcPr>
            <w:tcW w:type="dxa" w:w="1150"/>
            <w:tcMar>
              <w:top w:type="dxa" w:w="80"/>
              <w:left w:type="dxa" w:w="100"/>
              <w:bottom w:type="dxa" w:w="80"/>
              <w:right w:type="dxa" w:w="100"/>
            </w:tcMar>
          </w:tcPr>
          <w:p>
            <w:pPr>
              <w:jc w:val="center"/>
            </w:pPr>
            <w:r>
              <w:rPr>
                <w:color w:val="1B1B1B"/>
                <w:sz w:val="20"/>
                <w:szCs w:val="20"/>
              </w:rPr>
              <w:t xml:space="preserve">5.0</w:t>
            </w:r>
          </w:p>
        </w:tc>
        <w:tc>
          <w:tcPr>
            <w:tcW w:type="dxa" w:w="950"/>
            <w:tcMar>
              <w:top w:type="dxa" w:w="80"/>
              <w:left w:type="dxa" w:w="100"/>
              <w:bottom w:type="dxa" w:w="80"/>
              <w:right w:type="dxa" w:w="100"/>
            </w:tcMar>
          </w:tcPr>
          <w:p>
            <w:pPr>
              <w:jc w:val="center"/>
            </w:pPr>
            <w:r>
              <w:rPr>
                <w:color w:val="1B1B1B"/>
                <w:sz w:val="20"/>
                <w:szCs w:val="20"/>
              </w:rPr>
              <w:t xml:space="preserve">-1.35</w:t>
            </w:r>
          </w:p>
        </w:tc>
      </w:tr>
    </w:tbl>
    <w:p>
      <w:pPr>
        <w:spacing w:after="120"/>
      </w:pPr>
    </w:p>
    <w:p>
      <w:pPr>
        <w:spacing w:after="160" w:line="276"/>
      </w:pPr>
      <w:r>
        <w:t xml:space="preserve">On-time performance (OTP), defined as the share of shipments delivered at or before the promised time, is 69.4% overall — meaning roughly three in ten shipments run late. Average delay among all shipments is slightly negative (-2.8 hrs) because most shipments arrive early, but the distribution is heavily right-skewed: a subset of shipments is very late (up to ~83 hours), pulling the tail and driving the negative skew coefficient on delay.</w:t>
      </w:r>
    </w:p>
    <w:p>
      <w:pPr>
        <w:pStyle w:val="Heading1"/>
        <w:spacing w:after="160" w:before="360"/>
      </w:pPr>
      <w:r>
        <w:t xml:space="preserve">5. Visualizations &amp; Interpretation</w:t>
      </w:r>
    </w:p>
    <w:p>
      <w:pPr>
        <w:pStyle w:val="Heading2"/>
        <w:spacing w:after="120" w:before="280"/>
      </w:pPr>
      <w:r>
        <w:t xml:space="preserve">5.1 Distribution of Delivery Times</w:t>
      </w:r>
    </w:p>
    <w:p>
      <w:pPr>
        <w:spacing w:after="8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33750"/>
                    </a:xfrm>
                    <a:prstGeom prst="rect">
                      <a:avLst/>
                    </a:prstGeom>
                  </pic:spPr>
                </pic:pic>
              </a:graphicData>
            </a:graphic>
          </wp:inline>
        </w:drawing>
      </w:r>
    </w:p>
    <w:p>
      <w:pPr>
        <w:spacing w:after="260"/>
        <w:jc w:val="center"/>
      </w:pPr>
      <w:r>
        <w:rPr>
          <w:i/>
          <w:iCs/>
          <w:color w:val="555555"/>
          <w:sz w:val="20"/>
          <w:szCs w:val="20"/>
        </w:rPr>
        <w:t xml:space="preserve">Figure 1. Histogram with KDE overlay of shipment delivery times.</w:t>
      </w:r>
    </w:p>
    <w:p>
      <w:pPr>
        <w:spacing w:after="160" w:line="276"/>
      </w:pPr>
      <w:r>
        <w:t xml:space="preserve">A histogram with a kernel density overlay was chosen because delivery time is a continuous variable whose shape (central tendency, spread, and tail behavior) is the primary object of interest. The distribution is strongly right-skewed: most shipments deliver within 8–16 hours, but a long tail extends past 100 hours. The mean (17.9 hrs) sits well above the median (12.2 hrs), confirming that a small number of extreme delays disproportionately inflate the average — a classic signal that mean-based SLAs can understate typical performance while masking tail risk.</w:t>
      </w:r>
    </w:p>
    <w:p>
      <w:pPr>
        <w:pStyle w:val="Heading2"/>
        <w:spacing w:after="120" w:before="280"/>
      </w:pPr>
      <w:r>
        <w:t xml:space="preserve">5.2 On-Time Performance by Transport Mode</w:t>
      </w:r>
    </w:p>
    <w:p>
      <w:pPr>
        <w:spacing w:after="8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60"/>
        <w:jc w:val="center"/>
      </w:pPr>
      <w:r>
        <w:rPr>
          <w:i/>
          <w:iCs/>
          <w:color w:val="555555"/>
          <w:sz w:val="20"/>
          <w:szCs w:val="20"/>
        </w:rPr>
        <w:t xml:space="preserve">Figure 2. On-time delivery rate (%) by transport mode.</w:t>
      </w:r>
    </w:p>
    <w:p>
      <w:pPr>
        <w:spacing w:after="160" w:line="276"/>
      </w:pPr>
      <w:r>
        <w:t xml:space="preserve">A horizontal bar chart ranks modes by reliability. Sea (74.9%) and Rail (71.7%) are the most schedule-reliable modes, while Air (63.7%) is the least reliable despite being fastest in absolute transit time — its tight SLA windows leave little buffer for the handling/customs variability built into the simulation. Road sits in the middle (69.1%). This is directly actionable: if Air shipments are being promised on the same buffer logic as ground shipments, SLA commitments for Air may need wider tolerances, or handling processes need tightening.</w:t>
      </w:r>
    </w:p>
    <w:p>
      <w:pPr>
        <w:pStyle w:val="Heading2"/>
        <w:spacing w:after="120" w:before="280"/>
      </w:pPr>
      <w:r>
        <w:t xml:space="preserve">5.3 Transportation Cost vs. Distance by Mode</w:t>
      </w:r>
    </w:p>
    <w:p>
      <w:pPr>
        <w:spacing w:after="80" w:before="120"/>
        <w:jc w:val="center"/>
      </w:pPr>
      <w:r>
        <w:drawing>
          <wp:inline distT="0" distB="0" distL="0" distR="0">
            <wp:extent cx="5334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000500"/>
                    </a:xfrm>
                    <a:prstGeom prst="rect">
                      <a:avLst/>
                    </a:prstGeom>
                  </pic:spPr>
                </pic:pic>
              </a:graphicData>
            </a:graphic>
          </wp:inline>
        </w:drawing>
      </w:r>
    </w:p>
    <w:p>
      <w:pPr>
        <w:spacing w:after="260"/>
        <w:jc w:val="center"/>
      </w:pPr>
      <w:r>
        <w:rPr>
          <w:i/>
          <w:iCs/>
          <w:color w:val="555555"/>
          <w:sz w:val="20"/>
          <w:szCs w:val="20"/>
        </w:rPr>
        <w:t xml:space="preserve">Figure 3. Scatter plot of transportation cost against distance, colored by transport mode.</w:t>
      </w:r>
    </w:p>
    <w:p>
      <w:pPr>
        <w:spacing w:after="160" w:line="276"/>
      </w:pPr>
      <w:r>
        <w:t xml:space="preserve">A scatter plot is the natural choice for examining the relationship between two continuous variables while a categorical hue (mode) reveals subgroup structure. The chart shows a clear positive relationship between distance and cost for every mode, but with very different slopes and intercepts: Air shipments carry a high fixed cost and steep per-kilometer rate, producing the steepest, highest cost band; Sea and Rail show much flatter, lower-cost bands even at long distances. This visually confirms that mode selection — not distance alone — is the dominant lever for controlling transportation spend on long-haul routes.</w:t>
      </w:r>
    </w:p>
    <w:p>
      <w:pPr>
        <w:pStyle w:val="Heading2"/>
        <w:spacing w:after="120" w:before="280"/>
      </w:pPr>
      <w:r>
        <w:t xml:space="preserve">5.4 Correlation Matrix of Key Metrics</w:t>
      </w:r>
    </w:p>
    <w:p>
      <w:pPr>
        <w:spacing w:after="80" w:before="12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810000"/>
                    </a:xfrm>
                    <a:prstGeom prst="rect">
                      <a:avLst/>
                    </a:prstGeom>
                  </pic:spPr>
                </pic:pic>
              </a:graphicData>
            </a:graphic>
          </wp:inline>
        </w:drawing>
      </w:r>
    </w:p>
    <w:p>
      <w:pPr>
        <w:spacing w:after="260"/>
        <w:jc w:val="center"/>
      </w:pPr>
      <w:r>
        <w:rPr>
          <w:i/>
          <w:iCs/>
          <w:color w:val="555555"/>
          <w:sz w:val="20"/>
          <w:szCs w:val="20"/>
        </w:rPr>
        <w:t xml:space="preserve">Figure 4. Correlation heatmap across distance, delivery time, delay, cost, and customer rating.</w:t>
      </w:r>
    </w:p>
    <w:p>
      <w:pPr>
        <w:spacing w:after="160" w:line="276"/>
      </w:pPr>
      <w:r>
        <w:t xml:space="preserve">A correlation heatmap efficiently summarizes pairwise linear relationships across many variables at once. Notable relationships: distance and delivery time are strongly positively correlated (r = 0.77), as expected; distance and cost are moderately correlated (r = 0.57); and customer rating is moderately negatively correlated with delay (r = -0.43) — the strongest driver of customer satisfaction in the dataset. Interestingly, shipment volume shows almost no correlation with delay or rating, suggesting that late deliveries are driven more by mode, distance, and regional congestion than by shipment size.</w:t>
      </w:r>
    </w:p>
    <w:p>
      <w:pPr>
        <w:pStyle w:val="Heading2"/>
        <w:spacing w:after="120" w:before="280"/>
      </w:pPr>
      <w:r>
        <w:t xml:space="preserve">5.5 Monthly Shipment Volume and Cost Trend</w:t>
      </w:r>
    </w:p>
    <w:p>
      <w:pPr>
        <w:spacing w:after="8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260"/>
        <w:jc w:val="center"/>
      </w:pPr>
      <w:r>
        <w:rPr>
          <w:i/>
          <w:iCs/>
          <w:color w:val="555555"/>
          <w:sz w:val="20"/>
          <w:szCs w:val="20"/>
        </w:rPr>
        <w:t xml:space="preserve">Figure 5. Dual-axis line chart of monthly shipment count and total transportation cost, 2025.</w:t>
      </w:r>
    </w:p>
    <w:p>
      <w:pPr>
        <w:spacing w:after="160" w:line="276"/>
      </w:pPr>
      <w:r>
        <w:t xml:space="preserve">A dual-axis line chart lets two differently-scaled time series (shipment count and total cost) be compared on a shared timeline without one flattening the other. Because shipment counts were simulated uniformly across the year, the two lines track closely, which is itself a useful diagnostic: in a real dataset, a divergence between shipment volume and total cost over time (e.g., cost rising faster than volume) would flag cost inflation — from fuel prices, mode-mix shifts toward Air, or inefficiency — worth investigating month over month.</w:t>
      </w:r>
    </w:p>
    <w:p>
      <w:pPr>
        <w:pStyle w:val="Heading2"/>
        <w:spacing w:after="120" w:before="280"/>
      </w:pPr>
      <w:r>
        <w:t xml:space="preserve">5.6 Average Cost Composition by Transport Mode</w:t>
      </w:r>
    </w:p>
    <w:p>
      <w:pPr>
        <w:spacing w:after="8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60"/>
        <w:jc w:val="center"/>
      </w:pPr>
      <w:r>
        <w:rPr>
          <w:i/>
          <w:iCs/>
          <w:color w:val="555555"/>
          <w:sz w:val="20"/>
          <w:szCs w:val="20"/>
        </w:rPr>
        <w:t xml:space="preserve">Figure 6. Stacked bar chart of average fuel vs. labor cost per shipment, by mode.</w:t>
      </w:r>
    </w:p>
    <w:p>
      <w:pPr>
        <w:spacing w:after="160" w:line="276"/>
      </w:pPr>
      <w:r>
        <w:t xml:space="preserve">A stacked bar chart decomposes total average cost per shipment into its fuel and labor components for each mode — useful for identifying which cost lever matters most per mode. Air shipments (~$4,496 average cost) are dominated by fuel cost, reflecting high energy intensity; Road and Rail costs are far lower and more evenly split. This tells operations and procurement teams where fuel-hedging or route-efficiency initiatives would have the largest financial impact (Air and Sea), versus where labor/handling efficiency matters more (Road, Rail).</w:t>
      </w:r>
    </w:p>
    <w:p>
      <w:pPr>
        <w:pStyle w:val="Heading2"/>
        <w:spacing w:after="120" w:before="280"/>
      </w:pPr>
      <w:r>
        <w:t xml:space="preserve">5.7 Delivery Delay Distribution by Region</w:t>
      </w:r>
    </w:p>
    <w:p>
      <w:pPr>
        <w:spacing w:after="8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60"/>
        <w:jc w:val="center"/>
      </w:pPr>
      <w:r>
        <w:rPr>
          <w:i/>
          <w:iCs/>
          <w:color w:val="555555"/>
          <w:sz w:val="20"/>
          <w:szCs w:val="20"/>
        </w:rPr>
        <w:t xml:space="preserve">Figure 7. Box plot of delivery delay (actual minus promised hours) by region, sorted by median delay.</w:t>
      </w:r>
    </w:p>
    <w:p>
      <w:pPr>
        <w:spacing w:after="160" w:line="276"/>
      </w:pPr>
      <w:r>
        <w:t xml:space="preserve">A box plot is well suited to comparing the full distribution (median, interquartile range, and outliers) of delay across five categorical regions in one view. Central and East show the highest median delay and widest spread, consistent with the higher congestion factor built into the simulation for those hubs, while West and North cluster closer to zero delay with tighter spread. This kind of comparison is typically the fastest way to prioritize which regional hub deserves a root-cause investigation into route planning, staffing, or facility throughput.</w:t>
      </w:r>
    </w:p>
    <w:p>
      <w:pPr>
        <w:pStyle w:val="Heading2"/>
        <w:spacing w:after="120" w:before="280"/>
      </w:pPr>
      <w:r>
        <w:t xml:space="preserve">5.8 Customer Rating vs. Delivery Delay</w:t>
      </w:r>
    </w:p>
    <w:p>
      <w:pPr>
        <w:spacing w:after="8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260"/>
        <w:jc w:val="center"/>
      </w:pPr>
      <w:r>
        <w:rPr>
          <w:i/>
          <w:iCs/>
          <w:color w:val="555555"/>
          <w:sz w:val="20"/>
          <w:szCs w:val="20"/>
        </w:rPr>
        <w:t xml:space="preserve">Figure 8. Scatter plot with fitted regression line of customer rating against delay.</w:t>
      </w:r>
    </w:p>
    <w:p>
      <w:pPr>
        <w:spacing w:after="160" w:line="276"/>
      </w:pPr>
      <w:r>
        <w:t xml:space="preserve">A scatter plot with a fitted linear trend line quantifies how a continuous operational metric (delay) relates to a continuous outcome metric (customer rating). The clear downward-sloping trend confirms that later deliveries are associated with lower satisfaction scores, reinforcing that on-time performance — more than cost or speed alone — is likely the primary lever for customer experience improvement.</w:t>
      </w:r>
    </w:p>
    <w:p>
      <w:pPr>
        <w:pStyle w:val="Heading1"/>
        <w:spacing w:after="160" w:before="360"/>
      </w:pPr>
      <w:r>
        <w:t xml:space="preserve">6. Cross-Cutting Insights: Mode and Region Summary Tables</w:t>
      </w:r>
    </w:p>
    <w:p>
      <w:pPr>
        <w:pStyle w:val="Heading3"/>
        <w:spacing w:after="100" w:before="220"/>
      </w:pPr>
      <w:r>
        <w:t xml:space="preserve">6.1 Performance by Transport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900"/>
            <w:shd w:fill="1F3864" w:val="clear"/>
            <w:tcMar>
              <w:top w:type="dxa" w:w="80"/>
              <w:left w:type="dxa" w:w="100"/>
              <w:bottom w:type="dxa" w:w="80"/>
              <w:right w:type="dxa" w:w="100"/>
            </w:tcMar>
          </w:tcPr>
          <w:p>
            <w:pPr>
              <w:jc w:val="left"/>
            </w:pPr>
            <w:r>
              <w:rPr>
                <w:b/>
                <w:bCs/>
                <w:color w:val="FFFFFF"/>
                <w:sz w:val="20"/>
                <w:szCs w:val="20"/>
              </w:rPr>
              <w:t xml:space="preserve">Mode</w:t>
            </w:r>
          </w:p>
        </w:tc>
        <w:tc>
          <w:tcPr>
            <w:tcW w:type="dxa" w:w="1500"/>
            <w:shd w:fill="1F3864" w:val="clear"/>
            <w:tcMar>
              <w:top w:type="dxa" w:w="80"/>
              <w:left w:type="dxa" w:w="100"/>
              <w:bottom w:type="dxa" w:w="80"/>
              <w:right w:type="dxa" w:w="100"/>
            </w:tcMar>
          </w:tcPr>
          <w:p>
            <w:pPr>
              <w:jc w:val="left"/>
            </w:pPr>
            <w:r>
              <w:rPr>
                <w:b/>
                <w:bCs/>
                <w:color w:val="FFFFFF"/>
                <w:sz w:val="20"/>
                <w:szCs w:val="20"/>
              </w:rPr>
              <w:t xml:space="preserve">Avg Cost ($)</w:t>
            </w:r>
          </w:p>
        </w:tc>
        <w:tc>
          <w:tcPr>
            <w:tcW w:type="dxa" w:w="1500"/>
            <w:shd w:fill="1F3864" w:val="clear"/>
            <w:tcMar>
              <w:top w:type="dxa" w:w="80"/>
              <w:left w:type="dxa" w:w="100"/>
              <w:bottom w:type="dxa" w:w="80"/>
              <w:right w:type="dxa" w:w="100"/>
            </w:tcMar>
          </w:tcPr>
          <w:p>
            <w:pPr>
              <w:jc w:val="left"/>
            </w:pPr>
            <w:r>
              <w:rPr>
                <w:b/>
                <w:bCs/>
                <w:color w:val="FFFFFF"/>
                <w:sz w:val="20"/>
                <w:szCs w:val="20"/>
              </w:rPr>
              <w:t xml:space="preserve">Avg Cost/kg ($)</w:t>
            </w:r>
          </w:p>
        </w:tc>
        <w:tc>
          <w:tcPr>
            <w:tcW w:type="dxa" w:w="1600"/>
            <w:shd w:fill="1F3864" w:val="clear"/>
            <w:tcMar>
              <w:top w:type="dxa" w:w="80"/>
              <w:left w:type="dxa" w:w="100"/>
              <w:bottom w:type="dxa" w:w="80"/>
              <w:right w:type="dxa" w:w="100"/>
            </w:tcMar>
          </w:tcPr>
          <w:p>
            <w:pPr>
              <w:jc w:val="left"/>
            </w:pPr>
            <w:r>
              <w:rPr>
                <w:b/>
                <w:bCs/>
                <w:color w:val="FFFFFF"/>
                <w:sz w:val="20"/>
                <w:szCs w:val="20"/>
              </w:rPr>
              <w:t xml:space="preserve">Avg Delivery (hrs)</w:t>
            </w:r>
          </w:p>
        </w:tc>
        <w:tc>
          <w:tcPr>
            <w:tcW w:type="dxa" w:w="1000"/>
            <w:shd w:fill="1F3864" w:val="clear"/>
            <w:tcMar>
              <w:top w:type="dxa" w:w="80"/>
              <w:left w:type="dxa" w:w="100"/>
              <w:bottom w:type="dxa" w:w="80"/>
              <w:right w:type="dxa" w:w="100"/>
            </w:tcMar>
          </w:tcPr>
          <w:p>
            <w:pPr>
              <w:jc w:val="left"/>
            </w:pPr>
            <w:r>
              <w:rPr>
                <w:b/>
                <w:bCs/>
                <w:color w:val="FFFFFF"/>
                <w:sz w:val="20"/>
                <w:szCs w:val="20"/>
              </w:rPr>
              <w:t xml:space="preserve">OTP (%)</w:t>
            </w:r>
          </w:p>
        </w:tc>
        <w:tc>
          <w:tcPr>
            <w:tcW w:type="dxa" w:w="1100"/>
            <w:shd w:fill="1F3864" w:val="clear"/>
            <w:tcMar>
              <w:top w:type="dxa" w:w="80"/>
              <w:left w:type="dxa" w:w="100"/>
              <w:bottom w:type="dxa" w:w="80"/>
              <w:right w:type="dxa" w:w="100"/>
            </w:tcMar>
          </w:tcPr>
          <w:p>
            <w:pPr>
              <w:jc w:val="left"/>
            </w:pPr>
            <w:r>
              <w:rPr>
                <w:b/>
                <w:bCs/>
                <w:color w:val="FFFFFF"/>
                <w:sz w:val="20"/>
                <w:szCs w:val="20"/>
              </w:rPr>
              <w:t xml:space="preserve">Avg Rating</w:t>
            </w:r>
          </w:p>
        </w:tc>
        <w:tc>
          <w:tcPr>
            <w:tcW w:type="dxa" w:w="1200"/>
            <w:shd w:fill="1F3864" w:val="clear"/>
            <w:tcMar>
              <w:top w:type="dxa" w:w="80"/>
              <w:left w:type="dxa" w:w="100"/>
              <w:bottom w:type="dxa" w:w="80"/>
              <w:right w:type="dxa" w:w="100"/>
            </w:tcMar>
          </w:tcPr>
          <w:p>
            <w:pPr>
              <w:jc w:val="left"/>
            </w:pPr>
            <w:r>
              <w:rPr>
                <w:b/>
                <w:bCs/>
                <w:color w:val="FFFFFF"/>
                <w:sz w:val="20"/>
                <w:szCs w:val="20"/>
              </w:rPr>
              <w:t xml:space="preserve">Shipments</w:t>
            </w:r>
          </w:p>
        </w:tc>
      </w:tr>
      <w:tr>
        <w:trPr>
          <w:tblHeader w:val="false"/>
        </w:trPr>
        <w:tc>
          <w:tcPr>
            <w:tcW w:type="dxa" w:w="900"/>
            <w:tcMar>
              <w:top w:type="dxa" w:w="80"/>
              <w:left w:type="dxa" w:w="100"/>
              <w:bottom w:type="dxa" w:w="80"/>
              <w:right w:type="dxa" w:w="100"/>
            </w:tcMar>
          </w:tcPr>
          <w:p>
            <w:pPr>
              <w:jc w:val="center"/>
            </w:pPr>
            <w:r>
              <w:rPr>
                <w:color w:val="1B1B1B"/>
                <w:sz w:val="20"/>
                <w:szCs w:val="20"/>
              </w:rPr>
              <w:t xml:space="preserve">Air</w:t>
            </w:r>
          </w:p>
        </w:tc>
        <w:tc>
          <w:tcPr>
            <w:tcW w:type="dxa" w:w="1500"/>
            <w:tcMar>
              <w:top w:type="dxa" w:w="80"/>
              <w:left w:type="dxa" w:w="100"/>
              <w:bottom w:type="dxa" w:w="80"/>
              <w:right w:type="dxa" w:w="100"/>
            </w:tcMar>
          </w:tcPr>
          <w:p>
            <w:pPr>
              <w:jc w:val="center"/>
            </w:pPr>
            <w:r>
              <w:rPr>
                <w:color w:val="1B1B1B"/>
                <w:sz w:val="20"/>
                <w:szCs w:val="20"/>
              </w:rPr>
              <w:t xml:space="preserve">4,496.27</w:t>
            </w:r>
          </w:p>
        </w:tc>
        <w:tc>
          <w:tcPr>
            <w:tcW w:type="dxa" w:w="1500"/>
            <w:tcMar>
              <w:top w:type="dxa" w:w="80"/>
              <w:left w:type="dxa" w:w="100"/>
              <w:bottom w:type="dxa" w:w="80"/>
              <w:right w:type="dxa" w:w="100"/>
            </w:tcMar>
          </w:tcPr>
          <w:p>
            <w:pPr>
              <w:jc w:val="center"/>
            </w:pPr>
            <w:r>
              <w:rPr>
                <w:color w:val="1B1B1B"/>
                <w:sz w:val="20"/>
                <w:szCs w:val="20"/>
              </w:rPr>
              <w:t xml:space="preserve">14.17</w:t>
            </w:r>
          </w:p>
        </w:tc>
        <w:tc>
          <w:tcPr>
            <w:tcW w:type="dxa" w:w="1600"/>
            <w:tcMar>
              <w:top w:type="dxa" w:w="80"/>
              <w:left w:type="dxa" w:w="100"/>
              <w:bottom w:type="dxa" w:w="80"/>
              <w:right w:type="dxa" w:w="100"/>
            </w:tcMar>
          </w:tcPr>
          <w:p>
            <w:pPr>
              <w:jc w:val="center"/>
            </w:pPr>
            <w:r>
              <w:rPr>
                <w:color w:val="1B1B1B"/>
                <w:sz w:val="20"/>
                <w:szCs w:val="20"/>
              </w:rPr>
              <w:t xml:space="preserve">8.79</w:t>
            </w:r>
          </w:p>
        </w:tc>
        <w:tc>
          <w:tcPr>
            <w:tcW w:type="dxa" w:w="1000"/>
            <w:tcMar>
              <w:top w:type="dxa" w:w="80"/>
              <w:left w:type="dxa" w:w="100"/>
              <w:bottom w:type="dxa" w:w="80"/>
              <w:right w:type="dxa" w:w="100"/>
            </w:tcMar>
          </w:tcPr>
          <w:p>
            <w:pPr>
              <w:jc w:val="center"/>
            </w:pPr>
            <w:r>
              <w:rPr>
                <w:color w:val="1B1B1B"/>
                <w:sz w:val="20"/>
                <w:szCs w:val="20"/>
              </w:rPr>
              <w:t xml:space="preserve">63.75</w:t>
            </w:r>
          </w:p>
        </w:tc>
        <w:tc>
          <w:tcPr>
            <w:tcW w:type="dxa" w:w="1100"/>
            <w:tcMar>
              <w:top w:type="dxa" w:w="80"/>
              <w:left w:type="dxa" w:w="100"/>
              <w:bottom w:type="dxa" w:w="80"/>
              <w:right w:type="dxa" w:w="100"/>
            </w:tcMar>
          </w:tcPr>
          <w:p>
            <w:pPr>
              <w:jc w:val="center"/>
            </w:pPr>
            <w:r>
              <w:rPr>
                <w:color w:val="1B1B1B"/>
                <w:sz w:val="20"/>
                <w:szCs w:val="20"/>
              </w:rPr>
              <w:t xml:space="preserve">4.39</w:t>
            </w:r>
          </w:p>
        </w:tc>
        <w:tc>
          <w:tcPr>
            <w:tcW w:type="dxa" w:w="1200"/>
            <w:tcMar>
              <w:top w:type="dxa" w:w="80"/>
              <w:left w:type="dxa" w:w="100"/>
              <w:bottom w:type="dxa" w:w="80"/>
              <w:right w:type="dxa" w:w="100"/>
            </w:tcMar>
          </w:tcPr>
          <w:p>
            <w:pPr>
              <w:jc w:val="center"/>
            </w:pPr>
            <w:r>
              <w:rPr>
                <w:color w:val="1B1B1B"/>
                <w:sz w:val="20"/>
                <w:szCs w:val="20"/>
              </w:rPr>
              <w:t xml:space="preserve">753</w:t>
            </w:r>
          </w:p>
        </w:tc>
      </w:tr>
      <w:tr>
        <w:trPr>
          <w:tblHeader w:val="false"/>
        </w:trPr>
        <w:tc>
          <w:tcPr>
            <w:tcW w:type="dxa" w:w="900"/>
            <w:shd w:fill="F2F2F2" w:val="clear"/>
            <w:tcMar>
              <w:top w:type="dxa" w:w="80"/>
              <w:left w:type="dxa" w:w="100"/>
              <w:bottom w:type="dxa" w:w="80"/>
              <w:right w:type="dxa" w:w="100"/>
            </w:tcMar>
          </w:tcPr>
          <w:p>
            <w:pPr>
              <w:jc w:val="center"/>
            </w:pPr>
            <w:r>
              <w:rPr>
                <w:color w:val="1B1B1B"/>
                <w:sz w:val="20"/>
                <w:szCs w:val="20"/>
              </w:rPr>
              <w:t xml:space="preserve">Rail</w:t>
            </w:r>
          </w:p>
        </w:tc>
        <w:tc>
          <w:tcPr>
            <w:tcW w:type="dxa" w:w="1500"/>
            <w:shd w:fill="F2F2F2" w:val="clear"/>
            <w:tcMar>
              <w:top w:type="dxa" w:w="80"/>
              <w:left w:type="dxa" w:w="100"/>
              <w:bottom w:type="dxa" w:w="80"/>
              <w:right w:type="dxa" w:w="100"/>
            </w:tcMar>
          </w:tcPr>
          <w:p>
            <w:pPr>
              <w:jc w:val="center"/>
            </w:pPr>
            <w:r>
              <w:rPr>
                <w:color w:val="1B1B1B"/>
                <w:sz w:val="20"/>
                <w:szCs w:val="20"/>
              </w:rPr>
              <w:t xml:space="preserve">429.52</w:t>
            </w:r>
          </w:p>
        </w:tc>
        <w:tc>
          <w:tcPr>
            <w:tcW w:type="dxa" w:w="1500"/>
            <w:shd w:fill="F2F2F2" w:val="clear"/>
            <w:tcMar>
              <w:top w:type="dxa" w:w="80"/>
              <w:left w:type="dxa" w:w="100"/>
              <w:bottom w:type="dxa" w:w="80"/>
              <w:right w:type="dxa" w:w="100"/>
            </w:tcMar>
          </w:tcPr>
          <w:p>
            <w:pPr>
              <w:jc w:val="center"/>
            </w:pPr>
            <w:r>
              <w:rPr>
                <w:color w:val="1B1B1B"/>
                <w:sz w:val="20"/>
                <w:szCs w:val="20"/>
              </w:rPr>
              <w:t xml:space="preserve">1.29</w:t>
            </w:r>
          </w:p>
        </w:tc>
        <w:tc>
          <w:tcPr>
            <w:tcW w:type="dxa" w:w="1600"/>
            <w:shd w:fill="F2F2F2" w:val="clear"/>
            <w:tcMar>
              <w:top w:type="dxa" w:w="80"/>
              <w:left w:type="dxa" w:w="100"/>
              <w:bottom w:type="dxa" w:w="80"/>
              <w:right w:type="dxa" w:w="100"/>
            </w:tcMar>
          </w:tcPr>
          <w:p>
            <w:pPr>
              <w:jc w:val="center"/>
            </w:pPr>
            <w:r>
              <w:rPr>
                <w:color w:val="1B1B1B"/>
                <w:sz w:val="20"/>
                <w:szCs w:val="20"/>
              </w:rPr>
              <w:t xml:space="preserve">15.43</w:t>
            </w:r>
          </w:p>
        </w:tc>
        <w:tc>
          <w:tcPr>
            <w:tcW w:type="dxa" w:w="1000"/>
            <w:shd w:fill="F2F2F2" w:val="clear"/>
            <w:tcMar>
              <w:top w:type="dxa" w:w="80"/>
              <w:left w:type="dxa" w:w="100"/>
              <w:bottom w:type="dxa" w:w="80"/>
              <w:right w:type="dxa" w:w="100"/>
            </w:tcMar>
          </w:tcPr>
          <w:p>
            <w:pPr>
              <w:jc w:val="center"/>
            </w:pPr>
            <w:r>
              <w:rPr>
                <w:color w:val="1B1B1B"/>
                <w:sz w:val="20"/>
                <w:szCs w:val="20"/>
              </w:rPr>
              <w:t xml:space="preserve">71.72</w:t>
            </w:r>
          </w:p>
        </w:tc>
        <w:tc>
          <w:tcPr>
            <w:tcW w:type="dxa" w:w="1100"/>
            <w:shd w:fill="F2F2F2" w:val="clear"/>
            <w:tcMar>
              <w:top w:type="dxa" w:w="80"/>
              <w:left w:type="dxa" w:w="100"/>
              <w:bottom w:type="dxa" w:w="80"/>
              <w:right w:type="dxa" w:w="100"/>
            </w:tcMar>
          </w:tcPr>
          <w:p>
            <w:pPr>
              <w:jc w:val="center"/>
            </w:pPr>
            <w:r>
              <w:rPr>
                <w:color w:val="1B1B1B"/>
                <w:sz w:val="20"/>
                <w:szCs w:val="20"/>
              </w:rPr>
              <w:t xml:space="preserve">4.49</w:t>
            </w:r>
          </w:p>
        </w:tc>
        <w:tc>
          <w:tcPr>
            <w:tcW w:type="dxa" w:w="1200"/>
            <w:shd w:fill="F2F2F2" w:val="clear"/>
            <w:tcMar>
              <w:top w:type="dxa" w:w="80"/>
              <w:left w:type="dxa" w:w="100"/>
              <w:bottom w:type="dxa" w:w="80"/>
              <w:right w:type="dxa" w:w="100"/>
            </w:tcMar>
          </w:tcPr>
          <w:p>
            <w:pPr>
              <w:jc w:val="center"/>
            </w:pPr>
            <w:r>
              <w:rPr>
                <w:color w:val="1B1B1B"/>
                <w:sz w:val="20"/>
                <w:szCs w:val="20"/>
              </w:rPr>
              <w:t xml:space="preserve">976</w:t>
            </w:r>
          </w:p>
        </w:tc>
      </w:tr>
      <w:tr>
        <w:trPr>
          <w:tblHeader w:val="false"/>
        </w:trPr>
        <w:tc>
          <w:tcPr>
            <w:tcW w:type="dxa" w:w="900"/>
            <w:tcMar>
              <w:top w:type="dxa" w:w="80"/>
              <w:left w:type="dxa" w:w="100"/>
              <w:bottom w:type="dxa" w:w="80"/>
              <w:right w:type="dxa" w:w="100"/>
            </w:tcMar>
          </w:tcPr>
          <w:p>
            <w:pPr>
              <w:jc w:val="center"/>
            </w:pPr>
            <w:r>
              <w:rPr>
                <w:color w:val="1B1B1B"/>
                <w:sz w:val="20"/>
                <w:szCs w:val="20"/>
              </w:rPr>
              <w:t xml:space="preserve">Road</w:t>
            </w:r>
          </w:p>
        </w:tc>
        <w:tc>
          <w:tcPr>
            <w:tcW w:type="dxa" w:w="1500"/>
            <w:tcMar>
              <w:top w:type="dxa" w:w="80"/>
              <w:left w:type="dxa" w:w="100"/>
              <w:bottom w:type="dxa" w:w="80"/>
              <w:right w:type="dxa" w:w="100"/>
            </w:tcMar>
          </w:tcPr>
          <w:p>
            <w:pPr>
              <w:jc w:val="center"/>
            </w:pPr>
            <w:r>
              <w:rPr>
                <w:color w:val="1B1B1B"/>
                <w:sz w:val="20"/>
                <w:szCs w:val="20"/>
              </w:rPr>
              <w:t xml:space="preserve">327.42</w:t>
            </w:r>
          </w:p>
        </w:tc>
        <w:tc>
          <w:tcPr>
            <w:tcW w:type="dxa" w:w="1500"/>
            <w:tcMar>
              <w:top w:type="dxa" w:w="80"/>
              <w:left w:type="dxa" w:w="100"/>
              <w:bottom w:type="dxa" w:w="80"/>
              <w:right w:type="dxa" w:w="100"/>
            </w:tcMar>
          </w:tcPr>
          <w:p>
            <w:pPr>
              <w:jc w:val="center"/>
            </w:pPr>
            <w:r>
              <w:rPr>
                <w:color w:val="1B1B1B"/>
                <w:sz w:val="20"/>
                <w:szCs w:val="20"/>
              </w:rPr>
              <w:t xml:space="preserve">0.94</w:t>
            </w:r>
          </w:p>
        </w:tc>
        <w:tc>
          <w:tcPr>
            <w:tcW w:type="dxa" w:w="1600"/>
            <w:tcMar>
              <w:top w:type="dxa" w:w="80"/>
              <w:left w:type="dxa" w:w="100"/>
              <w:bottom w:type="dxa" w:w="80"/>
              <w:right w:type="dxa" w:w="100"/>
            </w:tcMar>
          </w:tcPr>
          <w:p>
            <w:pPr>
              <w:jc w:val="center"/>
            </w:pPr>
            <w:r>
              <w:rPr>
                <w:color w:val="1B1B1B"/>
                <w:sz w:val="20"/>
                <w:szCs w:val="20"/>
              </w:rPr>
              <w:t xml:space="preserve">11.90</w:t>
            </w:r>
          </w:p>
        </w:tc>
        <w:tc>
          <w:tcPr>
            <w:tcW w:type="dxa" w:w="1000"/>
            <w:tcMar>
              <w:top w:type="dxa" w:w="80"/>
              <w:left w:type="dxa" w:w="100"/>
              <w:bottom w:type="dxa" w:w="80"/>
              <w:right w:type="dxa" w:w="100"/>
            </w:tcMar>
          </w:tcPr>
          <w:p>
            <w:pPr>
              <w:jc w:val="center"/>
            </w:pPr>
            <w:r>
              <w:rPr>
                <w:color w:val="1B1B1B"/>
                <w:sz w:val="20"/>
                <w:szCs w:val="20"/>
              </w:rPr>
              <w:t xml:space="preserve">69.07</w:t>
            </w:r>
          </w:p>
        </w:tc>
        <w:tc>
          <w:tcPr>
            <w:tcW w:type="dxa" w:w="1100"/>
            <w:tcMar>
              <w:top w:type="dxa" w:w="80"/>
              <w:left w:type="dxa" w:w="100"/>
              <w:bottom w:type="dxa" w:w="80"/>
              <w:right w:type="dxa" w:w="100"/>
            </w:tcMar>
          </w:tcPr>
          <w:p>
            <w:pPr>
              <w:jc w:val="center"/>
            </w:pPr>
            <w:r>
              <w:rPr>
                <w:color w:val="1B1B1B"/>
                <w:sz w:val="20"/>
                <w:szCs w:val="20"/>
              </w:rPr>
              <w:t xml:space="preserve">4.47</w:t>
            </w:r>
          </w:p>
        </w:tc>
        <w:tc>
          <w:tcPr>
            <w:tcW w:type="dxa" w:w="1200"/>
            <w:tcMar>
              <w:top w:type="dxa" w:w="80"/>
              <w:left w:type="dxa" w:w="100"/>
              <w:bottom w:type="dxa" w:w="80"/>
              <w:right w:type="dxa" w:w="100"/>
            </w:tcMar>
          </w:tcPr>
          <w:p>
            <w:pPr>
              <w:jc w:val="center"/>
            </w:pPr>
            <w:r>
              <w:rPr>
                <w:color w:val="1B1B1B"/>
                <w:sz w:val="20"/>
                <w:szCs w:val="20"/>
              </w:rPr>
              <w:t xml:space="preserve">2,777</w:t>
            </w:r>
          </w:p>
        </w:tc>
      </w:tr>
      <w:tr>
        <w:trPr>
          <w:tblHeader w:val="false"/>
        </w:trPr>
        <w:tc>
          <w:tcPr>
            <w:tcW w:type="dxa" w:w="900"/>
            <w:shd w:fill="F2F2F2" w:val="clear"/>
            <w:tcMar>
              <w:top w:type="dxa" w:w="80"/>
              <w:left w:type="dxa" w:w="100"/>
              <w:bottom w:type="dxa" w:w="80"/>
              <w:right w:type="dxa" w:w="100"/>
            </w:tcMar>
          </w:tcPr>
          <w:p>
            <w:pPr>
              <w:jc w:val="center"/>
            </w:pPr>
            <w:r>
              <w:rPr>
                <w:color w:val="1B1B1B"/>
                <w:sz w:val="20"/>
                <w:szCs w:val="20"/>
              </w:rPr>
              <w:t xml:space="preserve">Sea</w:t>
            </w:r>
          </w:p>
        </w:tc>
        <w:tc>
          <w:tcPr>
            <w:tcW w:type="dxa" w:w="1500"/>
            <w:shd w:fill="F2F2F2" w:val="clear"/>
            <w:tcMar>
              <w:top w:type="dxa" w:w="80"/>
              <w:left w:type="dxa" w:w="100"/>
              <w:bottom w:type="dxa" w:w="80"/>
              <w:right w:type="dxa" w:w="100"/>
            </w:tcMar>
          </w:tcPr>
          <w:p>
            <w:pPr>
              <w:jc w:val="center"/>
            </w:pPr>
            <w:r>
              <w:rPr>
                <w:color w:val="1B1B1B"/>
                <w:sz w:val="20"/>
                <w:szCs w:val="20"/>
              </w:rPr>
              <w:t xml:space="preserve">782.12</w:t>
            </w:r>
          </w:p>
        </w:tc>
        <w:tc>
          <w:tcPr>
            <w:tcW w:type="dxa" w:w="1500"/>
            <w:shd w:fill="F2F2F2" w:val="clear"/>
            <w:tcMar>
              <w:top w:type="dxa" w:w="80"/>
              <w:left w:type="dxa" w:w="100"/>
              <w:bottom w:type="dxa" w:w="80"/>
              <w:right w:type="dxa" w:w="100"/>
            </w:tcMar>
          </w:tcPr>
          <w:p>
            <w:pPr>
              <w:jc w:val="center"/>
            </w:pPr>
            <w:r>
              <w:rPr>
                <w:color w:val="1B1B1B"/>
                <w:sz w:val="20"/>
                <w:szCs w:val="20"/>
              </w:rPr>
              <w:t xml:space="preserve">2.21</w:t>
            </w:r>
          </w:p>
        </w:tc>
        <w:tc>
          <w:tcPr>
            <w:tcW w:type="dxa" w:w="1600"/>
            <w:shd w:fill="F2F2F2" w:val="clear"/>
            <w:tcMar>
              <w:top w:type="dxa" w:w="80"/>
              <w:left w:type="dxa" w:w="100"/>
              <w:bottom w:type="dxa" w:w="80"/>
              <w:right w:type="dxa" w:w="100"/>
            </w:tcMar>
          </w:tcPr>
          <w:p>
            <w:pPr>
              <w:jc w:val="center"/>
            </w:pPr>
            <w:r>
              <w:rPr>
                <w:color w:val="1B1B1B"/>
                <w:sz w:val="20"/>
                <w:szCs w:val="20"/>
              </w:rPr>
              <w:t xml:space="preserve">70.34</w:t>
            </w:r>
          </w:p>
        </w:tc>
        <w:tc>
          <w:tcPr>
            <w:tcW w:type="dxa" w:w="1000"/>
            <w:shd w:fill="F2F2F2" w:val="clear"/>
            <w:tcMar>
              <w:top w:type="dxa" w:w="80"/>
              <w:left w:type="dxa" w:w="100"/>
              <w:bottom w:type="dxa" w:w="80"/>
              <w:right w:type="dxa" w:w="100"/>
            </w:tcMar>
          </w:tcPr>
          <w:p>
            <w:pPr>
              <w:jc w:val="center"/>
            </w:pPr>
            <w:r>
              <w:rPr>
                <w:color w:val="1B1B1B"/>
                <w:sz w:val="20"/>
                <w:szCs w:val="20"/>
              </w:rPr>
              <w:t xml:space="preserve">74.90</w:t>
            </w:r>
          </w:p>
        </w:tc>
        <w:tc>
          <w:tcPr>
            <w:tcW w:type="dxa" w:w="1100"/>
            <w:shd w:fill="F2F2F2" w:val="clear"/>
            <w:tcMar>
              <w:top w:type="dxa" w:w="80"/>
              <w:left w:type="dxa" w:w="100"/>
              <w:bottom w:type="dxa" w:w="80"/>
              <w:right w:type="dxa" w:w="100"/>
            </w:tcMar>
          </w:tcPr>
          <w:p>
            <w:pPr>
              <w:jc w:val="center"/>
            </w:pPr>
            <w:r>
              <w:rPr>
                <w:color w:val="1B1B1B"/>
                <w:sz w:val="20"/>
                <w:szCs w:val="20"/>
              </w:rPr>
              <w:t xml:space="preserve">4.44</w:t>
            </w:r>
          </w:p>
        </w:tc>
        <w:tc>
          <w:tcPr>
            <w:tcW w:type="dxa" w:w="1200"/>
            <w:shd w:fill="F2F2F2" w:val="clear"/>
            <w:tcMar>
              <w:top w:type="dxa" w:w="80"/>
              <w:left w:type="dxa" w:w="100"/>
              <w:bottom w:type="dxa" w:w="80"/>
              <w:right w:type="dxa" w:w="100"/>
            </w:tcMar>
          </w:tcPr>
          <w:p>
            <w:pPr>
              <w:jc w:val="center"/>
            </w:pPr>
            <w:r>
              <w:rPr>
                <w:color w:val="1B1B1B"/>
                <w:sz w:val="20"/>
                <w:szCs w:val="20"/>
              </w:rPr>
              <w:t xml:space="preserve">494</w:t>
            </w:r>
          </w:p>
        </w:tc>
      </w:tr>
    </w:tbl>
    <w:p>
      <w:pPr>
        <w:spacing w:after="120"/>
      </w:pPr>
    </w:p>
    <w:p>
      <w:pPr>
        <w:pStyle w:val="Heading3"/>
        <w:spacing w:after="100" w:before="220"/>
      </w:pPr>
      <w:r>
        <w:t xml:space="preserve">6.2 Performance by Region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300"/>
            <w:shd w:fill="1F3864" w:val="clear"/>
            <w:tcMar>
              <w:top w:type="dxa" w:w="80"/>
              <w:left w:type="dxa" w:w="100"/>
              <w:bottom w:type="dxa" w:w="80"/>
              <w:right w:type="dxa" w:w="100"/>
            </w:tcMar>
          </w:tcPr>
          <w:p>
            <w:pPr>
              <w:jc w:val="left"/>
            </w:pPr>
            <w:r>
              <w:rPr>
                <w:b/>
                <w:bCs/>
                <w:color w:val="FFFFFF"/>
                <w:sz w:val="20"/>
                <w:szCs w:val="20"/>
              </w:rPr>
              <w:t xml:space="preserve">Region</w:t>
            </w:r>
          </w:p>
        </w:tc>
        <w:tc>
          <w:tcPr>
            <w:tcW w:type="dxa" w:w="1500"/>
            <w:shd w:fill="1F3864" w:val="clear"/>
            <w:tcMar>
              <w:top w:type="dxa" w:w="80"/>
              <w:left w:type="dxa" w:w="100"/>
              <w:bottom w:type="dxa" w:w="80"/>
              <w:right w:type="dxa" w:w="100"/>
            </w:tcMar>
          </w:tcPr>
          <w:p>
            <w:pPr>
              <w:jc w:val="left"/>
            </w:pPr>
            <w:r>
              <w:rPr>
                <w:b/>
                <w:bCs/>
                <w:color w:val="FFFFFF"/>
                <w:sz w:val="20"/>
                <w:szCs w:val="20"/>
              </w:rPr>
              <w:t xml:space="preserve">Avg Cost ($)</w:t>
            </w:r>
          </w:p>
        </w:tc>
        <w:tc>
          <w:tcPr>
            <w:tcW w:type="dxa" w:w="1700"/>
            <w:shd w:fill="1F3864" w:val="clear"/>
            <w:tcMar>
              <w:top w:type="dxa" w:w="80"/>
              <w:left w:type="dxa" w:w="100"/>
              <w:bottom w:type="dxa" w:w="80"/>
              <w:right w:type="dxa" w:w="100"/>
            </w:tcMar>
          </w:tcPr>
          <w:p>
            <w:pPr>
              <w:jc w:val="left"/>
            </w:pPr>
            <w:r>
              <w:rPr>
                <w:b/>
                <w:bCs/>
                <w:color w:val="FFFFFF"/>
                <w:sz w:val="20"/>
                <w:szCs w:val="20"/>
              </w:rPr>
              <w:t xml:space="preserve">Avg Delivery (hrs)</w:t>
            </w:r>
          </w:p>
        </w:tc>
        <w:tc>
          <w:tcPr>
            <w:tcW w:type="dxa" w:w="1000"/>
            <w:shd w:fill="1F3864" w:val="clear"/>
            <w:tcMar>
              <w:top w:type="dxa" w:w="80"/>
              <w:left w:type="dxa" w:w="100"/>
              <w:bottom w:type="dxa" w:w="80"/>
              <w:right w:type="dxa" w:w="100"/>
            </w:tcMar>
          </w:tcPr>
          <w:p>
            <w:pPr>
              <w:jc w:val="left"/>
            </w:pPr>
            <w:r>
              <w:rPr>
                <w:b/>
                <w:bCs/>
                <w:color w:val="FFFFFF"/>
                <w:sz w:val="20"/>
                <w:szCs w:val="20"/>
              </w:rPr>
              <w:t xml:space="preserve">OTP (%)</w:t>
            </w:r>
          </w:p>
        </w:tc>
        <w:tc>
          <w:tcPr>
            <w:tcW w:type="dxa" w:w="1100"/>
            <w:shd w:fill="1F3864" w:val="clear"/>
            <w:tcMar>
              <w:top w:type="dxa" w:w="80"/>
              <w:left w:type="dxa" w:w="100"/>
              <w:bottom w:type="dxa" w:w="80"/>
              <w:right w:type="dxa" w:w="100"/>
            </w:tcMar>
          </w:tcPr>
          <w:p>
            <w:pPr>
              <w:jc w:val="left"/>
            </w:pPr>
            <w:r>
              <w:rPr>
                <w:b/>
                <w:bCs/>
                <w:color w:val="FFFFFF"/>
                <w:sz w:val="20"/>
                <w:szCs w:val="20"/>
              </w:rPr>
              <w:t xml:space="preserve">Avg Rating</w:t>
            </w:r>
          </w:p>
        </w:tc>
        <w:tc>
          <w:tcPr>
            <w:tcW w:type="dxa" w:w="1200"/>
            <w:shd w:fill="1F3864" w:val="clear"/>
            <w:tcMar>
              <w:top w:type="dxa" w:w="80"/>
              <w:left w:type="dxa" w:w="100"/>
              <w:bottom w:type="dxa" w:w="80"/>
              <w:right w:type="dxa" w:w="100"/>
            </w:tcMar>
          </w:tcPr>
          <w:p>
            <w:pPr>
              <w:jc w:val="left"/>
            </w:pPr>
            <w:r>
              <w:rPr>
                <w:b/>
                <w:bCs/>
                <w:color w:val="FFFFFF"/>
                <w:sz w:val="20"/>
                <w:szCs w:val="20"/>
              </w:rPr>
              <w:t xml:space="preserve">Shipments</w:t>
            </w:r>
          </w:p>
        </w:tc>
      </w:tr>
      <w:tr>
        <w:trPr>
          <w:tblHeader w:val="false"/>
        </w:trPr>
        <w:tc>
          <w:tcPr>
            <w:tcW w:type="dxa" w:w="1300"/>
            <w:tcMar>
              <w:top w:type="dxa" w:w="80"/>
              <w:left w:type="dxa" w:w="100"/>
              <w:bottom w:type="dxa" w:w="80"/>
              <w:right w:type="dxa" w:w="100"/>
            </w:tcMar>
          </w:tcPr>
          <w:p>
            <w:pPr>
              <w:jc w:val="center"/>
            </w:pPr>
            <w:r>
              <w:rPr>
                <w:color w:val="1B1B1B"/>
                <w:sz w:val="20"/>
                <w:szCs w:val="20"/>
              </w:rPr>
              <w:t xml:space="preserve">Central</w:t>
            </w:r>
          </w:p>
        </w:tc>
        <w:tc>
          <w:tcPr>
            <w:tcW w:type="dxa" w:w="1500"/>
            <w:tcMar>
              <w:top w:type="dxa" w:w="80"/>
              <w:left w:type="dxa" w:w="100"/>
              <w:bottom w:type="dxa" w:w="80"/>
              <w:right w:type="dxa" w:w="100"/>
            </w:tcMar>
          </w:tcPr>
          <w:p>
            <w:pPr>
              <w:jc w:val="center"/>
            </w:pPr>
            <w:r>
              <w:rPr>
                <w:color w:val="1B1B1B"/>
                <w:sz w:val="20"/>
                <w:szCs w:val="20"/>
              </w:rPr>
              <w:t xml:space="preserve">1,071.76</w:t>
            </w:r>
          </w:p>
        </w:tc>
        <w:tc>
          <w:tcPr>
            <w:tcW w:type="dxa" w:w="1700"/>
            <w:tcMar>
              <w:top w:type="dxa" w:w="80"/>
              <w:left w:type="dxa" w:w="100"/>
              <w:bottom w:type="dxa" w:w="80"/>
              <w:right w:type="dxa" w:w="100"/>
            </w:tcMar>
          </w:tcPr>
          <w:p>
            <w:pPr>
              <w:jc w:val="center"/>
            </w:pPr>
            <w:r>
              <w:rPr>
                <w:color w:val="1B1B1B"/>
                <w:sz w:val="20"/>
                <w:szCs w:val="20"/>
              </w:rPr>
              <w:t xml:space="preserve">19.33</w:t>
            </w:r>
          </w:p>
        </w:tc>
        <w:tc>
          <w:tcPr>
            <w:tcW w:type="dxa" w:w="1000"/>
            <w:tcMar>
              <w:top w:type="dxa" w:w="80"/>
              <w:left w:type="dxa" w:w="100"/>
              <w:bottom w:type="dxa" w:w="80"/>
              <w:right w:type="dxa" w:w="100"/>
            </w:tcMar>
          </w:tcPr>
          <w:p>
            <w:pPr>
              <w:jc w:val="center"/>
            </w:pPr>
            <w:r>
              <w:rPr>
                <w:color w:val="1B1B1B"/>
                <w:sz w:val="20"/>
                <w:szCs w:val="20"/>
              </w:rPr>
              <w:t xml:space="preserve">62.65</w:t>
            </w:r>
          </w:p>
        </w:tc>
        <w:tc>
          <w:tcPr>
            <w:tcW w:type="dxa" w:w="1100"/>
            <w:tcMar>
              <w:top w:type="dxa" w:w="80"/>
              <w:left w:type="dxa" w:w="100"/>
              <w:bottom w:type="dxa" w:w="80"/>
              <w:right w:type="dxa" w:w="100"/>
            </w:tcMar>
          </w:tcPr>
          <w:p>
            <w:pPr>
              <w:jc w:val="center"/>
            </w:pPr>
            <w:r>
              <w:rPr>
                <w:color w:val="1B1B1B"/>
                <w:sz w:val="20"/>
                <w:szCs w:val="20"/>
              </w:rPr>
              <w:t xml:space="preserve">4.36</w:t>
            </w:r>
          </w:p>
        </w:tc>
        <w:tc>
          <w:tcPr>
            <w:tcW w:type="dxa" w:w="1200"/>
            <w:tcMar>
              <w:top w:type="dxa" w:w="80"/>
              <w:left w:type="dxa" w:w="100"/>
              <w:bottom w:type="dxa" w:w="80"/>
              <w:right w:type="dxa" w:w="100"/>
            </w:tcMar>
          </w:tcPr>
          <w:p>
            <w:pPr>
              <w:jc w:val="center"/>
            </w:pPr>
            <w:r>
              <w:rPr>
                <w:color w:val="1B1B1B"/>
                <w:sz w:val="20"/>
                <w:szCs w:val="20"/>
              </w:rPr>
              <w:t xml:space="preserve">763</w:t>
            </w:r>
          </w:p>
        </w:tc>
      </w:tr>
      <w:tr>
        <w:trPr>
          <w:tblHeader w:val="false"/>
        </w:trPr>
        <w:tc>
          <w:tcPr>
            <w:tcW w:type="dxa" w:w="1300"/>
            <w:shd w:fill="F2F2F2" w:val="clear"/>
            <w:tcMar>
              <w:top w:type="dxa" w:w="80"/>
              <w:left w:type="dxa" w:w="100"/>
              <w:bottom w:type="dxa" w:w="80"/>
              <w:right w:type="dxa" w:w="100"/>
            </w:tcMar>
          </w:tcPr>
          <w:p>
            <w:pPr>
              <w:jc w:val="center"/>
            </w:pPr>
            <w:r>
              <w:rPr>
                <w:color w:val="1B1B1B"/>
                <w:sz w:val="20"/>
                <w:szCs w:val="20"/>
              </w:rPr>
              <w:t xml:space="preserve">East</w:t>
            </w:r>
          </w:p>
        </w:tc>
        <w:tc>
          <w:tcPr>
            <w:tcW w:type="dxa" w:w="1500"/>
            <w:shd w:fill="F2F2F2" w:val="clear"/>
            <w:tcMar>
              <w:top w:type="dxa" w:w="80"/>
              <w:left w:type="dxa" w:w="100"/>
              <w:bottom w:type="dxa" w:w="80"/>
              <w:right w:type="dxa" w:w="100"/>
            </w:tcMar>
          </w:tcPr>
          <w:p>
            <w:pPr>
              <w:jc w:val="center"/>
            </w:pPr>
            <w:r>
              <w:rPr>
                <w:color w:val="1B1B1B"/>
                <w:sz w:val="20"/>
                <w:szCs w:val="20"/>
              </w:rPr>
              <w:t xml:space="preserve">964.12</w:t>
            </w:r>
          </w:p>
        </w:tc>
        <w:tc>
          <w:tcPr>
            <w:tcW w:type="dxa" w:w="1700"/>
            <w:shd w:fill="F2F2F2" w:val="clear"/>
            <w:tcMar>
              <w:top w:type="dxa" w:w="80"/>
              <w:left w:type="dxa" w:w="100"/>
              <w:bottom w:type="dxa" w:w="80"/>
              <w:right w:type="dxa" w:w="100"/>
            </w:tcMar>
          </w:tcPr>
          <w:p>
            <w:pPr>
              <w:jc w:val="center"/>
            </w:pPr>
            <w:r>
              <w:rPr>
                <w:color w:val="1B1B1B"/>
                <w:sz w:val="20"/>
                <w:szCs w:val="20"/>
              </w:rPr>
              <w:t xml:space="preserve">20.02</w:t>
            </w:r>
          </w:p>
        </w:tc>
        <w:tc>
          <w:tcPr>
            <w:tcW w:type="dxa" w:w="1000"/>
            <w:shd w:fill="F2F2F2" w:val="clear"/>
            <w:tcMar>
              <w:top w:type="dxa" w:w="80"/>
              <w:left w:type="dxa" w:w="100"/>
              <w:bottom w:type="dxa" w:w="80"/>
              <w:right w:type="dxa" w:w="100"/>
            </w:tcMar>
          </w:tcPr>
          <w:p>
            <w:pPr>
              <w:jc w:val="center"/>
            </w:pPr>
            <w:r>
              <w:rPr>
                <w:color w:val="1B1B1B"/>
                <w:sz w:val="20"/>
                <w:szCs w:val="20"/>
              </w:rPr>
              <w:t xml:space="preserve">62.00</w:t>
            </w:r>
          </w:p>
        </w:tc>
        <w:tc>
          <w:tcPr>
            <w:tcW w:type="dxa" w:w="1100"/>
            <w:shd w:fill="F2F2F2" w:val="clear"/>
            <w:tcMar>
              <w:top w:type="dxa" w:w="80"/>
              <w:left w:type="dxa" w:w="100"/>
              <w:bottom w:type="dxa" w:w="80"/>
              <w:right w:type="dxa" w:w="100"/>
            </w:tcMar>
          </w:tcPr>
          <w:p>
            <w:pPr>
              <w:jc w:val="center"/>
            </w:pPr>
            <w:r>
              <w:rPr>
                <w:color w:val="1B1B1B"/>
                <w:sz w:val="20"/>
                <w:szCs w:val="20"/>
              </w:rPr>
              <w:t xml:space="preserve">4.37</w:t>
            </w:r>
          </w:p>
        </w:tc>
        <w:tc>
          <w:tcPr>
            <w:tcW w:type="dxa" w:w="1200"/>
            <w:shd w:fill="F2F2F2" w:val="clear"/>
            <w:tcMar>
              <w:top w:type="dxa" w:w="80"/>
              <w:left w:type="dxa" w:w="100"/>
              <w:bottom w:type="dxa" w:w="80"/>
              <w:right w:type="dxa" w:w="100"/>
            </w:tcMar>
          </w:tcPr>
          <w:p>
            <w:pPr>
              <w:jc w:val="center"/>
            </w:pPr>
            <w:r>
              <w:rPr>
                <w:color w:val="1B1B1B"/>
                <w:sz w:val="20"/>
                <w:szCs w:val="20"/>
              </w:rPr>
              <w:t xml:space="preserve">921</w:t>
            </w:r>
          </w:p>
        </w:tc>
      </w:tr>
      <w:tr>
        <w:trPr>
          <w:tblHeader w:val="false"/>
        </w:trPr>
        <w:tc>
          <w:tcPr>
            <w:tcW w:type="dxa" w:w="1300"/>
            <w:tcMar>
              <w:top w:type="dxa" w:w="80"/>
              <w:left w:type="dxa" w:w="100"/>
              <w:bottom w:type="dxa" w:w="80"/>
              <w:right w:type="dxa" w:w="100"/>
            </w:tcMar>
          </w:tcPr>
          <w:p>
            <w:pPr>
              <w:jc w:val="center"/>
            </w:pPr>
            <w:r>
              <w:rPr>
                <w:color w:val="1B1B1B"/>
                <w:sz w:val="20"/>
                <w:szCs w:val="20"/>
              </w:rPr>
              <w:t xml:space="preserve">North</w:t>
            </w:r>
          </w:p>
        </w:tc>
        <w:tc>
          <w:tcPr>
            <w:tcW w:type="dxa" w:w="1500"/>
            <w:tcMar>
              <w:top w:type="dxa" w:w="80"/>
              <w:left w:type="dxa" w:w="100"/>
              <w:bottom w:type="dxa" w:w="80"/>
              <w:right w:type="dxa" w:w="100"/>
            </w:tcMar>
          </w:tcPr>
          <w:p>
            <w:pPr>
              <w:jc w:val="center"/>
            </w:pPr>
            <w:r>
              <w:rPr>
                <w:color w:val="1B1B1B"/>
                <w:sz w:val="20"/>
                <w:szCs w:val="20"/>
              </w:rPr>
              <w:t xml:space="preserve">1,069.26</w:t>
            </w:r>
          </w:p>
        </w:tc>
        <w:tc>
          <w:tcPr>
            <w:tcW w:type="dxa" w:w="1700"/>
            <w:tcMar>
              <w:top w:type="dxa" w:w="80"/>
              <w:left w:type="dxa" w:w="100"/>
              <w:bottom w:type="dxa" w:w="80"/>
              <w:right w:type="dxa" w:w="100"/>
            </w:tcMar>
          </w:tcPr>
          <w:p>
            <w:pPr>
              <w:jc w:val="center"/>
            </w:pPr>
            <w:r>
              <w:rPr>
                <w:color w:val="1B1B1B"/>
                <w:sz w:val="20"/>
                <w:szCs w:val="20"/>
              </w:rPr>
              <w:t xml:space="preserve">16.61</w:t>
            </w:r>
          </w:p>
        </w:tc>
        <w:tc>
          <w:tcPr>
            <w:tcW w:type="dxa" w:w="1000"/>
            <w:tcMar>
              <w:top w:type="dxa" w:w="80"/>
              <w:left w:type="dxa" w:w="100"/>
              <w:bottom w:type="dxa" w:w="80"/>
              <w:right w:type="dxa" w:w="100"/>
            </w:tcMar>
          </w:tcPr>
          <w:p>
            <w:pPr>
              <w:jc w:val="center"/>
            </w:pPr>
            <w:r>
              <w:rPr>
                <w:color w:val="1B1B1B"/>
                <w:sz w:val="20"/>
                <w:szCs w:val="20"/>
              </w:rPr>
              <w:t xml:space="preserve">73.31</w:t>
            </w:r>
          </w:p>
        </w:tc>
        <w:tc>
          <w:tcPr>
            <w:tcW w:type="dxa" w:w="1100"/>
            <w:tcMar>
              <w:top w:type="dxa" w:w="80"/>
              <w:left w:type="dxa" w:w="100"/>
              <w:bottom w:type="dxa" w:w="80"/>
              <w:right w:type="dxa" w:w="100"/>
            </w:tcMar>
          </w:tcPr>
          <w:p>
            <w:pPr>
              <w:jc w:val="center"/>
            </w:pPr>
            <w:r>
              <w:rPr>
                <w:color w:val="1B1B1B"/>
                <w:sz w:val="20"/>
                <w:szCs w:val="20"/>
              </w:rPr>
              <w:t xml:space="preserve">4.52</w:t>
            </w:r>
          </w:p>
        </w:tc>
        <w:tc>
          <w:tcPr>
            <w:tcW w:type="dxa" w:w="1200"/>
            <w:tcMar>
              <w:top w:type="dxa" w:w="80"/>
              <w:left w:type="dxa" w:w="100"/>
              <w:bottom w:type="dxa" w:w="80"/>
              <w:right w:type="dxa" w:w="100"/>
            </w:tcMar>
          </w:tcPr>
          <w:p>
            <w:pPr>
              <w:jc w:val="center"/>
            </w:pPr>
            <w:r>
              <w:rPr>
                <w:color w:val="1B1B1B"/>
                <w:sz w:val="20"/>
                <w:szCs w:val="20"/>
              </w:rPr>
              <w:t xml:space="preserve">1,240</w:t>
            </w:r>
          </w:p>
        </w:tc>
      </w:tr>
      <w:tr>
        <w:trPr>
          <w:tblHeader w:val="false"/>
        </w:trPr>
        <w:tc>
          <w:tcPr>
            <w:tcW w:type="dxa" w:w="1300"/>
            <w:shd w:fill="F2F2F2" w:val="clear"/>
            <w:tcMar>
              <w:top w:type="dxa" w:w="80"/>
              <w:left w:type="dxa" w:w="100"/>
              <w:bottom w:type="dxa" w:w="80"/>
              <w:right w:type="dxa" w:w="100"/>
            </w:tcMar>
          </w:tcPr>
          <w:p>
            <w:pPr>
              <w:jc w:val="center"/>
            </w:pPr>
            <w:r>
              <w:rPr>
                <w:color w:val="1B1B1B"/>
                <w:sz w:val="20"/>
                <w:szCs w:val="20"/>
              </w:rPr>
              <w:t xml:space="preserve">South</w:t>
            </w:r>
          </w:p>
        </w:tc>
        <w:tc>
          <w:tcPr>
            <w:tcW w:type="dxa" w:w="1500"/>
            <w:shd w:fill="F2F2F2" w:val="clear"/>
            <w:tcMar>
              <w:top w:type="dxa" w:w="80"/>
              <w:left w:type="dxa" w:w="100"/>
              <w:bottom w:type="dxa" w:w="80"/>
              <w:right w:type="dxa" w:w="100"/>
            </w:tcMar>
          </w:tcPr>
          <w:p>
            <w:pPr>
              <w:jc w:val="center"/>
            </w:pPr>
            <w:r>
              <w:rPr>
                <w:color w:val="1B1B1B"/>
                <w:sz w:val="20"/>
                <w:szCs w:val="20"/>
              </w:rPr>
              <w:t xml:space="preserve">921.33</w:t>
            </w:r>
          </w:p>
        </w:tc>
        <w:tc>
          <w:tcPr>
            <w:tcW w:type="dxa" w:w="1700"/>
            <w:shd w:fill="F2F2F2" w:val="clear"/>
            <w:tcMar>
              <w:top w:type="dxa" w:w="80"/>
              <w:left w:type="dxa" w:w="100"/>
              <w:bottom w:type="dxa" w:w="80"/>
              <w:right w:type="dxa" w:w="100"/>
            </w:tcMar>
          </w:tcPr>
          <w:p>
            <w:pPr>
              <w:jc w:val="center"/>
            </w:pPr>
            <w:r>
              <w:rPr>
                <w:color w:val="1B1B1B"/>
                <w:sz w:val="20"/>
                <w:szCs w:val="20"/>
              </w:rPr>
              <w:t xml:space="preserve">18.29</w:t>
            </w:r>
          </w:p>
        </w:tc>
        <w:tc>
          <w:tcPr>
            <w:tcW w:type="dxa" w:w="1000"/>
            <w:shd w:fill="F2F2F2" w:val="clear"/>
            <w:tcMar>
              <w:top w:type="dxa" w:w="80"/>
              <w:left w:type="dxa" w:w="100"/>
              <w:bottom w:type="dxa" w:w="80"/>
              <w:right w:type="dxa" w:w="100"/>
            </w:tcMar>
          </w:tcPr>
          <w:p>
            <w:pPr>
              <w:jc w:val="center"/>
            </w:pPr>
            <w:r>
              <w:rPr>
                <w:color w:val="1B1B1B"/>
                <w:sz w:val="20"/>
                <w:szCs w:val="20"/>
              </w:rPr>
              <w:t xml:space="preserve">69.25</w:t>
            </w:r>
          </w:p>
        </w:tc>
        <w:tc>
          <w:tcPr>
            <w:tcW w:type="dxa" w:w="1100"/>
            <w:shd w:fill="F2F2F2" w:val="clear"/>
            <w:tcMar>
              <w:top w:type="dxa" w:w="80"/>
              <w:left w:type="dxa" w:w="100"/>
              <w:bottom w:type="dxa" w:w="80"/>
              <w:right w:type="dxa" w:w="100"/>
            </w:tcMar>
          </w:tcPr>
          <w:p>
            <w:pPr>
              <w:jc w:val="center"/>
            </w:pPr>
            <w:r>
              <w:rPr>
                <w:color w:val="1B1B1B"/>
                <w:sz w:val="20"/>
                <w:szCs w:val="20"/>
              </w:rPr>
              <w:t xml:space="preserve">4.45</w:t>
            </w:r>
          </w:p>
        </w:tc>
        <w:tc>
          <w:tcPr>
            <w:tcW w:type="dxa" w:w="1200"/>
            <w:shd w:fill="F2F2F2" w:val="clear"/>
            <w:tcMar>
              <w:top w:type="dxa" w:w="80"/>
              <w:left w:type="dxa" w:w="100"/>
              <w:bottom w:type="dxa" w:w="80"/>
              <w:right w:type="dxa" w:w="100"/>
            </w:tcMar>
          </w:tcPr>
          <w:p>
            <w:pPr>
              <w:jc w:val="center"/>
            </w:pPr>
            <w:r>
              <w:rPr>
                <w:color w:val="1B1B1B"/>
                <w:sz w:val="20"/>
                <w:szCs w:val="20"/>
              </w:rPr>
              <w:t xml:space="preserve">1,034</w:t>
            </w:r>
          </w:p>
        </w:tc>
      </w:tr>
      <w:tr>
        <w:trPr>
          <w:tblHeader w:val="false"/>
        </w:trPr>
        <w:tc>
          <w:tcPr>
            <w:tcW w:type="dxa" w:w="1300"/>
            <w:tcMar>
              <w:top w:type="dxa" w:w="80"/>
              <w:left w:type="dxa" w:w="100"/>
              <w:bottom w:type="dxa" w:w="80"/>
              <w:right w:type="dxa" w:w="100"/>
            </w:tcMar>
          </w:tcPr>
          <w:p>
            <w:pPr>
              <w:jc w:val="center"/>
            </w:pPr>
            <w:r>
              <w:rPr>
                <w:color w:val="1B1B1B"/>
                <w:sz w:val="20"/>
                <w:szCs w:val="20"/>
              </w:rPr>
              <w:t xml:space="preserve">West</w:t>
            </w:r>
          </w:p>
        </w:tc>
        <w:tc>
          <w:tcPr>
            <w:tcW w:type="dxa" w:w="1500"/>
            <w:tcMar>
              <w:top w:type="dxa" w:w="80"/>
              <w:left w:type="dxa" w:w="100"/>
              <w:bottom w:type="dxa" w:w="80"/>
              <w:right w:type="dxa" w:w="100"/>
            </w:tcMar>
          </w:tcPr>
          <w:p>
            <w:pPr>
              <w:jc w:val="center"/>
            </w:pPr>
            <w:r>
              <w:rPr>
                <w:color w:val="1B1B1B"/>
                <w:sz w:val="20"/>
                <w:szCs w:val="20"/>
              </w:rPr>
              <w:t xml:space="preserve">1,071.29</w:t>
            </w:r>
          </w:p>
        </w:tc>
        <w:tc>
          <w:tcPr>
            <w:tcW w:type="dxa" w:w="1700"/>
            <w:tcMar>
              <w:top w:type="dxa" w:w="80"/>
              <w:left w:type="dxa" w:w="100"/>
              <w:bottom w:type="dxa" w:w="80"/>
              <w:right w:type="dxa" w:w="100"/>
            </w:tcMar>
          </w:tcPr>
          <w:p>
            <w:pPr>
              <w:jc w:val="center"/>
            </w:pPr>
            <w:r>
              <w:rPr>
                <w:color w:val="1B1B1B"/>
                <w:sz w:val="20"/>
                <w:szCs w:val="20"/>
              </w:rPr>
              <w:t xml:space="preserve">16.11</w:t>
            </w:r>
          </w:p>
        </w:tc>
        <w:tc>
          <w:tcPr>
            <w:tcW w:type="dxa" w:w="1000"/>
            <w:tcMar>
              <w:top w:type="dxa" w:w="80"/>
              <w:left w:type="dxa" w:w="100"/>
              <w:bottom w:type="dxa" w:w="80"/>
              <w:right w:type="dxa" w:w="100"/>
            </w:tcMar>
          </w:tcPr>
          <w:p>
            <w:pPr>
              <w:jc w:val="center"/>
            </w:pPr>
            <w:r>
              <w:rPr>
                <w:color w:val="1B1B1B"/>
                <w:sz w:val="20"/>
                <w:szCs w:val="20"/>
              </w:rPr>
              <w:t xml:space="preserve">76.20</w:t>
            </w:r>
          </w:p>
        </w:tc>
        <w:tc>
          <w:tcPr>
            <w:tcW w:type="dxa" w:w="1100"/>
            <w:tcMar>
              <w:top w:type="dxa" w:w="80"/>
              <w:left w:type="dxa" w:w="100"/>
              <w:bottom w:type="dxa" w:w="80"/>
              <w:right w:type="dxa" w:w="100"/>
            </w:tcMar>
          </w:tcPr>
          <w:p>
            <w:pPr>
              <w:jc w:val="center"/>
            </w:pPr>
            <w:r>
              <w:rPr>
                <w:color w:val="1B1B1B"/>
                <w:sz w:val="20"/>
                <w:szCs w:val="20"/>
              </w:rPr>
              <w:t xml:space="preserve">4.56</w:t>
            </w:r>
          </w:p>
        </w:tc>
        <w:tc>
          <w:tcPr>
            <w:tcW w:type="dxa" w:w="1200"/>
            <w:tcMar>
              <w:top w:type="dxa" w:w="80"/>
              <w:left w:type="dxa" w:w="100"/>
              <w:bottom w:type="dxa" w:w="80"/>
              <w:right w:type="dxa" w:w="100"/>
            </w:tcMar>
          </w:tcPr>
          <w:p>
            <w:pPr>
              <w:jc w:val="center"/>
            </w:pPr>
            <w:r>
              <w:rPr>
                <w:color w:val="1B1B1B"/>
                <w:sz w:val="20"/>
                <w:szCs w:val="20"/>
              </w:rPr>
              <w:t xml:space="preserve">1,042</w:t>
            </w:r>
          </w:p>
        </w:tc>
      </w:tr>
    </w:tbl>
    <w:p>
      <w:pPr>
        <w:pStyle w:val="Heading1"/>
        <w:spacing w:after="160" w:before="360"/>
      </w:pPr>
      <w:r>
        <w:t xml:space="preserve">7. Analytical Insights &amp; Recommendations</w:t>
      </w:r>
    </w:p>
    <w:p>
      <w:pPr>
        <w:pStyle w:val="Heading3"/>
        <w:spacing w:after="100" w:before="220"/>
      </w:pPr>
      <w:r>
        <w:t xml:space="preserve">7.1 Operational Efficiency</w:t>
      </w:r>
    </w:p>
    <w:p>
      <w:pPr>
        <w:pStyle w:val="ListParagraph"/>
        <w:numPr>
          <w:ilvl w:val="0"/>
          <w:numId w:val="1"/>
        </w:numPr>
        <w:spacing w:after="80"/>
      </w:pPr>
      <w:r>
        <w:t xml:space="preserve">Road carries the largest share of shipments (56%) at the lowest average cost, making it the backbone of the network — but its OTP (69.1%) leaves room for improvement through better route planning or dispatch scheduling.</w:t>
      </w:r>
    </w:p>
    <w:p>
      <w:pPr>
        <w:pStyle w:val="ListParagraph"/>
        <w:numPr>
          <w:ilvl w:val="0"/>
          <w:numId w:val="1"/>
        </w:numPr>
        <w:spacing w:after="80"/>
      </w:pPr>
      <w:r>
        <w:t xml:space="preserve">Sea has the best OTP (74.9%) despite the longest average transit time (70.3 hrs), suggesting its schedules are conservatively buffered; Air's SLA buffers, by contrast, appear too tight relative to its handling variability.</w:t>
      </w:r>
    </w:p>
    <w:p>
      <w:pPr>
        <w:pStyle w:val="ListParagraph"/>
        <w:numPr>
          <w:ilvl w:val="0"/>
          <w:numId w:val="1"/>
        </w:numPr>
        <w:spacing w:after="80"/>
      </w:pPr>
      <w:r>
        <w:t xml:space="preserve">Central and East regions show both the highest delay and lowest OTP, making them the clearest candidates for a targeted operational review (staffing, hub capacity, last-mile routing).</w:t>
      </w:r>
    </w:p>
    <w:p>
      <w:pPr>
        <w:spacing w:after="80"/>
      </w:pPr>
    </w:p>
    <w:p>
      <w:pPr>
        <w:pStyle w:val="Heading3"/>
        <w:spacing w:after="100" w:before="220"/>
      </w:pPr>
      <w:r>
        <w:t xml:space="preserve">7.2 Cost Drivers</w:t>
      </w:r>
    </w:p>
    <w:p>
      <w:pPr>
        <w:pStyle w:val="ListParagraph"/>
        <w:numPr>
          <w:ilvl w:val="0"/>
          <w:numId w:val="1"/>
        </w:numPr>
        <w:spacing w:after="80"/>
      </w:pPr>
      <w:r>
        <w:t xml:space="preserve">Distance and mode choice jointly explain the majority of cost variation; Air's cost-per-kg ($14.17) is roughly 15x that of Road ($0.94), so any volume that can shift from Air to Rail/Road without breaching service commitments represents a significant savings opportunity.</w:t>
      </w:r>
    </w:p>
    <w:p>
      <w:pPr>
        <w:pStyle w:val="ListParagraph"/>
        <w:numPr>
          <w:ilvl w:val="0"/>
          <w:numId w:val="1"/>
        </w:numPr>
        <w:spacing w:after="80"/>
      </w:pPr>
      <w:r>
        <w:t xml:space="preserve">Fuel cost is the dominant cost component for Air and Sea, so fuel-efficiency and route-optimization initiatives should be prioritized for those modes; for Road and Rail, labor/handling costs are proportionally larger and warrant a scheduling/utilization review.</w:t>
      </w:r>
    </w:p>
    <w:p>
      <w:pPr>
        <w:spacing w:after="80"/>
      </w:pPr>
    </w:p>
    <w:p>
      <w:pPr>
        <w:pStyle w:val="Heading3"/>
        <w:spacing w:after="100" w:before="220"/>
      </w:pPr>
      <w:r>
        <w:t xml:space="preserve">7.3 Bottlenecks &amp; Customer Experience</w:t>
      </w:r>
    </w:p>
    <w:p>
      <w:pPr>
        <w:pStyle w:val="ListParagraph"/>
        <w:numPr>
          <w:ilvl w:val="0"/>
          <w:numId w:val="1"/>
        </w:numPr>
        <w:spacing w:after="80"/>
      </w:pPr>
      <w:r>
        <w:t xml:space="preserve">Delay is the strongest single driver of customer rating in this analysis (r = -0.43), stronger than distance, cost, or volume — reinforcing that reliability initiatives will likely move satisfaction more than speed or price initiatives alone.</w:t>
      </w:r>
    </w:p>
    <w:p>
      <w:pPr>
        <w:pStyle w:val="ListParagraph"/>
        <w:numPr>
          <w:ilvl w:val="0"/>
          <w:numId w:val="1"/>
        </w:numPr>
        <w:spacing w:after="80"/>
      </w:pPr>
      <w:r>
        <w:t xml:space="preserve">The right-skewed delay distribution indicates a 'long tail' problem: most shipments are on time or early, but a minority of severely late shipments disproportionately damage average metrics and customer experience — these outliers merit root-cause investigation rather than being averaged away.</w:t>
      </w:r>
    </w:p>
    <w:p>
      <w:pPr>
        <w:spacing w:after="80"/>
      </w:pPr>
    </w:p>
    <w:p>
      <w:pPr>
        <w:pStyle w:val="Heading3"/>
        <w:spacing w:after="100" w:before="220"/>
      </w:pPr>
      <w:r>
        <w:t xml:space="preserve">7.4 Recommendations</w:t>
      </w:r>
    </w:p>
    <w:p>
      <w:pPr>
        <w:pStyle w:val="ListParagraph"/>
        <w:numPr>
          <w:ilvl w:val="0"/>
          <w:numId w:val="1"/>
        </w:numPr>
        <w:spacing w:after="80"/>
      </w:pPr>
      <w:r>
        <w:t xml:space="preserve">Re-calibrate Air-mode SLA buffers using observed handling-time variability rather than a flat multiplier, to raise Air's OTP without slowing its already-fast transit time.</w:t>
      </w:r>
    </w:p>
    <w:p>
      <w:pPr>
        <w:pStyle w:val="ListParagraph"/>
        <w:numPr>
          <w:ilvl w:val="0"/>
          <w:numId w:val="1"/>
        </w:numPr>
        <w:spacing w:after="80"/>
      </w:pPr>
      <w:r>
        <w:t xml:space="preserve">Prioritize a operational audit of the Central and East regional hubs, where congestion-driven delay is concentrated.</w:t>
      </w:r>
    </w:p>
    <w:p>
      <w:pPr>
        <w:pStyle w:val="ListParagraph"/>
        <w:numPr>
          <w:ilvl w:val="0"/>
          <w:numId w:val="1"/>
        </w:numPr>
        <w:spacing w:after="80"/>
      </w:pPr>
      <w:r>
        <w:t xml:space="preserve">Evaluate selective mode-shifting of non-urgent Air volume to Rail or Road on cost-sensitive lanes, given the ~15x cost-per-kg gap.</w:t>
      </w:r>
    </w:p>
    <w:p>
      <w:pPr>
        <w:pStyle w:val="ListParagraph"/>
        <w:numPr>
          <w:ilvl w:val="0"/>
          <w:numId w:val="1"/>
        </w:numPr>
        <w:spacing w:after="80"/>
      </w:pPr>
      <w:r>
        <w:t xml:space="preserve">Build a tail-risk dashboard tracking the 90th/95th percentile delay (not just the mean), since outlier shipments are shown here to disproportionately affect both cost and customer rating.</w:t>
      </w:r>
    </w:p>
    <w:p>
      <w:pPr>
        <w:pStyle w:val="Heading1"/>
        <w:spacing w:after="160" w:before="360"/>
      </w:pPr>
      <w:r>
        <w:t xml:space="preserve">8. Conclusion</w:t>
      </w:r>
    </w:p>
    <w:p>
      <w:pPr>
        <w:spacing w:after="160" w:line="276"/>
      </w:pPr>
      <w:r>
        <w:t xml:space="preserve">This analysis demonstrates how a structured Python workflow — simulate or ingest data, profile it with descriptive statistics and correlations, then visualize distributions, relationships, and comparisons — surfaces concrete, prioritized operational actions in a logistics context. Applied to a real operational dataset with the same schema, the same pipeline (EDA → visualization → interpretation) would be expected to surface analogous, actionable findings around mode selection, regional bottlenecks, and the outsized role of delivery reliability in customer experience.</w:t>
      </w:r>
    </w:p>
    <w:p>
      <w:pPr>
        <w:spacing w:after="160" w:line="276"/>
      </w:pPr>
      <w:r>
        <w:rPr>
          <w:i/>
          <w:iCs/>
          <w:color w:val="555555"/>
          <w:sz w:val="20"/>
          <w:szCs w:val="20"/>
        </w:rPr>
        <w:t xml:space="preserve">Accompanying files: logistics_analysis.py (full simulation, EDA, and visualization code), logistics_dataset.csv (generated dataset), and the images/ folder containing all figures at full resolution.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6E91" w:sz="6" w:space="4"/>
      </w:pBdr>
      <w:spacing w:after="16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80"/>
    </w:pPr>
    <w:rPr>
      <w:rFonts w:ascii="Calibri" w:cs="Calibri" w:eastAsia="Calibri" w:hAnsi="Calibri"/>
      <w:b/>
      <w:bCs/>
      <w:color w:val="2C6E91"/>
      <w:sz w:val="26"/>
      <w:szCs w:val="26"/>
    </w:rPr>
  </w:style>
  <w:style w:type="paragraph" w:styleId="Heading3">
    <w:name w:val="Heading 3"/>
    <w:basedOn w:val="Normal"/>
    <w:next w:val="Normal"/>
    <w:qFormat/>
    <w:pPr>
      <w:spacing w:after="100" w:before="200"/>
    </w:pPr>
    <w:rPr>
      <w:rFonts w:ascii="Calibri" w:cs="Calibri" w:eastAsia="Calibri" w:hAnsi="Calibri"/>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c1e01a2a9cff9f131a0028175a05fba014e3bcb.png"/><Relationship Id="rId8" Type="http://schemas.openxmlformats.org/officeDocument/2006/relationships/image" Target="media/9789ad5742671987fb3bbf8ae2f23309221b72c5.png"/><Relationship Id="rId9" Type="http://schemas.openxmlformats.org/officeDocument/2006/relationships/image" Target="media/54325883e654b880f6956ed51fab81ba65e9d129.png"/><Relationship Id="rId10" Type="http://schemas.openxmlformats.org/officeDocument/2006/relationships/image" Target="media/c27ed36fa833c32cf9aa3eb1d1a45642656b2baf.png"/><Relationship Id="rId11" Type="http://schemas.openxmlformats.org/officeDocument/2006/relationships/image" Target="media/33f8c66b6267b31a561a712fb2ba94159ead5c46.png"/><Relationship Id="rId12" Type="http://schemas.openxmlformats.org/officeDocument/2006/relationships/image" Target="media/2da90f9bebe00b20f52fa0de4c028a409d4e0208.png"/><Relationship Id="rId13" Type="http://schemas.openxmlformats.org/officeDocument/2006/relationships/image" Target="media/7cc6e556e158daa2e8b057a62c95550b961cca77.png"/><Relationship Id="rId14" Type="http://schemas.openxmlformats.org/officeDocument/2006/relationships/image" Target="media/a11ff3c45ad1b6d07b602f5524cf78eb9964a3d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2026-09-07T16:20:07.750Z</dcterms:created>
  <dcterms:modified xsi:type="dcterms:W3CDTF">2026-09-07T16:20:07.760Z</dcterms:modified>
</cp:coreProperties>
</file>

<file path=docProps/custom.xml><?xml version="1.0" encoding="utf-8"?>
<Properties xmlns="http://schemas.openxmlformats.org/officeDocument/2006/custom-properties" xmlns:vt="http://schemas.openxmlformats.org/officeDocument/2006/docPropsVTypes"/>
</file>