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pBdr>
          <w:bottom w:val="single" w:sz="12" w:space="2" w:color="176FC1"/>
        </w:pBdr>
      </w:pPr>
      <w:r>
        <w:rPr>
          <w:b/>
          <w:color w:val="176FC1"/>
          <w:sz w:val="30"/>
        </w:rPr>
        <w:t>सेन्ट्रल बैंक ऑफ़ इंडिया / CENTRAL BANK OF INDIA</w:t>
        <w:br/>
      </w:r>
      <w:r>
        <w:rPr>
          <w:b/>
          <w:color w:val="0F172A"/>
          <w:sz w:val="22"/>
        </w:rPr>
        <w:t>Digital Payment &amp; Transaction Banking Department, Central Office</w:t>
        <w:br/>
      </w:r>
      <w:r>
        <w:rPr>
          <w:color w:val="64748B"/>
          <w:sz w:val="18"/>
        </w:rPr>
        <w:t>Chandermukhi, Nariman Point, Mumbai - 400 021</w:t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20"/>
              </w:rPr>
              <w:t>Ref No: CO/DP&amp;TB/SANCTION/2026-2027/APP-121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20"/>
              </w:rPr>
              <w:t>Date: 08-09-2026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sz w:val="20"/>
        </w:rPr>
        <w:t>To,</w:t>
        <w:br/>
      </w:r>
      <w:r>
        <w:t>The Chief Manager / Branch Head</w:t>
        <w:br/>
      </w:r>
      <w:r>
        <w:t>Central Bank of India, Branch: Chembur (1001)</w:t>
        <w:br/>
      </w:r>
      <w:r>
        <w:t>Regional Office: Maharashtra | Zonal Office: West Zone</w:t>
        <w:br/>
        <w:br/>
      </w:r>
      <w:r>
        <w:rPr>
          <w:b/>
        </w:rPr>
        <w:t>Copy to Merchant / Customer:</w:t>
        <w:br/>
      </w:r>
      <w:r>
        <w:t>M/s Terna Engineering College</w:t>
        <w:br/>
      </w:r>
      <w:r>
        <w:t>Account No: 5677</w:t>
        <w:br/>
      </w:r>
    </w:p>
    <w:p>
      <w:pPr>
        <w:spacing w:before="120" w:after="200"/>
        <w:jc w:val="left"/>
      </w:pPr>
      <w:r>
        <w:rPr>
          <w:b/>
          <w:color w:val="941A2E"/>
          <w:sz w:val="22"/>
        </w:rPr>
        <w:t>SUBJECT: SANCTION MEMORANDUM FOR INTEGRATION OF PAYMENT AGGREGATOR / PAYMENT GATEWAY SERVICES - M/S TERNA ENGINEERING COLLEGE</w:t>
      </w:r>
    </w:p>
    <w:p>
      <w:pPr>
        <w:spacing w:after="160"/>
      </w:pPr>
      <w:r>
        <w:t>With reference to the merchant onboarding application submitted and recommended by your branch/regional office, we are pleased to convey the in-principle sanction and approval of the Competent Authority at Central Office for onboarding the merchant with our integrated Payment Aggregator partner as per the terms and commercial structure detailed below: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  <w:t>Application ID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121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Merchant / Entity Name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Terna Engineering College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Business Category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Private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Account Number (Settlement A/c)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5677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Merchant Business Profile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Education &amp; Training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Selected Payment Aggregator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EaseBuzz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Expected Annual Turnover / Volume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₹ 1,234,000.00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Expected Average Ticket Size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₹ 1,234.00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Customer Acceptance Status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Accepted &amp; Verified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Approval Authority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1234567</w:t>
            </w:r>
          </w:p>
        </w:tc>
      </w:tr>
    </w:tbl>
    <w:p>
      <w:pPr>
        <w:spacing w:after="160"/>
      </w:pPr>
    </w:p>
    <w:p>
      <w:pPr>
        <w:spacing w:before="160" w:after="80"/>
      </w:pPr>
      <w:r>
        <w:rPr>
          <w:b/>
          <w:sz w:val="21"/>
        </w:rPr>
        <w:t>Approved Commercial Schedule &amp; MDR Distribution: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  <w:sz w:val="18"/>
              </w:rPr>
              <w:t>Payment Mode / Channel</w:t>
            </w:r>
          </w:p>
        </w:tc>
        <w:tc>
          <w:tcPr>
            <w:tcW w:type="dxa" w:w="2484"/>
          </w:tcPr>
          <w:p>
            <w:r>
              <w:rPr>
                <w:b/>
                <w:sz w:val="18"/>
              </w:rPr>
              <w:t>MDR Rate to Merchant</w:t>
            </w:r>
          </w:p>
        </w:tc>
        <w:tc>
          <w:tcPr>
            <w:tcW w:type="dxa" w:w="2484"/>
          </w:tcPr>
          <w:p>
            <w:r>
              <w:rPr>
                <w:b/>
                <w:sz w:val="18"/>
              </w:rPr>
              <w:t>Aggregator Share</w:t>
            </w:r>
          </w:p>
        </w:tc>
        <w:tc>
          <w:tcPr>
            <w:tcW w:type="dxa" w:w="2484"/>
          </w:tcPr>
          <w:p>
            <w:r>
              <w:rPr>
                <w:b/>
                <w:sz w:val="18"/>
              </w:rPr>
              <w:t>Bank Share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Net Banking (Aggregator)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₹ 25.0/-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As per SLA schedule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₹ 5.0/-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Credit Cards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2.0%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0.99%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1.01%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Debit Card (Master/Visa &lt;= ₹2000)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2.0%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1.0%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1.0%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Debit Card (Master/Visa &gt; ₹2000)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2.0%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0.9%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1.1%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UPI (P2M / QR Code)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0.00% (Subsidized)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Standard UPI interchange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Nil (Subject to Govt Norms)</w:t>
            </w:r>
          </w:p>
        </w:tc>
      </w:tr>
    </w:tbl>
    <w:p>
      <w:pPr>
        <w:spacing w:after="160"/>
      </w:pPr>
    </w:p>
    <w:p>
      <w:pPr>
        <w:spacing w:before="120" w:after="80"/>
      </w:pPr>
      <w:r>
        <w:rPr>
          <w:b/>
          <w:sz w:val="21"/>
        </w:rPr>
        <w:t>Key Terms &amp; Operational Guidelines:</w:t>
      </w:r>
    </w:p>
    <w:p>
      <w:pPr>
        <w:spacing w:after="60"/>
      </w:pPr>
      <w:r>
        <w:rPr>
          <w:sz w:val="18"/>
        </w:rPr>
        <w:t>1. Escrow Settlement: All transaction settlements must be credited directly to the merchant's verified Central Bank of India settlement account on T+1 working day basis.</w:t>
      </w:r>
    </w:p>
    <w:p>
      <w:pPr>
        <w:spacing w:after="60"/>
      </w:pPr>
      <w:r>
        <w:rPr>
          <w:sz w:val="18"/>
        </w:rPr>
        <w:t>2. RBI Compliance: The merchant and payment aggregator must strictly adhere to the RBI Guidelines on Regulation of Payment Aggregators and Payment Gateways (DPSS.CO.PD.No.1810/02.14.008/2019-20).</w:t>
      </w:r>
    </w:p>
    <w:p>
      <w:pPr>
        <w:spacing w:after="60"/>
      </w:pPr>
      <w:r>
        <w:rPr>
          <w:sz w:val="18"/>
        </w:rPr>
        <w:t>3. Security &amp; VAPT: The merchant website/application must comply with PCI-DSS guidelines, SSL/TLS encryption, and not store sensitive cardholder data (PAN/CVV).</w:t>
      </w:r>
    </w:p>
    <w:p>
      <w:pPr>
        <w:spacing w:after="60"/>
      </w:pPr>
      <w:r>
        <w:rPr>
          <w:sz w:val="18"/>
        </w:rPr>
        <w:t>4. Chargebacks &amp; Refunds: All refunds and customer dispute settlements shall be governed by the standard dispute resolution timelines (Annexure III SLA).</w:t>
      </w:r>
    </w:p>
    <w:p>
      <w:pPr>
        <w:spacing w:after="60"/>
      </w:pPr>
      <w:r>
        <w:rPr>
          <w:sz w:val="18"/>
        </w:rPr>
        <w:t>5. Validity: This sanction letter is valid for 90 days from the date of issue for completing technical integration and live merchant production onboarding.</w:t>
      </w:r>
    </w:p>
    <w:p>
      <w:pPr>
        <w:spacing w:before="40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  <w:t>Accepted &amp; Confirmed by Merchant:</w:t>
              <w:br/>
              <w:br/>
              <w:br/>
            </w:r>
            <w:r>
              <w:rPr>
                <w:sz w:val="18"/>
              </w:rPr>
              <w:t>Authorized Signatory</w:t>
              <w:br/>
              <w:t>(Seal &amp; Stamp of Entity)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9"/>
              </w:rPr>
              <w:t>For Central Bank of India:</w:t>
              <w:br/>
              <w:br/>
              <w:br/>
            </w:r>
            <w:r>
              <w:rPr>
                <w:sz w:val="18"/>
              </w:rPr>
              <w:t>Chief Manager / Asst. General Manager</w:t>
              <w:br/>
              <w:t>Digital Payment &amp; Transaction Banking Dept</w:t>
              <w:br/>
              <w:t>Central Office, Mumbai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