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FC1"/>
          <w:sz w:val="28"/>
        </w:rPr>
        <w:t>CENTRAL BANK OF INDIA</w:t>
        <w:br/>
      </w:r>
      <w:r>
        <w:rPr>
          <w:color w:val="64748B"/>
          <w:sz w:val="20"/>
        </w:rPr>
        <w:t>Digital Payment &amp; Transaction Banking Department, Central Office, Mumbai</w:t>
        <w:br/>
      </w:r>
    </w:p>
    <w:p>
      <w:pPr>
        <w:jc w:val="center"/>
      </w:pPr>
      <w:r>
        <w:rPr>
          <w:b/>
          <w:color w:val="0F172A"/>
          <w:sz w:val="26"/>
        </w:rPr>
        <w:t>Annexure IV - Non-Disclosure Agreement (NDA)</w:t>
        <w:br/>
      </w:r>
      <w:r>
        <w:rPr>
          <w:i/>
          <w:color w:val="941A2E"/>
          <w:sz w:val="20"/>
        </w:rPr>
        <w:t>Confidentiality, Proprietary Data Protection &amp; Information Security</w:t>
      </w:r>
    </w:p>
    <w:p>
      <w:pPr>
        <w:spacing w:after="240"/>
      </w:pPr>
    </w:p>
    <w:p>
      <w:pPr>
        <w:spacing w:before="160" w:after="40"/>
      </w:pPr>
      <w:r>
        <w:rPr>
          <w:b/>
          <w:color w:val="176FC1"/>
          <w:sz w:val="22"/>
        </w:rPr>
        <w:t>1. Definition of Confidential Information</w:t>
      </w:r>
    </w:p>
    <w:p>
      <w:pPr>
        <w:spacing w:after="120"/>
      </w:pPr>
      <w:r>
        <w:rPr>
          <w:sz w:val="20"/>
        </w:rPr>
        <w:t>Confidential information includes all customer banking information, transaction records, commission structures, projection models, system architecture diagrams, and security credentials disclosed by Central Bank of India.</w:t>
      </w:r>
    </w:p>
    <w:p>
      <w:pPr>
        <w:spacing w:before="160" w:after="40"/>
      </w:pPr>
      <w:r>
        <w:rPr>
          <w:b/>
          <w:color w:val="176FC1"/>
          <w:sz w:val="22"/>
        </w:rPr>
        <w:t>2. Non-Disclosure Obligations</w:t>
      </w:r>
    </w:p>
    <w:p>
      <w:pPr>
        <w:spacing w:after="120"/>
      </w:pPr>
      <w:r>
        <w:rPr>
          <w:sz w:val="20"/>
        </w:rPr>
        <w:t>The Receiving Party covenants and agrees to hold all Confidential Information in strict confidence and shall not disclose, copy, distribute, or exploit such information without prior written authorization from the Bank.</w:t>
      </w:r>
    </w:p>
    <w:p>
      <w:pPr>
        <w:spacing w:before="160" w:after="40"/>
      </w:pPr>
      <w:r>
        <w:rPr>
          <w:b/>
          <w:color w:val="176FC1"/>
          <w:sz w:val="22"/>
        </w:rPr>
        <w:t>3. Term &amp; Survival</w:t>
      </w:r>
    </w:p>
    <w:p>
      <w:pPr>
        <w:spacing w:after="120"/>
      </w:pPr>
      <w:r>
        <w:rPr>
          <w:sz w:val="20"/>
        </w:rPr>
        <w:t>The obligations of confidentiality shall commence on the date of execution and shall survive for a period of five (5) years following the termination of the business relationship.</w:t>
      </w:r>
    </w:p>
    <w:p>
      <w:pPr>
        <w:spacing w:before="160" w:after="40"/>
      </w:pPr>
      <w:r>
        <w:rPr>
          <w:b/>
          <w:color w:val="176FC1"/>
          <w:sz w:val="22"/>
        </w:rPr>
        <w:t>4. Governing Law &amp; Jurisdiction</w:t>
      </w:r>
    </w:p>
    <w:p>
      <w:pPr>
        <w:spacing w:after="120"/>
      </w:pPr>
      <w:r>
        <w:rPr>
          <w:sz w:val="20"/>
        </w:rPr>
        <w:t>This Agreement shall be governed by and construed in accordance with the laws of India. Courts in Mumbai shall have exclusive jurisdiction.</w:t>
      </w:r>
    </w:p>
    <w:p>
      <w:pPr>
        <w:spacing w:before="400"/>
      </w:pPr>
    </w:p>
    <w:p>
      <w:r>
        <w:rPr>
          <w:i/>
          <w:color w:val="64748B"/>
          <w:sz w:val="18"/>
        </w:rPr>
        <w:t>Issued by:</w:t>
        <w:br/>
        <w:t>Digital Payment &amp; Transaction Banking Department</w:t>
        <w:br/>
        <w:t>Central Bank of India, Central Office, Mumbai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