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FC1"/>
          <w:sz w:val="28"/>
        </w:rPr>
        <w:t>CENTRAL BANK OF INDIA</w:t>
        <w:br/>
      </w:r>
      <w:r>
        <w:rPr>
          <w:color w:val="64748B"/>
          <w:sz w:val="20"/>
        </w:rPr>
        <w:t>Digital Payment &amp; Transaction Banking Department, Central Office, Mumbai</w:t>
        <w:br/>
      </w:r>
    </w:p>
    <w:p>
      <w:pPr>
        <w:jc w:val="center"/>
      </w:pPr>
      <w:r>
        <w:rPr>
          <w:b/>
          <w:color w:val="0F172A"/>
          <w:sz w:val="26"/>
        </w:rPr>
        <w:t>Annexure V - Escrow Account Agreement Format</w:t>
        <w:br/>
      </w:r>
      <w:r>
        <w:rPr>
          <w:i/>
          <w:color w:val="941A2E"/>
          <w:sz w:val="20"/>
        </w:rPr>
        <w:t>Escrow Operations, Pooling of Merchant Funds &amp; RBI Compliance</w:t>
      </w:r>
    </w:p>
    <w:p>
      <w:pPr>
        <w:spacing w:after="240"/>
      </w:pPr>
    </w:p>
    <w:p>
      <w:pPr>
        <w:spacing w:before="160" w:after="40"/>
      </w:pPr>
      <w:r>
        <w:rPr>
          <w:b/>
          <w:color w:val="176FC1"/>
          <w:sz w:val="22"/>
        </w:rPr>
        <w:t>1. Regulatory Mandate</w:t>
      </w:r>
    </w:p>
    <w:p>
      <w:pPr>
        <w:spacing w:after="120"/>
      </w:pPr>
      <w:r>
        <w:rPr>
          <w:sz w:val="20"/>
        </w:rPr>
        <w:t>In accordance with RBI Master Directions on Payment Aggregators (DPSS.CO.PD.No.1810/02.14.008/2019-20), all funds collected by the Aggregator must be routed through an Escrow Account maintained with a scheduled commercial bank.</w:t>
      </w:r>
    </w:p>
    <w:p>
      <w:pPr>
        <w:spacing w:before="160" w:after="40"/>
      </w:pPr>
      <w:r>
        <w:rPr>
          <w:b/>
          <w:color w:val="176FC1"/>
          <w:sz w:val="22"/>
        </w:rPr>
        <w:t>2. Permitted Credits and Debits</w:t>
      </w:r>
    </w:p>
    <w:p>
      <w:pPr>
        <w:spacing w:after="120"/>
      </w:pPr>
      <w:r>
        <w:rPr>
          <w:sz w:val="20"/>
        </w:rPr>
        <w:t>Permitted credits comprise customer payments for goods/services and refunds received from acquirers. Permitted debits comprise merchant settlements, permissible commissions, refunds to customers, and bank fees.</w:t>
      </w:r>
    </w:p>
    <w:p>
      <w:pPr>
        <w:spacing w:before="160" w:after="40"/>
      </w:pPr>
      <w:r>
        <w:rPr>
          <w:b/>
          <w:color w:val="176FC1"/>
          <w:sz w:val="22"/>
        </w:rPr>
        <w:t>3. Audit &amp; Reporting Obligations</w:t>
      </w:r>
    </w:p>
    <w:p>
      <w:pPr>
        <w:spacing w:after="120"/>
      </w:pPr>
      <w:r>
        <w:rPr>
          <w:sz w:val="20"/>
        </w:rPr>
        <w:t>The Aggregator shall provide daily balance certificates, monthly turnover reconciliation statements, and quarterly statutory auditor certificates to Central Bank of India.</w:t>
      </w:r>
    </w:p>
    <w:p>
      <w:pPr>
        <w:spacing w:before="400"/>
      </w:pPr>
    </w:p>
    <w:p>
      <w:r>
        <w:rPr>
          <w:i/>
          <w:color w:val="64748B"/>
          <w:sz w:val="18"/>
        </w:rPr>
        <w:t>Issued by:</w:t>
        <w:br/>
        <w:t>Digital Payment &amp; Transaction Banking Department</w:t>
        <w:br/>
        <w:t>Central Bank of India, Central Office, Mumbai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