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FC1"/>
          <w:sz w:val="28"/>
        </w:rPr>
        <w:t>CENTRAL BANK OF INDIA</w:t>
        <w:br/>
      </w:r>
      <w:r>
        <w:rPr>
          <w:color w:val="64748B"/>
          <w:sz w:val="20"/>
        </w:rPr>
        <w:t>Digital Payment &amp; Transaction Banking Department, Central Office, Mumbai</w:t>
        <w:br/>
      </w:r>
    </w:p>
    <w:p>
      <w:pPr>
        <w:jc w:val="center"/>
      </w:pPr>
      <w:r>
        <w:rPr>
          <w:b/>
          <w:color w:val="0F172A"/>
          <w:sz w:val="26"/>
        </w:rPr>
        <w:t>Annexure VI - Merchant Onboarding Checklist &amp; Due Diligence</w:t>
        <w:br/>
      </w:r>
      <w:r>
        <w:rPr>
          <w:i/>
          <w:color w:val="941A2E"/>
          <w:sz w:val="20"/>
        </w:rPr>
        <w:t>KYC, Entity Verification &amp; Underwriting Guidelines</w:t>
      </w:r>
    </w:p>
    <w:p>
      <w:pPr>
        <w:spacing w:after="240"/>
      </w:pPr>
    </w:p>
    <w:p>
      <w:pPr>
        <w:spacing w:before="160" w:after="40"/>
      </w:pPr>
      <w:r>
        <w:rPr>
          <w:b/>
          <w:color w:val="176FC1"/>
          <w:sz w:val="22"/>
        </w:rPr>
        <w:t>1. Entity Documentation</w:t>
      </w:r>
    </w:p>
    <w:p>
      <w:pPr>
        <w:spacing w:after="120"/>
      </w:pPr>
      <w:r>
        <w:rPr>
          <w:sz w:val="20"/>
        </w:rPr>
        <w:t>Certificate of Incorporation / Registration, Memorandum and Articles of Association (MOA/AOA), Partnership Deed, or Trust Deed. PAN Card copy in entity name.</w:t>
      </w:r>
    </w:p>
    <w:p>
      <w:pPr>
        <w:spacing w:before="160" w:after="40"/>
      </w:pPr>
      <w:r>
        <w:rPr>
          <w:b/>
          <w:color w:val="176FC1"/>
          <w:sz w:val="22"/>
        </w:rPr>
        <w:t>2. Merchant Bank Account Details</w:t>
      </w:r>
    </w:p>
    <w:p>
      <w:pPr>
        <w:spacing w:after="120"/>
      </w:pPr>
      <w:r>
        <w:rPr>
          <w:sz w:val="20"/>
        </w:rPr>
        <w:t>Canceled cheque or Bank Attestation Letter of the Central Bank of India current account where daily settlements will be routed.</w:t>
      </w:r>
    </w:p>
    <w:p>
      <w:pPr>
        <w:spacing w:before="160" w:after="40"/>
      </w:pPr>
      <w:r>
        <w:rPr>
          <w:b/>
          <w:color w:val="176FC1"/>
          <w:sz w:val="22"/>
        </w:rPr>
        <w:t>3. Business Activity Verification</w:t>
      </w:r>
    </w:p>
    <w:p>
      <w:pPr>
        <w:spacing w:after="120"/>
      </w:pPr>
      <w:r>
        <w:rPr>
          <w:sz w:val="20"/>
        </w:rPr>
        <w:t>Website URL / Mobile App, product pricing disclosure, return and refund policy, privacy policy, contact details, and proof of domain ownership.</w:t>
      </w:r>
    </w:p>
    <w:p>
      <w:pPr>
        <w:spacing w:before="160" w:after="40"/>
      </w:pPr>
      <w:r>
        <w:rPr>
          <w:b/>
          <w:color w:val="176FC1"/>
          <w:sz w:val="22"/>
        </w:rPr>
        <w:t>4. Beneficial Ownership &amp; Sanctions Screening</w:t>
      </w:r>
    </w:p>
    <w:p>
      <w:pPr>
        <w:spacing w:after="120"/>
      </w:pPr>
      <w:r>
        <w:rPr>
          <w:sz w:val="20"/>
        </w:rPr>
        <w:t>Identification of beneficial owners (&gt;10% holding), OFAC/AML/CFT screening, and submission of Director KYC (PAN, Aadhaar/Passport).</w:t>
      </w:r>
    </w:p>
    <w:p>
      <w:pPr>
        <w:spacing w:before="400"/>
      </w:pPr>
    </w:p>
    <w:p>
      <w:r>
        <w:rPr>
          <w:i/>
          <w:color w:val="64748B"/>
          <w:sz w:val="18"/>
        </w:rPr>
        <w:t>Issued by:</w:t>
        <w:br/>
        <w:t>Digital Payment &amp; Transaction Banking Department</w:t>
        <w:br/>
        <w:t>Central Bank of India, Central Office, Mumbai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