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FC1"/>
          <w:sz w:val="28"/>
        </w:rPr>
        <w:t>CENTRAL BANK OF INDIA</w:t>
        <w:br/>
      </w:r>
      <w:r>
        <w:rPr>
          <w:color w:val="64748B"/>
          <w:sz w:val="20"/>
        </w:rPr>
        <w:t>Digital Payment &amp; Transaction Banking Department, Central Office, Mumbai</w:t>
        <w:br/>
      </w:r>
    </w:p>
    <w:p>
      <w:pPr>
        <w:jc w:val="center"/>
      </w:pPr>
      <w:r>
        <w:rPr>
          <w:b/>
          <w:color w:val="0F172A"/>
          <w:sz w:val="26"/>
        </w:rPr>
        <w:t>Annexure VII - Information Security &amp; Compliance Declaration</w:t>
        <w:br/>
      </w:r>
      <w:r>
        <w:rPr>
          <w:i/>
          <w:color w:val="941A2E"/>
          <w:sz w:val="20"/>
        </w:rPr>
        <w:t>Certifications, Vulnerability Assessment &amp; Compliance Undertaking</w:t>
      </w:r>
    </w:p>
    <w:p>
      <w:pPr>
        <w:spacing w:after="240"/>
      </w:pPr>
    </w:p>
    <w:p>
      <w:pPr>
        <w:spacing w:before="160" w:after="40"/>
      </w:pPr>
      <w:r>
        <w:rPr>
          <w:b/>
          <w:color w:val="176FC1"/>
          <w:sz w:val="22"/>
        </w:rPr>
        <w:t>1. Mandatory Certifications</w:t>
      </w:r>
    </w:p>
    <w:p>
      <w:pPr>
        <w:spacing w:after="120"/>
      </w:pPr>
      <w:r>
        <w:rPr>
          <w:sz w:val="20"/>
        </w:rPr>
        <w:t>The Aggregator must submit valid certificates for PCI-DSS Level 1 v4.0, ISO/IEC 27001:2022 (ISMS), and SOC 2 Type II audit report.</w:t>
      </w:r>
    </w:p>
    <w:p>
      <w:pPr>
        <w:spacing w:before="160" w:after="40"/>
      </w:pPr>
      <w:r>
        <w:rPr>
          <w:b/>
          <w:color w:val="176FC1"/>
          <w:sz w:val="22"/>
        </w:rPr>
        <w:t>2. Annual VAPT &amp; Red Teaming</w:t>
      </w:r>
    </w:p>
    <w:p>
      <w:pPr>
        <w:spacing w:after="120"/>
      </w:pPr>
      <w:r>
        <w:rPr>
          <w:sz w:val="20"/>
        </w:rPr>
        <w:t>An annual Vulnerability Assessment and Penetration Testing (VAPT) must be conducted by a CERT-In empaneled security firm, and executive closure reports must be shared with the Bank.</w:t>
      </w:r>
    </w:p>
    <w:p>
      <w:pPr>
        <w:spacing w:before="160" w:after="40"/>
      </w:pPr>
      <w:r>
        <w:rPr>
          <w:b/>
          <w:color w:val="176FC1"/>
          <w:sz w:val="22"/>
        </w:rPr>
        <w:t>3. Data Localization</w:t>
      </w:r>
    </w:p>
    <w:p>
      <w:pPr>
        <w:spacing w:after="120"/>
      </w:pPr>
      <w:r>
        <w:rPr>
          <w:sz w:val="20"/>
        </w:rPr>
        <w:t>All transaction data, merchant records, logs, and cryptographic keys must reside entirely within servers located in the Republic of India as mandated by RBI.</w:t>
      </w:r>
    </w:p>
    <w:p>
      <w:pPr>
        <w:spacing w:before="400"/>
      </w:pPr>
    </w:p>
    <w:p>
      <w:r>
        <w:rPr>
          <w:i/>
          <w:color w:val="64748B"/>
          <w:sz w:val="18"/>
        </w:rPr>
        <w:t>Issued by:</w:t>
        <w:br/>
        <w:t>Digital Payment &amp; Transaction Banking Department</w:t>
        <w:br/>
        <w:t>Central Bank of India, Central Office, Mumbai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