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40" w:lineRule="auto"/>
        <w:jc w:val="center"/>
      </w:pPr>
      <w:r>
        <w:rPr>
          <w:rFonts w:ascii="Times New Roman" w:hAnsi="Times New Roman"/>
          <w:b/>
          <w:sz w:val="32"/>
        </w:rPr>
        <w:t>TASK 1: DNA/Protein Sequence Analysis Using BLASTp</w:t>
      </w:r>
    </w:p>
    <w:p>
      <w:pPr>
        <w:spacing w:after="20" w:before="40" w:line="240" w:lineRule="auto"/>
      </w:pPr>
      <w:r>
        <w:rPr>
          <w:rFonts w:ascii="Times New Roman" w:hAnsi="Times New Roman"/>
          <w:b/>
          <w:sz w:val="23"/>
        </w:rPr>
        <w:t>1. Introduction</w:t>
      </w:r>
    </w:p>
    <w:p>
      <w:pPr>
        <w:spacing w:after="20" w:before="0" w:line="240" w:lineRule="auto"/>
      </w:pPr>
      <w:r>
        <w:rPr>
          <w:rFonts w:ascii="Times New Roman" w:hAnsi="Times New Roman"/>
          <w:b w:val="0"/>
          <w:sz w:val="19"/>
        </w:rPr>
        <w:t>Bioinformatics is an interdisciplinary field that combines biology, computer science and data analysis to study biological information. Protein sequence analysis is an important application of bioinformatics because protein sequences can be compared to identify similar or homologous proteins.</w:t>
      </w:r>
    </w:p>
    <w:p>
      <w:pPr>
        <w:spacing w:after="20" w:before="0" w:line="240" w:lineRule="auto"/>
      </w:pPr>
      <w:r>
        <w:rPr>
          <w:rFonts w:ascii="Times New Roman" w:hAnsi="Times New Roman"/>
          <w:b w:val="0"/>
          <w:sz w:val="19"/>
        </w:rPr>
        <w:t>BLAST (Basic Local Alignment Search Tool) is a widely used sequence-comparison tool developed by NCBI. It compares a query sequence with sequences present in a biological database and identifies sequences with significant similarity. BLAST results can provide information such as percentage identity, query coverage, alignment score and E-value.</w:t>
      </w:r>
    </w:p>
    <w:p>
      <w:pPr>
        <w:spacing w:after="20" w:before="0" w:line="240" w:lineRule="auto"/>
      </w:pPr>
      <w:r>
        <w:rPr>
          <w:rFonts w:ascii="Times New Roman" w:hAnsi="Times New Roman"/>
          <w:b w:val="0"/>
          <w:sz w:val="19"/>
        </w:rPr>
        <w:t>In this study, the human hemoglobin subunit beta (HBB) protein sequence was obtained from the NCBI Protein database. The sequence was analyzed using BLASTp to identify homologous protein sequences and evaluate their sequence similarity.</w:t>
      </w:r>
    </w:p>
    <w:p>
      <w:pPr>
        <w:spacing w:after="20" w:before="40" w:line="240" w:lineRule="auto"/>
      </w:pPr>
      <w:r>
        <w:rPr>
          <w:rFonts w:ascii="Times New Roman" w:hAnsi="Times New Roman"/>
          <w:b/>
          <w:sz w:val="23"/>
        </w:rPr>
        <w:t>2. Objective</w:t>
      </w:r>
    </w:p>
    <w:p>
      <w:pPr>
        <w:spacing w:after="10" w:line="240" w:lineRule="auto"/>
        <w:ind w:left="259" w:hanging="144"/>
      </w:pPr>
      <w:r>
        <w:rPr>
          <w:rFonts w:ascii="Times New Roman" w:hAnsi="Times New Roman"/>
          <w:sz w:val="19"/>
        </w:rPr>
        <w:t>• To obtain a protein sequence from the NCBI database.</w:t>
      </w:r>
    </w:p>
    <w:p>
      <w:pPr>
        <w:spacing w:after="10" w:line="240" w:lineRule="auto"/>
        <w:ind w:left="259" w:hanging="144"/>
      </w:pPr>
      <w:r>
        <w:rPr>
          <w:rFonts w:ascii="Times New Roman" w:hAnsi="Times New Roman"/>
          <w:sz w:val="19"/>
        </w:rPr>
        <w:t>• To perform BLASTp analysis of the selected protein sequence.</w:t>
      </w:r>
    </w:p>
    <w:p>
      <w:pPr>
        <w:spacing w:after="10" w:line="240" w:lineRule="auto"/>
        <w:ind w:left="259" w:hanging="144"/>
      </w:pPr>
      <w:r>
        <w:rPr>
          <w:rFonts w:ascii="Times New Roman" w:hAnsi="Times New Roman"/>
          <w:sz w:val="19"/>
        </w:rPr>
        <w:t>• To identify homologous protein sequences.</w:t>
      </w:r>
    </w:p>
    <w:p>
      <w:pPr>
        <w:spacing w:after="10" w:line="240" w:lineRule="auto"/>
        <w:ind w:left="259" w:hanging="144"/>
      </w:pPr>
      <w:r>
        <w:rPr>
          <w:rFonts w:ascii="Times New Roman" w:hAnsi="Times New Roman"/>
          <w:sz w:val="19"/>
        </w:rPr>
        <w:t>• To compare the sequences based on percentage identity, query coverage, E-value and alignment score.</w:t>
      </w:r>
    </w:p>
    <w:p>
      <w:pPr>
        <w:spacing w:after="10" w:line="240" w:lineRule="auto"/>
        <w:ind w:left="259" w:hanging="144"/>
      </w:pPr>
      <w:r>
        <w:rPr>
          <w:rFonts w:ascii="Times New Roman" w:hAnsi="Times New Roman"/>
          <w:sz w:val="19"/>
        </w:rPr>
        <w:t>• To examine the sequence alignment and interpret the BLAST results.</w:t>
      </w:r>
    </w:p>
    <w:p>
      <w:pPr>
        <w:spacing w:after="20" w:before="40" w:line="240" w:lineRule="auto"/>
      </w:pPr>
      <w:r>
        <w:rPr>
          <w:rFonts w:ascii="Times New Roman" w:hAnsi="Times New Roman"/>
          <w:b/>
          <w:sz w:val="23"/>
        </w:rPr>
        <w:t>3. Selected Protein Sequence</w:t>
      </w:r>
    </w:p>
    <w:p>
      <w:pPr>
        <w:spacing w:after="20" w:before="0" w:line="240" w:lineRule="auto"/>
      </w:pPr>
      <w:r>
        <w:rPr>
          <w:rFonts w:ascii="Times New Roman" w:hAnsi="Times New Roman"/>
          <w:b w:val="0"/>
          <w:sz w:val="19"/>
        </w:rPr>
        <w:t>The protein selected for this analysis was hemoglobin subunit beta (HBB) from Homo sapiens.</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pPr>
              <w:spacing w:after="0" w:line="240" w:lineRule="auto"/>
            </w:pPr>
            <w:r>
              <w:rPr>
                <w:rFonts w:ascii="Times New Roman" w:hAnsi="Times New Roman"/>
                <w:sz w:val="17"/>
              </w:rPr>
              <w:t>Parameter</w:t>
            </w:r>
          </w:p>
        </w:tc>
        <w:tc>
          <w:tcPr>
            <w:tcW w:type="dxa" w:w="5328"/>
            <w:vAlign w:val="center"/>
          </w:tcPr>
          <w:p>
            <w:pPr>
              <w:spacing w:after="0" w:line="240" w:lineRule="auto"/>
            </w:pPr>
            <w:r>
              <w:rPr>
                <w:rFonts w:ascii="Times New Roman" w:hAnsi="Times New Roman"/>
                <w:sz w:val="17"/>
              </w:rPr>
              <w:t>Details</w:t>
            </w:r>
          </w:p>
        </w:tc>
      </w:tr>
      <w:tr>
        <w:tc>
          <w:tcPr>
            <w:tcW w:type="dxa" w:w="5328"/>
            <w:vAlign w:val="center"/>
          </w:tcPr>
          <w:p>
            <w:pPr>
              <w:spacing w:after="0" w:line="240" w:lineRule="auto"/>
            </w:pPr>
            <w:r>
              <w:rPr>
                <w:rFonts w:ascii="Times New Roman" w:hAnsi="Times New Roman"/>
                <w:sz w:val="17"/>
              </w:rPr>
              <w:t>Protein</w:t>
            </w:r>
          </w:p>
        </w:tc>
        <w:tc>
          <w:tcPr>
            <w:tcW w:type="dxa" w:w="5328"/>
            <w:vAlign w:val="center"/>
          </w:tcPr>
          <w:p>
            <w:pPr>
              <w:spacing w:after="0" w:line="240" w:lineRule="auto"/>
            </w:pPr>
            <w:r>
              <w:rPr>
                <w:rFonts w:ascii="Times New Roman" w:hAnsi="Times New Roman"/>
                <w:sz w:val="17"/>
              </w:rPr>
              <w:t>Hemoglobin subunit beta</w:t>
            </w:r>
          </w:p>
        </w:tc>
      </w:tr>
      <w:tr>
        <w:tc>
          <w:tcPr>
            <w:tcW w:type="dxa" w:w="5328"/>
            <w:vAlign w:val="center"/>
          </w:tcPr>
          <w:p>
            <w:pPr>
              <w:spacing w:after="0" w:line="240" w:lineRule="auto"/>
            </w:pPr>
            <w:r>
              <w:rPr>
                <w:rFonts w:ascii="Times New Roman" w:hAnsi="Times New Roman"/>
                <w:sz w:val="17"/>
              </w:rPr>
              <w:t>Organism</w:t>
            </w:r>
          </w:p>
        </w:tc>
        <w:tc>
          <w:tcPr>
            <w:tcW w:type="dxa" w:w="5328"/>
            <w:vAlign w:val="center"/>
          </w:tcPr>
          <w:p>
            <w:pPr>
              <w:spacing w:after="0" w:line="240" w:lineRule="auto"/>
            </w:pPr>
            <w:r>
              <w:rPr>
                <w:rFonts w:ascii="Times New Roman" w:hAnsi="Times New Roman"/>
                <w:sz w:val="17"/>
              </w:rPr>
              <w:t>Homo sapiens</w:t>
            </w:r>
          </w:p>
        </w:tc>
      </w:tr>
      <w:tr>
        <w:tc>
          <w:tcPr>
            <w:tcW w:type="dxa" w:w="5328"/>
            <w:vAlign w:val="center"/>
          </w:tcPr>
          <w:p>
            <w:pPr>
              <w:spacing w:after="0" w:line="240" w:lineRule="auto"/>
            </w:pPr>
            <w:r>
              <w:rPr>
                <w:rFonts w:ascii="Times New Roman" w:hAnsi="Times New Roman"/>
                <w:sz w:val="17"/>
              </w:rPr>
              <w:t>Gene</w:t>
            </w:r>
          </w:p>
        </w:tc>
        <w:tc>
          <w:tcPr>
            <w:tcW w:type="dxa" w:w="5328"/>
            <w:vAlign w:val="center"/>
          </w:tcPr>
          <w:p>
            <w:pPr>
              <w:spacing w:after="0" w:line="240" w:lineRule="auto"/>
            </w:pPr>
            <w:r>
              <w:rPr>
                <w:rFonts w:ascii="Times New Roman" w:hAnsi="Times New Roman"/>
                <w:sz w:val="17"/>
              </w:rPr>
              <w:t>HBB</w:t>
            </w:r>
          </w:p>
        </w:tc>
      </w:tr>
      <w:tr>
        <w:tc>
          <w:tcPr>
            <w:tcW w:type="dxa" w:w="5328"/>
            <w:vAlign w:val="center"/>
          </w:tcPr>
          <w:p>
            <w:pPr>
              <w:spacing w:after="0" w:line="240" w:lineRule="auto"/>
            </w:pPr>
            <w:r>
              <w:rPr>
                <w:rFonts w:ascii="Times New Roman" w:hAnsi="Times New Roman"/>
                <w:sz w:val="17"/>
              </w:rPr>
              <w:t>NCBI Accession</w:t>
            </w:r>
          </w:p>
        </w:tc>
        <w:tc>
          <w:tcPr>
            <w:tcW w:type="dxa" w:w="5328"/>
            <w:vAlign w:val="center"/>
          </w:tcPr>
          <w:p>
            <w:pPr>
              <w:spacing w:after="0" w:line="240" w:lineRule="auto"/>
            </w:pPr>
            <w:r>
              <w:rPr>
                <w:rFonts w:ascii="Times New Roman" w:hAnsi="Times New Roman"/>
                <w:sz w:val="17"/>
              </w:rPr>
              <w:t>NP_000509.1</w:t>
            </w:r>
          </w:p>
        </w:tc>
      </w:tr>
      <w:tr>
        <w:tc>
          <w:tcPr>
            <w:tcW w:type="dxa" w:w="5328"/>
            <w:vAlign w:val="center"/>
          </w:tcPr>
          <w:p>
            <w:pPr>
              <w:spacing w:after="0" w:line="240" w:lineRule="auto"/>
            </w:pPr>
            <w:r>
              <w:rPr>
                <w:rFonts w:ascii="Times New Roman" w:hAnsi="Times New Roman"/>
                <w:sz w:val="17"/>
              </w:rPr>
              <w:t>Molecule type</w:t>
            </w:r>
          </w:p>
        </w:tc>
        <w:tc>
          <w:tcPr>
            <w:tcW w:type="dxa" w:w="5328"/>
            <w:vAlign w:val="center"/>
          </w:tcPr>
          <w:p>
            <w:pPr>
              <w:spacing w:after="0" w:line="240" w:lineRule="auto"/>
            </w:pPr>
            <w:r>
              <w:rPr>
                <w:rFonts w:ascii="Times New Roman" w:hAnsi="Times New Roman"/>
                <w:sz w:val="17"/>
              </w:rPr>
              <w:t>Protein</w:t>
            </w:r>
          </w:p>
        </w:tc>
      </w:tr>
      <w:tr>
        <w:tc>
          <w:tcPr>
            <w:tcW w:type="dxa" w:w="5328"/>
            <w:vAlign w:val="center"/>
          </w:tcPr>
          <w:p>
            <w:pPr>
              <w:spacing w:after="0" w:line="240" w:lineRule="auto"/>
            </w:pPr>
            <w:r>
              <w:rPr>
                <w:rFonts w:ascii="Times New Roman" w:hAnsi="Times New Roman"/>
                <w:sz w:val="17"/>
              </w:rPr>
              <w:t>Sequence length</w:t>
            </w:r>
          </w:p>
        </w:tc>
        <w:tc>
          <w:tcPr>
            <w:tcW w:type="dxa" w:w="5328"/>
            <w:vAlign w:val="center"/>
          </w:tcPr>
          <w:p>
            <w:pPr>
              <w:spacing w:after="0" w:line="240" w:lineRule="auto"/>
            </w:pPr>
            <w:r>
              <w:rPr>
                <w:rFonts w:ascii="Times New Roman" w:hAnsi="Times New Roman"/>
                <w:sz w:val="17"/>
              </w:rPr>
              <w:t>147 amino acids</w:t>
            </w:r>
          </w:p>
        </w:tc>
      </w:tr>
      <w:tr>
        <w:tc>
          <w:tcPr>
            <w:tcW w:type="dxa" w:w="5328"/>
            <w:vAlign w:val="center"/>
          </w:tcPr>
          <w:p>
            <w:pPr>
              <w:spacing w:after="0" w:line="240" w:lineRule="auto"/>
            </w:pPr>
            <w:r>
              <w:rPr>
                <w:rFonts w:ascii="Times New Roman" w:hAnsi="Times New Roman"/>
                <w:sz w:val="17"/>
              </w:rPr>
              <w:t>Database</w:t>
            </w:r>
          </w:p>
        </w:tc>
        <w:tc>
          <w:tcPr>
            <w:tcW w:type="dxa" w:w="5328"/>
            <w:vAlign w:val="center"/>
          </w:tcPr>
          <w:p>
            <w:pPr>
              <w:spacing w:after="0" w:line="240" w:lineRule="auto"/>
            </w:pPr>
            <w:r>
              <w:rPr>
                <w:rFonts w:ascii="Times New Roman" w:hAnsi="Times New Roman"/>
                <w:sz w:val="17"/>
              </w:rPr>
              <w:t>NCBI Protein</w:t>
            </w:r>
          </w:p>
        </w:tc>
      </w:tr>
    </w:tbl>
    <w:p>
      <w:pPr>
        <w:spacing w:after="0" w:before="40"/>
        <w:jc w:val="center"/>
      </w:pPr>
      <w:r>
        <w:drawing>
          <wp:inline xmlns:a="http://schemas.openxmlformats.org/drawingml/2006/main" xmlns:pic="http://schemas.openxmlformats.org/drawingml/2006/picture">
            <wp:extent cx="3977639" cy="233038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977639" cy="2330383"/>
                    </a:xfrm>
                    <a:prstGeom prst="rect"/>
                  </pic:spPr>
                </pic:pic>
              </a:graphicData>
            </a:graphic>
          </wp:inline>
        </w:drawing>
      </w:r>
    </w:p>
    <w:p>
      <w:pPr>
        <w:spacing w:after="20" w:before="0" w:line="240" w:lineRule="auto"/>
        <w:jc w:val="center"/>
      </w:pPr>
      <w:r>
        <w:rPr>
          <w:rFonts w:ascii="Times New Roman" w:hAnsi="Times New Roman"/>
          <w:b w:val="0"/>
          <w:i/>
          <w:sz w:val="17"/>
        </w:rPr>
        <w:t>Figure 1. NCBI FASTA sequence of human hemoglobin subunit beta</w:t>
      </w:r>
    </w:p>
    <w:p>
      <w:pPr>
        <w:spacing w:after="20" w:before="40" w:line="240" w:lineRule="auto"/>
      </w:pPr>
      <w:r>
        <w:rPr>
          <w:rFonts w:ascii="Times New Roman" w:hAnsi="Times New Roman"/>
          <w:b/>
          <w:sz w:val="23"/>
        </w:rPr>
        <w:t>4. Tools and Database Used</w:t>
      </w:r>
    </w:p>
    <w:p>
      <w:pPr>
        <w:spacing w:after="20" w:before="0" w:line="240" w:lineRule="auto"/>
      </w:pPr>
      <w:r>
        <w:rPr>
          <w:rFonts w:ascii="Times New Roman" w:hAnsi="Times New Roman"/>
          <w:b w:val="0"/>
          <w:sz w:val="19"/>
        </w:rPr>
        <w:t>NCBI Protein Database: Used to obtain the HBB protein sequence.</w:t>
      </w:r>
    </w:p>
    <w:p>
      <w:pPr>
        <w:spacing w:after="20" w:before="0" w:line="240" w:lineRule="auto"/>
      </w:pPr>
      <w:r>
        <w:rPr>
          <w:rFonts w:ascii="Times New Roman" w:hAnsi="Times New Roman"/>
          <w:b w:val="0"/>
          <w:sz w:val="19"/>
        </w:rPr>
        <w:t>NCBI BLASTp: Used to compare the selected protein sequence against protein sequences in the database and identify homologous sequences.</w:t>
      </w:r>
    </w:p>
    <w:p>
      <w:pPr>
        <w:spacing w:after="20" w:before="40" w:line="240" w:lineRule="auto"/>
      </w:pPr>
      <w:r>
        <w:rPr>
          <w:rFonts w:ascii="Times New Roman" w:hAnsi="Times New Roman"/>
          <w:b/>
          <w:sz w:val="23"/>
        </w:rPr>
        <w:t>5. Methodology</w:t>
      </w:r>
    </w:p>
    <w:p>
      <w:pPr>
        <w:spacing w:after="10" w:line="240" w:lineRule="auto"/>
        <w:ind w:left="259" w:hanging="144"/>
      </w:pPr>
      <w:r>
        <w:rPr>
          <w:rFonts w:ascii="Times New Roman" w:hAnsi="Times New Roman"/>
          <w:sz w:val="19"/>
        </w:rPr>
        <w:t>• The human hemoglobin subunit beta protein record was retrieved from the NCBI Protein database using accession number NP_000509.1.</w:t>
      </w:r>
    </w:p>
    <w:p>
      <w:pPr>
        <w:spacing w:after="10" w:line="240" w:lineRule="auto"/>
        <w:ind w:left="259" w:hanging="144"/>
      </w:pPr>
      <w:r>
        <w:rPr>
          <w:rFonts w:ascii="Times New Roman" w:hAnsi="Times New Roman"/>
          <w:sz w:val="19"/>
        </w:rPr>
        <w:t>• The FASTA sequence was obtained from the NCBI record and submitted as the query for BLASTp.</w:t>
      </w:r>
    </w:p>
    <w:p>
      <w:pPr>
        <w:spacing w:after="10" w:line="240" w:lineRule="auto"/>
        <w:ind w:left="259" w:hanging="144"/>
      </w:pPr>
      <w:r>
        <w:rPr>
          <w:rFonts w:ascii="Times New Roman" w:hAnsi="Times New Roman"/>
          <w:sz w:val="19"/>
        </w:rPr>
        <w:t>• The BLAST search was performed using the ClusteredNR database.</w:t>
      </w:r>
    </w:p>
    <w:p>
      <w:pPr>
        <w:spacing w:after="10" w:line="240" w:lineRule="auto"/>
        <w:ind w:left="259" w:hanging="144"/>
      </w:pPr>
      <w:r>
        <w:rPr>
          <w:rFonts w:ascii="Times New Roman" w:hAnsi="Times New Roman"/>
          <w:sz w:val="19"/>
        </w:rPr>
        <w:t>• Homologous sequences were examined based on query coverage, percentage identity, E-value and alignment score.</w:t>
      </w:r>
    </w:p>
    <w:p>
      <w:pPr>
        <w:spacing w:after="10" w:line="240" w:lineRule="auto"/>
        <w:ind w:left="259" w:hanging="144"/>
      </w:pPr>
      <w:r>
        <w:rPr>
          <w:rFonts w:ascii="Times New Roman" w:hAnsi="Times New Roman"/>
          <w:sz w:val="19"/>
        </w:rPr>
        <w:t>• Pairwise alignments were examined to determine identical and similar amino-acid positions and gaps.</w:t>
      </w:r>
    </w:p>
    <w:p>
      <w:r>
        <w:br w:type="page"/>
      </w:r>
    </w:p>
    <w:p>
      <w:pPr>
        <w:spacing w:after="20" w:before="40" w:line="240" w:lineRule="auto"/>
      </w:pPr>
      <w:r>
        <w:rPr>
          <w:rFonts w:ascii="Times New Roman" w:hAnsi="Times New Roman"/>
          <w:b/>
          <w:sz w:val="23"/>
        </w:rPr>
        <w:t>6. BLASTp Analysis</w:t>
      </w:r>
    </w:p>
    <w:p>
      <w:pPr>
        <w:spacing w:after="20" w:before="0" w:line="240" w:lineRule="auto"/>
      </w:pPr>
      <w:r>
        <w:rPr>
          <w:rFonts w:ascii="Times New Roman" w:hAnsi="Times New Roman"/>
          <w:b w:val="0"/>
          <w:sz w:val="19"/>
        </w:rPr>
        <w:t>The human hemoglobin subunit beta protein sequence (NP_000509.1) was used as the query sequence for BLASTp. The query sequence contains 147 amino acids. The BLASTp search identified several protein sequences showing significant similarity to the query.</w:t>
      </w:r>
    </w:p>
    <w:p>
      <w:pPr>
        <w:spacing w:after="20" w:before="40" w:line="240" w:lineRule="auto"/>
      </w:pPr>
      <w:r>
        <w:rPr>
          <w:rFonts w:ascii="Times New Roman" w:hAnsi="Times New Roman"/>
          <w:b/>
          <w:sz w:val="23"/>
        </w:rPr>
        <w:t>Table 1. Top BLASTp Results</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tcPr>
          <w:p>
            <w:pPr>
              <w:spacing w:after="0" w:line="240" w:lineRule="auto"/>
            </w:pPr>
            <w:r>
              <w:rPr>
                <w:rFonts w:ascii="Times New Roman" w:hAnsi="Times New Roman"/>
                <w:sz w:val="14"/>
              </w:rPr>
              <w:t>No.</w:t>
            </w:r>
          </w:p>
        </w:tc>
        <w:tc>
          <w:tcPr>
            <w:tcW w:type="dxa" w:w="1332"/>
            <w:vAlign w:val="center"/>
          </w:tcPr>
          <w:p>
            <w:pPr>
              <w:spacing w:after="0" w:line="240" w:lineRule="auto"/>
            </w:pPr>
            <w:r>
              <w:rPr>
                <w:rFonts w:ascii="Times New Roman" w:hAnsi="Times New Roman"/>
                <w:sz w:val="14"/>
              </w:rPr>
              <w:t>Homologous protein</w:t>
            </w:r>
          </w:p>
        </w:tc>
        <w:tc>
          <w:tcPr>
            <w:tcW w:type="dxa" w:w="1332"/>
            <w:vAlign w:val="center"/>
          </w:tcPr>
          <w:p>
            <w:pPr>
              <w:spacing w:after="0" w:line="240" w:lineRule="auto"/>
            </w:pPr>
            <w:r>
              <w:rPr>
                <w:rFonts w:ascii="Times New Roman" w:hAnsi="Times New Roman"/>
                <w:sz w:val="14"/>
              </w:rPr>
              <w:t>Organism</w:t>
            </w:r>
          </w:p>
        </w:tc>
        <w:tc>
          <w:tcPr>
            <w:tcW w:type="dxa" w:w="1332"/>
            <w:vAlign w:val="center"/>
          </w:tcPr>
          <w:p>
            <w:pPr>
              <w:spacing w:after="0" w:line="240" w:lineRule="auto"/>
            </w:pPr>
            <w:r>
              <w:rPr>
                <w:rFonts w:ascii="Times New Roman" w:hAnsi="Times New Roman"/>
                <w:sz w:val="14"/>
              </w:rPr>
              <w:t>Accession</w:t>
            </w:r>
          </w:p>
        </w:tc>
        <w:tc>
          <w:tcPr>
            <w:tcW w:type="dxa" w:w="1332"/>
            <w:vAlign w:val="center"/>
          </w:tcPr>
          <w:p>
            <w:pPr>
              <w:spacing w:after="0" w:line="240" w:lineRule="auto"/>
            </w:pPr>
            <w:r>
              <w:rPr>
                <w:rFonts w:ascii="Times New Roman" w:hAnsi="Times New Roman"/>
                <w:sz w:val="14"/>
              </w:rPr>
              <w:t>Score</w:t>
              <w:br/>
              <w:t>(bits)</w:t>
            </w:r>
          </w:p>
        </w:tc>
        <w:tc>
          <w:tcPr>
            <w:tcW w:type="dxa" w:w="1332"/>
            <w:vAlign w:val="center"/>
          </w:tcPr>
          <w:p>
            <w:pPr>
              <w:spacing w:after="0" w:line="240" w:lineRule="auto"/>
            </w:pPr>
            <w:r>
              <w:rPr>
                <w:rFonts w:ascii="Times New Roman" w:hAnsi="Times New Roman"/>
                <w:sz w:val="14"/>
              </w:rPr>
              <w:t>E-value</w:t>
            </w:r>
          </w:p>
        </w:tc>
        <w:tc>
          <w:tcPr>
            <w:tcW w:type="dxa" w:w="1332"/>
            <w:vAlign w:val="center"/>
          </w:tcPr>
          <w:p>
            <w:pPr>
              <w:spacing w:after="0" w:line="240" w:lineRule="auto"/>
            </w:pPr>
            <w:r>
              <w:rPr>
                <w:rFonts w:ascii="Times New Roman" w:hAnsi="Times New Roman"/>
                <w:sz w:val="14"/>
              </w:rPr>
              <w:t>Coverage</w:t>
            </w:r>
          </w:p>
        </w:tc>
        <w:tc>
          <w:tcPr>
            <w:tcW w:type="dxa" w:w="1332"/>
            <w:vAlign w:val="center"/>
          </w:tcPr>
          <w:p>
            <w:pPr>
              <w:spacing w:after="0" w:line="240" w:lineRule="auto"/>
            </w:pPr>
            <w:r>
              <w:rPr>
                <w:rFonts w:ascii="Times New Roman" w:hAnsi="Times New Roman"/>
                <w:sz w:val="14"/>
              </w:rPr>
              <w:t>Identity</w:t>
            </w:r>
          </w:p>
        </w:tc>
      </w:tr>
      <w:tr>
        <w:tc>
          <w:tcPr>
            <w:tcW w:type="dxa" w:w="1332"/>
            <w:vAlign w:val="center"/>
          </w:tcPr>
          <w:p>
            <w:pPr>
              <w:spacing w:after="0" w:line="240" w:lineRule="auto"/>
            </w:pPr>
            <w:r>
              <w:rPr>
                <w:rFonts w:ascii="Times New Roman" w:hAnsi="Times New Roman"/>
                <w:sz w:val="14"/>
              </w:rPr>
              <w:t>1</w:t>
            </w:r>
          </w:p>
        </w:tc>
        <w:tc>
          <w:tcPr>
            <w:tcW w:type="dxa" w:w="1332"/>
            <w:vAlign w:val="center"/>
          </w:tcPr>
          <w:p>
            <w:pPr>
              <w:spacing w:after="0" w:line="240" w:lineRule="auto"/>
            </w:pPr>
            <w:r>
              <w:rPr>
                <w:rFonts w:ascii="Times New Roman" w:hAnsi="Times New Roman"/>
                <w:sz w:val="14"/>
              </w:rPr>
              <w:t>Hb Monza protein</w:t>
            </w:r>
          </w:p>
        </w:tc>
        <w:tc>
          <w:tcPr>
            <w:tcW w:type="dxa" w:w="1332"/>
            <w:vAlign w:val="center"/>
          </w:tcPr>
          <w:p>
            <w:pPr>
              <w:spacing w:after="0" w:line="240" w:lineRule="auto"/>
            </w:pPr>
            <w:r>
              <w:rPr>
                <w:rFonts w:ascii="Times New Roman" w:hAnsi="Times New Roman"/>
                <w:sz w:val="14"/>
              </w:rPr>
              <w:t>Homo sapiens</w:t>
            </w:r>
          </w:p>
        </w:tc>
        <w:tc>
          <w:tcPr>
            <w:tcW w:type="dxa" w:w="1332"/>
            <w:vAlign w:val="center"/>
          </w:tcPr>
          <w:p>
            <w:pPr>
              <w:spacing w:after="0" w:line="240" w:lineRule="auto"/>
            </w:pPr>
            <w:r>
              <w:rPr>
                <w:rFonts w:ascii="Times New Roman" w:hAnsi="Times New Roman"/>
                <w:sz w:val="14"/>
              </w:rPr>
              <w:t>XEF57200.1</w:t>
            </w:r>
          </w:p>
        </w:tc>
        <w:tc>
          <w:tcPr>
            <w:tcW w:type="dxa" w:w="1332"/>
            <w:vAlign w:val="center"/>
          </w:tcPr>
          <w:p>
            <w:pPr>
              <w:spacing w:after="0" w:line="240" w:lineRule="auto"/>
            </w:pPr>
            <w:r>
              <w:rPr>
                <w:rFonts w:ascii="Times New Roman" w:hAnsi="Times New Roman"/>
                <w:sz w:val="14"/>
              </w:rPr>
              <w:t>288</w:t>
            </w:r>
          </w:p>
        </w:tc>
        <w:tc>
          <w:tcPr>
            <w:tcW w:type="dxa" w:w="1332"/>
            <w:vAlign w:val="center"/>
          </w:tcPr>
          <w:p>
            <w:pPr>
              <w:spacing w:after="0" w:line="240" w:lineRule="auto"/>
            </w:pPr>
            <w:r>
              <w:rPr>
                <w:rFonts w:ascii="Times New Roman" w:hAnsi="Times New Roman"/>
                <w:sz w:val="14"/>
              </w:rPr>
              <w:t>2e-97</w:t>
            </w:r>
          </w:p>
        </w:tc>
        <w:tc>
          <w:tcPr>
            <w:tcW w:type="dxa" w:w="1332"/>
            <w:vAlign w:val="center"/>
          </w:tcPr>
          <w:p>
            <w:pPr>
              <w:spacing w:after="0" w:line="240" w:lineRule="auto"/>
            </w:pPr>
            <w:r>
              <w:rPr>
                <w:rFonts w:ascii="Times New Roman" w:hAnsi="Times New Roman"/>
                <w:sz w:val="14"/>
              </w:rPr>
              <w:t>100%</w:t>
            </w:r>
          </w:p>
        </w:tc>
        <w:tc>
          <w:tcPr>
            <w:tcW w:type="dxa" w:w="1332"/>
            <w:vAlign w:val="center"/>
          </w:tcPr>
          <w:p>
            <w:pPr>
              <w:spacing w:after="0" w:line="240" w:lineRule="auto"/>
            </w:pPr>
            <w:r>
              <w:rPr>
                <w:rFonts w:ascii="Times New Roman" w:hAnsi="Times New Roman"/>
                <w:sz w:val="14"/>
              </w:rPr>
              <w:t>86.47%</w:t>
            </w:r>
          </w:p>
        </w:tc>
      </w:tr>
      <w:tr>
        <w:tc>
          <w:tcPr>
            <w:tcW w:type="dxa" w:w="1332"/>
            <w:vAlign w:val="center"/>
          </w:tcPr>
          <w:p>
            <w:pPr>
              <w:spacing w:after="0" w:line="240" w:lineRule="auto"/>
            </w:pPr>
            <w:r>
              <w:rPr>
                <w:rFonts w:ascii="Times New Roman" w:hAnsi="Times New Roman"/>
                <w:sz w:val="14"/>
              </w:rPr>
              <w:t>2</w:t>
            </w:r>
          </w:p>
        </w:tc>
        <w:tc>
          <w:tcPr>
            <w:tcW w:type="dxa" w:w="1332"/>
            <w:vAlign w:val="center"/>
          </w:tcPr>
          <w:p>
            <w:pPr>
              <w:spacing w:after="0" w:line="240" w:lineRule="auto"/>
            </w:pPr>
            <w:r>
              <w:rPr>
                <w:rFonts w:ascii="Times New Roman" w:hAnsi="Times New Roman"/>
                <w:sz w:val="14"/>
              </w:rPr>
              <w:t>Beta-globin</w:t>
            </w:r>
          </w:p>
        </w:tc>
        <w:tc>
          <w:tcPr>
            <w:tcW w:type="dxa" w:w="1332"/>
            <w:vAlign w:val="center"/>
          </w:tcPr>
          <w:p>
            <w:pPr>
              <w:spacing w:after="0" w:line="240" w:lineRule="auto"/>
            </w:pPr>
            <w:r>
              <w:rPr>
                <w:rFonts w:ascii="Times New Roman" w:hAnsi="Times New Roman"/>
                <w:sz w:val="14"/>
              </w:rPr>
              <w:t>Homo sapiens</w:t>
            </w:r>
          </w:p>
        </w:tc>
        <w:tc>
          <w:tcPr>
            <w:tcW w:type="dxa" w:w="1332"/>
            <w:vAlign w:val="center"/>
          </w:tcPr>
          <w:p>
            <w:pPr>
              <w:spacing w:after="0" w:line="240" w:lineRule="auto"/>
            </w:pPr>
            <w:r>
              <w:rPr>
                <w:rFonts w:ascii="Times New Roman" w:hAnsi="Times New Roman"/>
                <w:sz w:val="14"/>
              </w:rPr>
              <w:t>AAA35597.1</w:t>
            </w:r>
          </w:p>
        </w:tc>
        <w:tc>
          <w:tcPr>
            <w:tcW w:type="dxa" w:w="1332"/>
            <w:vAlign w:val="center"/>
          </w:tcPr>
          <w:p>
            <w:pPr>
              <w:spacing w:after="0" w:line="240" w:lineRule="auto"/>
            </w:pPr>
            <w:r>
              <w:rPr>
                <w:rFonts w:ascii="Times New Roman" w:hAnsi="Times New Roman"/>
                <w:sz w:val="14"/>
              </w:rPr>
              <w:t>277</w:t>
            </w:r>
          </w:p>
        </w:tc>
        <w:tc>
          <w:tcPr>
            <w:tcW w:type="dxa" w:w="1332"/>
            <w:vAlign w:val="center"/>
          </w:tcPr>
          <w:p>
            <w:pPr>
              <w:spacing w:after="0" w:line="240" w:lineRule="auto"/>
            </w:pPr>
            <w:r>
              <w:rPr>
                <w:rFonts w:ascii="Times New Roman" w:hAnsi="Times New Roman"/>
                <w:sz w:val="14"/>
              </w:rPr>
              <w:t>2e-93</w:t>
            </w:r>
          </w:p>
        </w:tc>
        <w:tc>
          <w:tcPr>
            <w:tcW w:type="dxa" w:w="1332"/>
            <w:vAlign w:val="center"/>
          </w:tcPr>
          <w:p>
            <w:pPr>
              <w:spacing w:after="0" w:line="240" w:lineRule="auto"/>
            </w:pPr>
            <w:r>
              <w:rPr>
                <w:rFonts w:ascii="Times New Roman" w:hAnsi="Times New Roman"/>
                <w:sz w:val="14"/>
              </w:rPr>
              <w:t>100%</w:t>
            </w:r>
          </w:p>
        </w:tc>
        <w:tc>
          <w:tcPr>
            <w:tcW w:type="dxa" w:w="1332"/>
            <w:vAlign w:val="center"/>
          </w:tcPr>
          <w:p>
            <w:pPr>
              <w:spacing w:after="0" w:line="240" w:lineRule="auto"/>
            </w:pPr>
            <w:r>
              <w:rPr>
                <w:rFonts w:ascii="Times New Roman" w:hAnsi="Times New Roman"/>
                <w:sz w:val="14"/>
              </w:rPr>
              <w:t>93.20%</w:t>
            </w:r>
          </w:p>
        </w:tc>
      </w:tr>
      <w:tr>
        <w:tc>
          <w:tcPr>
            <w:tcW w:type="dxa" w:w="1332"/>
            <w:vAlign w:val="center"/>
          </w:tcPr>
          <w:p>
            <w:pPr>
              <w:spacing w:after="0" w:line="240" w:lineRule="auto"/>
            </w:pPr>
            <w:r>
              <w:rPr>
                <w:rFonts w:ascii="Times New Roman" w:hAnsi="Times New Roman"/>
                <w:sz w:val="14"/>
              </w:rPr>
              <w:t>3</w:t>
            </w:r>
          </w:p>
        </w:tc>
        <w:tc>
          <w:tcPr>
            <w:tcW w:type="dxa" w:w="1332"/>
            <w:vAlign w:val="center"/>
          </w:tcPr>
          <w:p>
            <w:pPr>
              <w:spacing w:after="0" w:line="240" w:lineRule="auto"/>
            </w:pPr>
            <w:r>
              <w:rPr>
                <w:rFonts w:ascii="Times New Roman" w:hAnsi="Times New Roman"/>
                <w:sz w:val="14"/>
              </w:rPr>
              <w:t>Hemoglobin subunit beta-like</w:t>
            </w:r>
          </w:p>
        </w:tc>
        <w:tc>
          <w:tcPr>
            <w:tcW w:type="dxa" w:w="1332"/>
            <w:vAlign w:val="center"/>
          </w:tcPr>
          <w:p>
            <w:pPr>
              <w:spacing w:after="0" w:line="240" w:lineRule="auto"/>
            </w:pPr>
            <w:r>
              <w:rPr>
                <w:rFonts w:ascii="Times New Roman" w:hAnsi="Times New Roman"/>
                <w:sz w:val="14"/>
              </w:rPr>
              <w:t>Canis lupus familiaris</w:t>
            </w:r>
          </w:p>
        </w:tc>
        <w:tc>
          <w:tcPr>
            <w:tcW w:type="dxa" w:w="1332"/>
            <w:vAlign w:val="center"/>
          </w:tcPr>
          <w:p>
            <w:pPr>
              <w:spacing w:after="0" w:line="240" w:lineRule="auto"/>
            </w:pPr>
            <w:r>
              <w:rPr>
                <w:rFonts w:ascii="Times New Roman" w:hAnsi="Times New Roman"/>
                <w:sz w:val="14"/>
              </w:rPr>
              <w:t>NP_001257812.1</w:t>
            </w:r>
          </w:p>
        </w:tc>
        <w:tc>
          <w:tcPr>
            <w:tcW w:type="dxa" w:w="1332"/>
            <w:vAlign w:val="center"/>
          </w:tcPr>
          <w:p>
            <w:pPr>
              <w:spacing w:after="0" w:line="240" w:lineRule="auto"/>
            </w:pPr>
            <w:r>
              <w:rPr>
                <w:rFonts w:ascii="Times New Roman" w:hAnsi="Times New Roman"/>
                <w:sz w:val="14"/>
              </w:rPr>
              <w:t>275</w:t>
            </w:r>
          </w:p>
        </w:tc>
        <w:tc>
          <w:tcPr>
            <w:tcW w:type="dxa" w:w="1332"/>
            <w:vAlign w:val="center"/>
          </w:tcPr>
          <w:p>
            <w:pPr>
              <w:spacing w:after="0" w:line="240" w:lineRule="auto"/>
            </w:pPr>
            <w:r>
              <w:rPr>
                <w:rFonts w:ascii="Times New Roman" w:hAnsi="Times New Roman"/>
                <w:sz w:val="14"/>
              </w:rPr>
              <w:t>1e-92</w:t>
            </w:r>
          </w:p>
        </w:tc>
        <w:tc>
          <w:tcPr>
            <w:tcW w:type="dxa" w:w="1332"/>
            <w:vAlign w:val="center"/>
          </w:tcPr>
          <w:p>
            <w:pPr>
              <w:spacing w:after="0" w:line="240" w:lineRule="auto"/>
            </w:pPr>
            <w:r>
              <w:rPr>
                <w:rFonts w:ascii="Times New Roman" w:hAnsi="Times New Roman"/>
                <w:sz w:val="14"/>
              </w:rPr>
              <w:t>100%</w:t>
            </w:r>
          </w:p>
        </w:tc>
        <w:tc>
          <w:tcPr>
            <w:tcW w:type="dxa" w:w="1332"/>
            <w:vAlign w:val="center"/>
          </w:tcPr>
          <w:p>
            <w:pPr>
              <w:spacing w:after="0" w:line="240" w:lineRule="auto"/>
            </w:pPr>
            <w:r>
              <w:rPr>
                <w:rFonts w:ascii="Times New Roman" w:hAnsi="Times New Roman"/>
                <w:sz w:val="14"/>
              </w:rPr>
              <w:t>89.80%</w:t>
            </w:r>
          </w:p>
        </w:tc>
      </w:tr>
      <w:tr>
        <w:tc>
          <w:tcPr>
            <w:tcW w:type="dxa" w:w="1332"/>
            <w:vAlign w:val="center"/>
          </w:tcPr>
          <w:p>
            <w:pPr>
              <w:spacing w:after="0" w:line="240" w:lineRule="auto"/>
            </w:pPr>
            <w:r>
              <w:rPr>
                <w:rFonts w:ascii="Times New Roman" w:hAnsi="Times New Roman"/>
                <w:sz w:val="14"/>
              </w:rPr>
              <w:t>4</w:t>
            </w:r>
          </w:p>
        </w:tc>
        <w:tc>
          <w:tcPr>
            <w:tcW w:type="dxa" w:w="1332"/>
            <w:vAlign w:val="center"/>
          </w:tcPr>
          <w:p>
            <w:pPr>
              <w:spacing w:after="0" w:line="240" w:lineRule="auto"/>
            </w:pPr>
            <w:r>
              <w:rPr>
                <w:rFonts w:ascii="Times New Roman" w:hAnsi="Times New Roman"/>
                <w:sz w:val="14"/>
              </w:rPr>
              <w:t>Hemoglobin subunit delta</w:t>
            </w:r>
          </w:p>
        </w:tc>
        <w:tc>
          <w:tcPr>
            <w:tcW w:type="dxa" w:w="1332"/>
            <w:vAlign w:val="center"/>
          </w:tcPr>
          <w:p>
            <w:pPr>
              <w:spacing w:after="0" w:line="240" w:lineRule="auto"/>
            </w:pPr>
            <w:r>
              <w:rPr>
                <w:rFonts w:ascii="Times New Roman" w:hAnsi="Times New Roman"/>
                <w:sz w:val="14"/>
              </w:rPr>
              <w:t>Ailuropoda melanoleuca</w:t>
            </w:r>
          </w:p>
        </w:tc>
        <w:tc>
          <w:tcPr>
            <w:tcW w:type="dxa" w:w="1332"/>
            <w:vAlign w:val="center"/>
          </w:tcPr>
          <w:p>
            <w:pPr>
              <w:spacing w:after="0" w:line="240" w:lineRule="auto"/>
            </w:pPr>
            <w:r>
              <w:rPr>
                <w:rFonts w:ascii="Times New Roman" w:hAnsi="Times New Roman"/>
                <w:sz w:val="14"/>
              </w:rPr>
              <w:t>NP_001291814.1</w:t>
            </w:r>
          </w:p>
        </w:tc>
        <w:tc>
          <w:tcPr>
            <w:tcW w:type="dxa" w:w="1332"/>
            <w:vAlign w:val="center"/>
          </w:tcPr>
          <w:p>
            <w:pPr>
              <w:spacing w:after="0" w:line="240" w:lineRule="auto"/>
            </w:pPr>
            <w:r>
              <w:rPr>
                <w:rFonts w:ascii="Times New Roman" w:hAnsi="Times New Roman"/>
                <w:sz w:val="14"/>
              </w:rPr>
              <w:t>273</w:t>
            </w:r>
          </w:p>
        </w:tc>
        <w:tc>
          <w:tcPr>
            <w:tcW w:type="dxa" w:w="1332"/>
            <w:vAlign w:val="center"/>
          </w:tcPr>
          <w:p>
            <w:pPr>
              <w:spacing w:after="0" w:line="240" w:lineRule="auto"/>
            </w:pPr>
            <w:r>
              <w:rPr>
                <w:rFonts w:ascii="Times New Roman" w:hAnsi="Times New Roman"/>
                <w:sz w:val="14"/>
              </w:rPr>
              <w:t>7e-92</w:t>
            </w:r>
          </w:p>
        </w:tc>
        <w:tc>
          <w:tcPr>
            <w:tcW w:type="dxa" w:w="1332"/>
            <w:vAlign w:val="center"/>
          </w:tcPr>
          <w:p>
            <w:pPr>
              <w:spacing w:after="0" w:line="240" w:lineRule="auto"/>
            </w:pPr>
            <w:r>
              <w:rPr>
                <w:rFonts w:ascii="Times New Roman" w:hAnsi="Times New Roman"/>
                <w:sz w:val="14"/>
              </w:rPr>
              <w:t>100%</w:t>
            </w:r>
          </w:p>
        </w:tc>
        <w:tc>
          <w:tcPr>
            <w:tcW w:type="dxa" w:w="1332"/>
            <w:vAlign w:val="center"/>
          </w:tcPr>
          <w:p>
            <w:pPr>
              <w:spacing w:after="0" w:line="240" w:lineRule="auto"/>
            </w:pPr>
            <w:r>
              <w:rPr>
                <w:rFonts w:ascii="Times New Roman" w:hAnsi="Times New Roman"/>
                <w:sz w:val="14"/>
              </w:rPr>
              <w:t>89.80%</w:t>
            </w:r>
          </w:p>
        </w:tc>
      </w:tr>
      <w:tr>
        <w:tc>
          <w:tcPr>
            <w:tcW w:type="dxa" w:w="1332"/>
            <w:vAlign w:val="center"/>
          </w:tcPr>
          <w:p>
            <w:pPr>
              <w:spacing w:after="0" w:line="240" w:lineRule="auto"/>
            </w:pPr>
            <w:r>
              <w:rPr>
                <w:rFonts w:ascii="Times New Roman" w:hAnsi="Times New Roman"/>
                <w:sz w:val="14"/>
              </w:rPr>
              <w:t>5</w:t>
            </w:r>
          </w:p>
        </w:tc>
        <w:tc>
          <w:tcPr>
            <w:tcW w:type="dxa" w:w="1332"/>
            <w:vAlign w:val="center"/>
          </w:tcPr>
          <w:p>
            <w:pPr>
              <w:spacing w:after="0" w:line="240" w:lineRule="auto"/>
            </w:pPr>
            <w:r>
              <w:rPr>
                <w:rFonts w:ascii="Times New Roman" w:hAnsi="Times New Roman"/>
                <w:sz w:val="14"/>
              </w:rPr>
              <w:t>Hemoglobin subunit beta-like</w:t>
            </w:r>
          </w:p>
        </w:tc>
        <w:tc>
          <w:tcPr>
            <w:tcW w:type="dxa" w:w="1332"/>
            <w:vAlign w:val="center"/>
          </w:tcPr>
          <w:p>
            <w:pPr>
              <w:spacing w:after="0" w:line="240" w:lineRule="auto"/>
            </w:pPr>
            <w:r>
              <w:rPr>
                <w:rFonts w:ascii="Times New Roman" w:hAnsi="Times New Roman"/>
                <w:sz w:val="14"/>
              </w:rPr>
              <w:t>Ailuropoda melanoleuca</w:t>
            </w:r>
          </w:p>
        </w:tc>
        <w:tc>
          <w:tcPr>
            <w:tcW w:type="dxa" w:w="1332"/>
            <w:vAlign w:val="center"/>
          </w:tcPr>
          <w:p>
            <w:pPr>
              <w:spacing w:after="0" w:line="240" w:lineRule="auto"/>
            </w:pPr>
            <w:r>
              <w:rPr>
                <w:rFonts w:ascii="Times New Roman" w:hAnsi="Times New Roman"/>
                <w:sz w:val="14"/>
              </w:rPr>
              <w:t>NP_001291812.1</w:t>
            </w:r>
          </w:p>
        </w:tc>
        <w:tc>
          <w:tcPr>
            <w:tcW w:type="dxa" w:w="1332"/>
            <w:vAlign w:val="center"/>
          </w:tcPr>
          <w:p>
            <w:pPr>
              <w:spacing w:after="0" w:line="240" w:lineRule="auto"/>
            </w:pPr>
            <w:r>
              <w:rPr>
                <w:rFonts w:ascii="Times New Roman" w:hAnsi="Times New Roman"/>
                <w:sz w:val="14"/>
              </w:rPr>
              <w:t>273</w:t>
            </w:r>
          </w:p>
        </w:tc>
        <w:tc>
          <w:tcPr>
            <w:tcW w:type="dxa" w:w="1332"/>
            <w:vAlign w:val="center"/>
          </w:tcPr>
          <w:p>
            <w:pPr>
              <w:spacing w:after="0" w:line="240" w:lineRule="auto"/>
            </w:pPr>
            <w:r>
              <w:rPr>
                <w:rFonts w:ascii="Times New Roman" w:hAnsi="Times New Roman"/>
                <w:sz w:val="14"/>
              </w:rPr>
              <w:t>7e-92</w:t>
            </w:r>
          </w:p>
        </w:tc>
        <w:tc>
          <w:tcPr>
            <w:tcW w:type="dxa" w:w="1332"/>
            <w:vAlign w:val="center"/>
          </w:tcPr>
          <w:p>
            <w:pPr>
              <w:spacing w:after="0" w:line="240" w:lineRule="auto"/>
            </w:pPr>
            <w:r>
              <w:rPr>
                <w:rFonts w:ascii="Times New Roman" w:hAnsi="Times New Roman"/>
                <w:sz w:val="14"/>
              </w:rPr>
              <w:t>100%</w:t>
            </w:r>
          </w:p>
        </w:tc>
        <w:tc>
          <w:tcPr>
            <w:tcW w:type="dxa" w:w="1332"/>
            <w:vAlign w:val="center"/>
          </w:tcPr>
          <w:p>
            <w:pPr>
              <w:spacing w:after="0" w:line="240" w:lineRule="auto"/>
            </w:pPr>
            <w:r>
              <w:rPr>
                <w:rFonts w:ascii="Times New Roman" w:hAnsi="Times New Roman"/>
                <w:sz w:val="14"/>
              </w:rPr>
              <w:t>89.80%</w:t>
            </w:r>
          </w:p>
        </w:tc>
      </w:tr>
    </w:tbl>
    <w:p>
      <w:pPr>
        <w:spacing w:after="0" w:before="40"/>
        <w:jc w:val="center"/>
      </w:pPr>
      <w:r>
        <w:drawing>
          <wp:inline xmlns:a="http://schemas.openxmlformats.org/drawingml/2006/main" xmlns:pic="http://schemas.openxmlformats.org/drawingml/2006/picture">
            <wp:extent cx="4251960" cy="323808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251960" cy="3238085"/>
                    </a:xfrm>
                    <a:prstGeom prst="rect"/>
                  </pic:spPr>
                </pic:pic>
              </a:graphicData>
            </a:graphic>
          </wp:inline>
        </w:drawing>
      </w:r>
    </w:p>
    <w:p>
      <w:pPr>
        <w:spacing w:after="20" w:before="0" w:line="240" w:lineRule="auto"/>
        <w:jc w:val="center"/>
      </w:pPr>
      <w:r>
        <w:rPr>
          <w:rFonts w:ascii="Times New Roman" w:hAnsi="Times New Roman"/>
          <w:b w:val="0"/>
          <w:i/>
          <w:sz w:val="17"/>
        </w:rPr>
        <w:t>Figure 2. BLASTp results showing homologous protein sequences</w:t>
      </w:r>
    </w:p>
    <w:p>
      <w:pPr>
        <w:spacing w:after="20" w:before="40" w:line="240" w:lineRule="auto"/>
      </w:pPr>
      <w:r>
        <w:rPr>
          <w:rFonts w:ascii="Times New Roman" w:hAnsi="Times New Roman"/>
          <w:b/>
          <w:sz w:val="23"/>
        </w:rPr>
        <w:t>7. Interpretation of BLASTp Results</w:t>
      </w:r>
    </w:p>
    <w:p>
      <w:pPr>
        <w:spacing w:after="20" w:before="0" w:line="240" w:lineRule="auto"/>
      </w:pPr>
      <w:r>
        <w:rPr>
          <w:rFonts w:ascii="Times New Roman" w:hAnsi="Times New Roman"/>
          <w:b w:val="0"/>
          <w:sz w:val="19"/>
        </w:rPr>
        <w:t>All five selected hits showed 100% query coverage, indicating that the complete query sequence was represented in the reported alignments. Percentage identity ranged from 86.47% to 93.20%, with the beta-globin protein from Homo sapiens showing the highest identity (93.20%) among the five selected hits.</w:t>
      </w:r>
    </w:p>
    <w:p>
      <w:pPr>
        <w:spacing w:after="20" w:before="0" w:line="240" w:lineRule="auto"/>
      </w:pPr>
      <w:r>
        <w:rPr>
          <w:rFonts w:ascii="Times New Roman" w:hAnsi="Times New Roman"/>
          <w:b w:val="0"/>
          <w:sz w:val="19"/>
        </w:rPr>
        <w:t>The alignment scores ranged from 273 to 288 bits. The Hb Monza protein showed the highest score (288 bits). The E-values ranged from 2e-97 to 7e-92, indicating that the observed sequence similarities are statistically significant and very unlikely to have occurred by chance.</w:t>
      </w:r>
    </w:p>
    <w:p>
      <w:pPr>
        <w:spacing w:after="20" w:before="0" w:line="240" w:lineRule="auto"/>
      </w:pPr>
      <w:r>
        <w:rPr>
          <w:rFonts w:ascii="Times New Roman" w:hAnsi="Times New Roman"/>
          <w:b w:val="0"/>
          <w:sz w:val="19"/>
        </w:rPr>
        <w:t>Overall, the BLASTp results demonstrate strong sequence similarity between the HBB query protein and several hemoglobin-related proteins.</w:t>
      </w:r>
    </w:p>
    <w:p>
      <w:r>
        <w:br w:type="page"/>
      </w:r>
    </w:p>
    <w:p>
      <w:pPr>
        <w:spacing w:after="20" w:before="40" w:line="240" w:lineRule="auto"/>
      </w:pPr>
      <w:r>
        <w:rPr>
          <w:rFonts w:ascii="Times New Roman" w:hAnsi="Times New Roman"/>
          <w:b/>
          <w:sz w:val="23"/>
        </w:rPr>
        <w:t>8. Pairwise Sequence Alignment Analysis</w:t>
      </w:r>
    </w:p>
    <w:p>
      <w:pPr>
        <w:spacing w:after="20" w:before="0" w:line="240" w:lineRule="auto"/>
      </w:pPr>
      <w:r>
        <w:rPr>
          <w:rFonts w:ascii="Times New Roman" w:hAnsi="Times New Roman"/>
          <w:b w:val="0"/>
          <w:sz w:val="19"/>
        </w:rPr>
        <w:t>The pairwise alignment of the human HBB query sequence with the beta-globin [Homo sapiens] hit was examined to further evaluate sequence similarity.</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pPr>
              <w:spacing w:after="0" w:line="240" w:lineRule="auto"/>
            </w:pPr>
            <w:r>
              <w:rPr>
                <w:rFonts w:ascii="Times New Roman" w:hAnsi="Times New Roman"/>
                <w:sz w:val="17"/>
              </w:rPr>
              <w:t>Parameter</w:t>
            </w:r>
          </w:p>
        </w:tc>
        <w:tc>
          <w:tcPr>
            <w:tcW w:type="dxa" w:w="5328"/>
            <w:vAlign w:val="center"/>
          </w:tcPr>
          <w:p>
            <w:pPr>
              <w:spacing w:after="0" w:line="240" w:lineRule="auto"/>
            </w:pPr>
            <w:r>
              <w:rPr>
                <w:rFonts w:ascii="Times New Roman" w:hAnsi="Times New Roman"/>
                <w:sz w:val="17"/>
              </w:rPr>
              <w:t>Result</w:t>
            </w:r>
          </w:p>
        </w:tc>
      </w:tr>
      <w:tr>
        <w:tc>
          <w:tcPr>
            <w:tcW w:type="dxa" w:w="5328"/>
            <w:vAlign w:val="center"/>
          </w:tcPr>
          <w:p>
            <w:pPr>
              <w:spacing w:after="0" w:line="240" w:lineRule="auto"/>
            </w:pPr>
            <w:r>
              <w:rPr>
                <w:rFonts w:ascii="Times New Roman" w:hAnsi="Times New Roman"/>
                <w:sz w:val="17"/>
              </w:rPr>
              <w:t>Alignment score</w:t>
            </w:r>
          </w:p>
        </w:tc>
        <w:tc>
          <w:tcPr>
            <w:tcW w:type="dxa" w:w="5328"/>
            <w:vAlign w:val="center"/>
          </w:tcPr>
          <w:p>
            <w:pPr>
              <w:spacing w:after="0" w:line="240" w:lineRule="auto"/>
            </w:pPr>
            <w:r>
              <w:rPr>
                <w:rFonts w:ascii="Times New Roman" w:hAnsi="Times New Roman"/>
                <w:sz w:val="17"/>
              </w:rPr>
              <w:t>277 bits</w:t>
            </w:r>
          </w:p>
        </w:tc>
      </w:tr>
      <w:tr>
        <w:tc>
          <w:tcPr>
            <w:tcW w:type="dxa" w:w="5328"/>
            <w:vAlign w:val="center"/>
          </w:tcPr>
          <w:p>
            <w:pPr>
              <w:spacing w:after="0" w:line="240" w:lineRule="auto"/>
            </w:pPr>
            <w:r>
              <w:rPr>
                <w:rFonts w:ascii="Times New Roman" w:hAnsi="Times New Roman"/>
                <w:sz w:val="17"/>
              </w:rPr>
              <w:t>E-value</w:t>
            </w:r>
          </w:p>
        </w:tc>
        <w:tc>
          <w:tcPr>
            <w:tcW w:type="dxa" w:w="5328"/>
            <w:vAlign w:val="center"/>
          </w:tcPr>
          <w:p>
            <w:pPr>
              <w:spacing w:after="0" w:line="240" w:lineRule="auto"/>
            </w:pPr>
            <w:r>
              <w:rPr>
                <w:rFonts w:ascii="Times New Roman" w:hAnsi="Times New Roman"/>
                <w:sz w:val="17"/>
              </w:rPr>
              <w:t>2e-93</w:t>
            </w:r>
          </w:p>
        </w:tc>
      </w:tr>
      <w:tr>
        <w:tc>
          <w:tcPr>
            <w:tcW w:type="dxa" w:w="5328"/>
            <w:vAlign w:val="center"/>
          </w:tcPr>
          <w:p>
            <w:pPr>
              <w:spacing w:after="0" w:line="240" w:lineRule="auto"/>
            </w:pPr>
            <w:r>
              <w:rPr>
                <w:rFonts w:ascii="Times New Roman" w:hAnsi="Times New Roman"/>
                <w:sz w:val="17"/>
              </w:rPr>
              <w:t>Identical residues</w:t>
            </w:r>
          </w:p>
        </w:tc>
        <w:tc>
          <w:tcPr>
            <w:tcW w:type="dxa" w:w="5328"/>
            <w:vAlign w:val="center"/>
          </w:tcPr>
          <w:p>
            <w:pPr>
              <w:spacing w:after="0" w:line="240" w:lineRule="auto"/>
            </w:pPr>
            <w:r>
              <w:rPr>
                <w:rFonts w:ascii="Times New Roman" w:hAnsi="Times New Roman"/>
                <w:sz w:val="17"/>
              </w:rPr>
              <w:t>137/147 (93%)</w:t>
            </w:r>
          </w:p>
        </w:tc>
      </w:tr>
      <w:tr>
        <w:tc>
          <w:tcPr>
            <w:tcW w:type="dxa" w:w="5328"/>
            <w:vAlign w:val="center"/>
          </w:tcPr>
          <w:p>
            <w:pPr>
              <w:spacing w:after="0" w:line="240" w:lineRule="auto"/>
            </w:pPr>
            <w:r>
              <w:rPr>
                <w:rFonts w:ascii="Times New Roman" w:hAnsi="Times New Roman"/>
                <w:sz w:val="17"/>
              </w:rPr>
              <w:t>Positive residues</w:t>
            </w:r>
          </w:p>
        </w:tc>
        <w:tc>
          <w:tcPr>
            <w:tcW w:type="dxa" w:w="5328"/>
            <w:vAlign w:val="center"/>
          </w:tcPr>
          <w:p>
            <w:pPr>
              <w:spacing w:after="0" w:line="240" w:lineRule="auto"/>
            </w:pPr>
            <w:r>
              <w:rPr>
                <w:rFonts w:ascii="Times New Roman" w:hAnsi="Times New Roman"/>
                <w:sz w:val="17"/>
              </w:rPr>
              <w:t>137/147 (93%)</w:t>
            </w:r>
          </w:p>
        </w:tc>
      </w:tr>
      <w:tr>
        <w:tc>
          <w:tcPr>
            <w:tcW w:type="dxa" w:w="5328"/>
            <w:vAlign w:val="center"/>
          </w:tcPr>
          <w:p>
            <w:pPr>
              <w:spacing w:after="0" w:line="240" w:lineRule="auto"/>
            </w:pPr>
            <w:r>
              <w:rPr>
                <w:rFonts w:ascii="Times New Roman" w:hAnsi="Times New Roman"/>
                <w:sz w:val="17"/>
              </w:rPr>
              <w:t>Gaps</w:t>
            </w:r>
          </w:p>
        </w:tc>
        <w:tc>
          <w:tcPr>
            <w:tcW w:type="dxa" w:w="5328"/>
            <w:vAlign w:val="center"/>
          </w:tcPr>
          <w:p>
            <w:pPr>
              <w:spacing w:after="0" w:line="240" w:lineRule="auto"/>
            </w:pPr>
            <w:r>
              <w:rPr>
                <w:rFonts w:ascii="Times New Roman" w:hAnsi="Times New Roman"/>
                <w:sz w:val="17"/>
              </w:rPr>
              <w:t>0/147 (0%)</w:t>
            </w:r>
          </w:p>
        </w:tc>
      </w:tr>
      <w:tr>
        <w:tc>
          <w:tcPr>
            <w:tcW w:type="dxa" w:w="5328"/>
            <w:vAlign w:val="center"/>
          </w:tcPr>
          <w:p>
            <w:pPr>
              <w:spacing w:after="0" w:line="240" w:lineRule="auto"/>
            </w:pPr>
            <w:r>
              <w:rPr>
                <w:rFonts w:ascii="Times New Roman" w:hAnsi="Times New Roman"/>
                <w:sz w:val="17"/>
              </w:rPr>
              <w:t>Query coverage</w:t>
            </w:r>
          </w:p>
        </w:tc>
        <w:tc>
          <w:tcPr>
            <w:tcW w:type="dxa" w:w="5328"/>
            <w:vAlign w:val="center"/>
          </w:tcPr>
          <w:p>
            <w:pPr>
              <w:spacing w:after="0" w:line="240" w:lineRule="auto"/>
            </w:pPr>
            <w:r>
              <w:rPr>
                <w:rFonts w:ascii="Times New Roman" w:hAnsi="Times New Roman"/>
                <w:sz w:val="17"/>
              </w:rPr>
              <w:t>100%</w:t>
            </w:r>
          </w:p>
        </w:tc>
      </w:tr>
    </w:tbl>
    <w:p>
      <w:pPr>
        <w:spacing w:after="0" w:before="40"/>
        <w:jc w:val="center"/>
      </w:pPr>
      <w:r>
        <w:drawing>
          <wp:inline xmlns:a="http://schemas.openxmlformats.org/drawingml/2006/main" xmlns:pic="http://schemas.openxmlformats.org/drawingml/2006/picture">
            <wp:extent cx="4251960" cy="3266574"/>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251960" cy="3266574"/>
                    </a:xfrm>
                    <a:prstGeom prst="rect"/>
                  </pic:spPr>
                </pic:pic>
              </a:graphicData>
            </a:graphic>
          </wp:inline>
        </w:drawing>
      </w:r>
    </w:p>
    <w:p>
      <w:pPr>
        <w:spacing w:after="20" w:before="0" w:line="240" w:lineRule="auto"/>
        <w:jc w:val="center"/>
      </w:pPr>
      <w:r>
        <w:rPr>
          <w:rFonts w:ascii="Times New Roman" w:hAnsi="Times New Roman"/>
          <w:b w:val="0"/>
          <w:i/>
          <w:sz w:val="17"/>
        </w:rPr>
        <w:t>Figure 3. Pairwise BLASTp alignment</w:t>
      </w:r>
    </w:p>
    <w:p>
      <w:pPr>
        <w:spacing w:after="20" w:before="40" w:line="240" w:lineRule="auto"/>
      </w:pPr>
      <w:r>
        <w:rPr>
          <w:rFonts w:ascii="Times New Roman" w:hAnsi="Times New Roman"/>
          <w:b/>
          <w:sz w:val="23"/>
        </w:rPr>
        <w:t>Interpretation of Alignment</w:t>
      </w:r>
    </w:p>
    <w:p>
      <w:pPr>
        <w:spacing w:after="20" w:before="0" w:line="240" w:lineRule="auto"/>
      </w:pPr>
      <w:r>
        <w:rPr>
          <w:rFonts w:ascii="Times New Roman" w:hAnsi="Times New Roman"/>
          <w:b w:val="0"/>
          <w:sz w:val="19"/>
        </w:rPr>
        <w:t>The pairwise alignment showed 137 identical amino-acid residues out of 147, corresponding to 93% sequence identity. The alignment also showed 93% positive residues, indicating that the aligned amino acids were either identical or had similar biochemical properties. The alignment had no gaps and the query coverage was 100%, indicating that the complete HBB query sequence was aligned with the subject sequence.</w:t>
      </w:r>
    </w:p>
    <w:p>
      <w:pPr>
        <w:spacing w:after="20" w:before="0" w:line="240" w:lineRule="auto"/>
      </w:pPr>
      <w:r>
        <w:rPr>
          <w:rFonts w:ascii="Times New Roman" w:hAnsi="Times New Roman"/>
          <w:b w:val="0"/>
          <w:sz w:val="19"/>
        </w:rPr>
        <w:t>The 277-bit alignment score and extremely low E-value of 2e-93 further support the statistical significance of the alignment.</w:t>
      </w:r>
    </w:p>
    <w:p>
      <w:pPr>
        <w:spacing w:after="20" w:before="40" w:line="240" w:lineRule="auto"/>
      </w:pPr>
      <w:r>
        <w:rPr>
          <w:rFonts w:ascii="Times New Roman" w:hAnsi="Times New Roman"/>
          <w:b/>
          <w:sz w:val="23"/>
        </w:rPr>
        <w:t>9. Discussion</w:t>
      </w:r>
    </w:p>
    <w:p>
      <w:pPr>
        <w:spacing w:after="20" w:before="0" w:line="240" w:lineRule="auto"/>
      </w:pPr>
      <w:r>
        <w:rPr>
          <w:rFonts w:ascii="Times New Roman" w:hAnsi="Times New Roman"/>
          <w:b w:val="0"/>
          <w:sz w:val="19"/>
        </w:rPr>
        <w:t>BLASTp analysis is useful for identifying proteins related to a given query sequence. In this analysis, the human hemoglobin subunit beta sequence produced several significant matches in the protein database. High query coverage and high percentage identity indicate that many amino-acid residues are conserved among the identified hemoglobin-related proteins. The very low E-values indicate that the observed alignments are highly unlikely to be obtained by chance.</w:t>
      </w:r>
    </w:p>
    <w:p>
      <w:pPr>
        <w:spacing w:after="20" w:before="40" w:line="240" w:lineRule="auto"/>
      </w:pPr>
      <w:r>
        <w:rPr>
          <w:rFonts w:ascii="Times New Roman" w:hAnsi="Times New Roman"/>
          <w:b/>
          <w:sz w:val="23"/>
        </w:rPr>
        <w:t>10. Conclusion</w:t>
      </w:r>
    </w:p>
    <w:p>
      <w:pPr>
        <w:spacing w:after="20" w:before="0" w:line="240" w:lineRule="auto"/>
      </w:pPr>
      <w:r>
        <w:rPr>
          <w:rFonts w:ascii="Times New Roman" w:hAnsi="Times New Roman"/>
          <w:b w:val="0"/>
          <w:sz w:val="19"/>
        </w:rPr>
        <w:t>The human hemoglobin subunit beta protein sequence (NP_000509.1) was successfully retrieved from the NCBI Protein database and analyzed using BLASTp. Several homologous hemoglobin-related proteins were identified. The selected BLAST results showed 100% query coverage, high sequence identity and extremely low E-values. The detailed pairwise alignment showed 93% identity, 93% positive residues, 0% gaps, a 277-bit score and an E-value of 2e-93.</w:t>
      </w:r>
    </w:p>
    <w:p>
      <w:pPr>
        <w:spacing w:after="20" w:before="40" w:line="240" w:lineRule="auto"/>
      </w:pPr>
      <w:r>
        <w:rPr>
          <w:rFonts w:ascii="Times New Roman" w:hAnsi="Times New Roman"/>
          <w:b/>
          <w:sz w:val="23"/>
        </w:rPr>
        <w:t>11. References</w:t>
      </w:r>
    </w:p>
    <w:p>
      <w:pPr>
        <w:spacing w:after="20" w:before="0" w:line="240" w:lineRule="auto"/>
      </w:pPr>
      <w:r>
        <w:rPr>
          <w:rFonts w:ascii="Times New Roman" w:hAnsi="Times New Roman"/>
          <w:b w:val="0"/>
          <w:sz w:val="19"/>
        </w:rPr>
        <w:t>1. National Center for Biotechnology Information (NCBI), Protein Database — Human hemoglobin subunit beta, accession NP_000509.1.</w:t>
      </w:r>
    </w:p>
    <w:p>
      <w:pPr>
        <w:spacing w:after="20" w:before="0" w:line="240" w:lineRule="auto"/>
      </w:pPr>
      <w:r>
        <w:rPr>
          <w:rFonts w:ascii="Times New Roman" w:hAnsi="Times New Roman"/>
          <w:b w:val="0"/>
          <w:sz w:val="19"/>
        </w:rPr>
        <w:t>2. National Center for Biotechnology Information (NCBI), BLAST: Basic Local Alignment Search Tool.</w:t>
      </w:r>
    </w:p>
    <w:p>
      <w:pPr>
        <w:spacing w:after="20" w:before="0" w:line="240" w:lineRule="auto"/>
      </w:pPr>
      <w:r>
        <w:rPr>
          <w:rFonts w:ascii="Times New Roman" w:hAnsi="Times New Roman"/>
          <w:b w:val="0"/>
          <w:sz w:val="19"/>
        </w:rPr>
        <w:t>3. UniProt Knowledgebase, Hemoglobin subunit beta (HBB), Homo sapiens, UniProt accession P68871.</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