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BANKING FINANCIAL STATEMENT</w:t>
      </w:r>
    </w:p>
    <w:p>
      <w:pPr>
        <w:jc w:val="center"/>
      </w:pPr>
      <w:r>
        <w:rPr>
          <w:b/>
          <w:bCs/>
          <w:color w:val="1F3864"/>
          <w:sz w:val="44"/>
          <w:szCs w:val="44"/>
        </w:rPr>
        <w:t xml:space="preserve">REVIEW AUTOMATION</w:t>
      </w:r>
    </w:p>
    <w:p>
      <w:pPr>
        <w:spacing w:before="300"/>
        <w:jc w:val="center"/>
      </w:pPr>
      <w:r>
        <w:rPr>
          <w:i/>
          <w:iCs/>
          <w:color w:val="B8860B"/>
          <w:sz w:val="26"/>
          <w:szCs w:val="26"/>
        </w:rPr>
        <w:t xml:space="preserve">An AI-Assisted Audit Copilot — Advanced MVP Blueprint</w:t>
      </w:r>
    </w:p>
    <w:p>
      <w:pPr>
        <w:spacing w:before="500"/>
        <w:jc w:val="center"/>
      </w:pPr>
      <w:r>
        <w:rPr>
          <w:color w:val="333333"/>
          <w:sz w:val="22"/>
          <w:szCs w:val="22"/>
        </w:rPr>
        <w:t xml:space="preserve">Prepared for: Cognizant Technoverse Hackathon — Banking Track</w:t>
      </w:r>
    </w:p>
    <w:p>
      <w:pPr>
        <w:spacing w:before="100"/>
        <w:jc w:val="center"/>
      </w:pPr>
      <w:r>
        <w:rPr>
          <w:color w:val="333333"/>
          <w:sz w:val="20"/>
          <w:szCs w:val="20"/>
        </w:rPr>
        <w:t xml:space="preserve">Team Size: 7 Members  |  Format: 24-Hour Build &amp; Demo</w:t>
      </w:r>
    </w:p>
    <w:p>
      <w:pPr>
        <w:spacing w:before="700"/>
        <w:jc w:val="center"/>
      </w:pPr>
      <w:r>
        <w:rPr>
          <w:color w:val="666666"/>
          <w:sz w:val="18"/>
          <w:szCs w:val="18"/>
        </w:rPr>
        <w:t xml:space="preserve">August 2026</w:t>
      </w:r>
    </w:p>
    <w:p>
      <w:r>
        <w:br w:type="page"/>
      </w:r>
    </w:p>
    <w:p>
      <w:pPr>
        <w:pStyle w:val="Heading1"/>
        <w:pBdr>
          <w:bottom w:val="single" w:color="1F3864" w:sz="6" w:space="4"/>
        </w:pBdr>
        <w:spacing w:after="200" w:before="400"/>
      </w:pPr>
      <w:r>
        <w:rPr>
          <w:b/>
          <w:bCs/>
          <w:color w:val="1F3864"/>
          <w:sz w:val="30"/>
          <w:szCs w:val="30"/>
        </w:rPr>
        <w:t xml:space="preserve">1. Executive Summary</w:t>
      </w:r>
    </w:p>
    <w:p>
      <w:pPr>
        <w:spacing w:after="140" w:line="300"/>
      </w:pPr>
      <w:r>
        <w:rPr>
          <w:sz w:val="21"/>
          <w:szCs w:val="21"/>
        </w:rPr>
        <w:t xml:space="preserve">This blueprint upgrades the original 7-member task plan into a hackathon-ready, judge-ready product: an “Audit Copilot” that ingests a bank's financial statements (PDF/Excel), runs deterministic mathematical and consistency checks, uses an LLM strictly for language, explanation and narrative work (never for arithmetic), links every finding to its source evidence, and auto-drafts a WP-514 working paper for human sign-off.</w:t>
      </w:r>
    </w:p>
    <w:p>
      <w:pPr>
        <w:spacing w:after="140" w:line="300"/>
      </w:pPr>
      <w:r>
        <w:rPr>
          <w:sz w:val="21"/>
          <w:szCs w:val="21"/>
        </w:rPr>
        <w:t xml:space="preserve">The core design principle is separation of certainty from judgment: anything that has one correct numeric answer (totals, cross-casting, prior-year deltas) is computed deterministically in code; anything that requires language or explanatory judgement (grammar, “why did this move” narratives, reviewer commentary) is delegated to an LLM that is only allowed to reason over already-validated numbers — never invent them.</w:t>
      </w:r>
    </w:p>
    <w:p>
      <w:pPr>
        <w:spacing w:after="140" w:line="300"/>
      </w:pPr>
      <w:r>
        <w:rPr>
          <w:sz w:val="21"/>
          <w:szCs w:val="21"/>
        </w:rPr>
        <w:t xml:space="preserve">The rest of this document gives a concrete technology stack, a layered architecture, full module-level design, a worked real-life example (“GreenPeak Bank Ltd.”) showing the pipeline catching four planted errors end-to-end, a revised 7-person task split with an hour-by-hour build timeline, and guidance on mapping the build to Cognizant's judging criteria (Impact, Innovation, Technical Strength, Scalability).</w:t>
      </w:r>
    </w:p>
    <w:p>
      <w:pPr>
        <w:pStyle w:val="Heading1"/>
        <w:pBdr>
          <w:bottom w:val="single" w:color="1F3864" w:sz="6" w:space="4"/>
        </w:pBdr>
        <w:spacing w:after="200" w:before="400"/>
      </w:pPr>
      <w:r>
        <w:rPr>
          <w:b/>
          <w:bCs/>
          <w:color w:val="1F3864"/>
          <w:sz w:val="30"/>
          <w:szCs w:val="30"/>
        </w:rPr>
        <w:t xml:space="preserve">2. Problem Statement &amp; Business Impact</w:t>
      </w:r>
    </w:p>
    <w:p>
      <w:pPr>
        <w:spacing w:after="140" w:line="300"/>
      </w:pPr>
      <w:r>
        <w:rPr>
          <w:sz w:val="21"/>
          <w:szCs w:val="21"/>
        </w:rPr>
        <w:t xml:space="preserve">Financial statement review in banking is high-stakes and still largely manual: reviewers cross-foot totals by hand, eyeball prior-year comparatives for “unusual movements,” manually trace note disclosures back to the primary statements, and write review commentary from scratch. This is slow, inconsistent across reviewers, and easy to get wrong under time pressure — exactly the kind of structured-but-tedious work that benefits from automation with a human still in control of judgement calls and sign-off.</w:t>
      </w:r>
    </w:p>
    <w:p>
      <w:pPr>
        <w:pStyle w:val="Heading3"/>
        <w:spacing w:after="100" w:before="220"/>
      </w:pPr>
      <w:r>
        <w:rPr>
          <w:b/>
          <w:bCs/>
          <w:color w:val="B8860B"/>
          <w:sz w:val="22"/>
          <w:szCs w:val="22"/>
        </w:rPr>
        <w:t xml:space="preserve">2.1 Pain Points → What the Copilot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1F3864" w:val="clear"/>
            <w:tcMar>
              <w:top w:type="dxa" w:w="80"/>
              <w:left w:type="dxa" w:w="100"/>
              <w:bottom w:type="dxa" w:w="80"/>
              <w:right w:type="dxa" w:w="100"/>
            </w:tcMar>
            <w:vAlign w:val="center"/>
          </w:tcPr>
          <w:p>
            <w:r>
              <w:rPr>
                <w:b/>
                <w:bCs/>
                <w:color w:val="FFFFFF"/>
                <w:sz w:val="19"/>
                <w:szCs w:val="19"/>
              </w:rPr>
              <w:t xml:space="preserve">Manual Pain Point</w:t>
            </w:r>
          </w:p>
        </w:tc>
        <w:tc>
          <w:tcPr>
            <w:tcW w:type="dxa" w:w="5610"/>
            <w:shd w:fill="1F3864" w:val="clear"/>
            <w:tcMar>
              <w:top w:type="dxa" w:w="80"/>
              <w:left w:type="dxa" w:w="100"/>
              <w:bottom w:type="dxa" w:w="80"/>
              <w:right w:type="dxa" w:w="100"/>
            </w:tcMar>
            <w:vAlign w:val="center"/>
          </w:tcPr>
          <w:p>
            <w:r>
              <w:rPr>
                <w:b/>
                <w:bCs/>
                <w:color w:val="FFFFFF"/>
                <w:sz w:val="19"/>
                <w:szCs w:val="19"/>
              </w:rPr>
              <w:t xml:space="preserve">Automated Fix</w:t>
            </w:r>
          </w:p>
        </w:tc>
      </w:tr>
      <w:tr>
        <w:tc>
          <w:tcPr>
            <w:tcW w:type="dxa" w:w="3740"/>
            <w:shd w:fill="FFFFFF" w:val="clear"/>
            <w:tcMar>
              <w:top w:type="dxa" w:w="80"/>
              <w:left w:type="dxa" w:w="100"/>
              <w:bottom w:type="dxa" w:w="80"/>
              <w:right w:type="dxa" w:w="100"/>
            </w:tcMar>
            <w:vAlign w:val="center"/>
          </w:tcPr>
          <w:p>
            <w:r>
              <w:rPr>
                <w:sz w:val="19"/>
                <w:szCs w:val="19"/>
              </w:rPr>
              <w:t xml:space="preserve">Re-adding totals/subtotals by hand across BS, P&amp;L, Cash Flow</w:t>
            </w:r>
          </w:p>
        </w:tc>
        <w:tc>
          <w:tcPr>
            <w:tcW w:type="dxa" w:w="5610"/>
            <w:shd w:fill="FFFFFF" w:val="clear"/>
            <w:tcMar>
              <w:top w:type="dxa" w:w="80"/>
              <w:left w:type="dxa" w:w="100"/>
              <w:bottom w:type="dxa" w:w="80"/>
              <w:right w:type="dxa" w:w="100"/>
            </w:tcMar>
            <w:vAlign w:val="center"/>
          </w:tcPr>
          <w:p>
            <w:r>
              <w:rPr>
                <w:sz w:val="19"/>
                <w:szCs w:val="19"/>
              </w:rPr>
              <w:t xml:space="preserve">Deterministic math engine cross-foots every statement in seconds</w:t>
            </w:r>
          </w:p>
        </w:tc>
      </w:tr>
      <w:tr>
        <w:tc>
          <w:tcPr>
            <w:tcW w:type="dxa" w:w="3740"/>
            <w:shd w:fill="F2F5FA" w:val="clear"/>
            <w:tcMar>
              <w:top w:type="dxa" w:w="80"/>
              <w:left w:type="dxa" w:w="100"/>
              <w:bottom w:type="dxa" w:w="80"/>
              <w:right w:type="dxa" w:w="100"/>
            </w:tcMar>
            <w:vAlign w:val="center"/>
          </w:tcPr>
          <w:p>
            <w:r>
              <w:rPr>
                <w:sz w:val="19"/>
                <w:szCs w:val="19"/>
              </w:rPr>
              <w:t xml:space="preserve">Comparing current vs prior year figures line by line</w:t>
            </w:r>
          </w:p>
        </w:tc>
        <w:tc>
          <w:tcPr>
            <w:tcW w:type="dxa" w:w="5610"/>
            <w:shd w:fill="F2F5FA" w:val="clear"/>
            <w:tcMar>
              <w:top w:type="dxa" w:w="80"/>
              <w:left w:type="dxa" w:w="100"/>
              <w:bottom w:type="dxa" w:w="80"/>
              <w:right w:type="dxa" w:w="100"/>
            </w:tcMar>
            <w:vAlign w:val="center"/>
          </w:tcPr>
          <w:p>
            <w:r>
              <w:rPr>
                <w:sz w:val="19"/>
                <w:szCs w:val="19"/>
              </w:rPr>
              <w:t xml:space="preserve">Automated PY delta engine flags material % / absolute movements</w:t>
            </w:r>
          </w:p>
        </w:tc>
      </w:tr>
      <w:tr>
        <w:tc>
          <w:tcPr>
            <w:tcW w:type="dxa" w:w="3740"/>
            <w:shd w:fill="FFFFFF" w:val="clear"/>
            <w:tcMar>
              <w:top w:type="dxa" w:w="80"/>
              <w:left w:type="dxa" w:w="100"/>
              <w:bottom w:type="dxa" w:w="80"/>
              <w:right w:type="dxa" w:w="100"/>
            </w:tcMar>
            <w:vAlign w:val="center"/>
          </w:tcPr>
          <w:p>
            <w:r>
              <w:rPr>
                <w:sz w:val="19"/>
                <w:szCs w:val="19"/>
              </w:rPr>
              <w:t xml:space="preserve">Manually tracing a note figure back to the statement</w:t>
            </w:r>
          </w:p>
        </w:tc>
        <w:tc>
          <w:tcPr>
            <w:tcW w:type="dxa" w:w="5610"/>
            <w:shd w:fill="FFFFFF" w:val="clear"/>
            <w:tcMar>
              <w:top w:type="dxa" w:w="80"/>
              <w:left w:type="dxa" w:w="100"/>
              <w:bottom w:type="dxa" w:w="80"/>
              <w:right w:type="dxa" w:w="100"/>
            </w:tcMar>
            <w:vAlign w:val="center"/>
          </w:tcPr>
          <w:p>
            <w:r>
              <w:rPr>
                <w:sz w:val="19"/>
                <w:szCs w:val="19"/>
              </w:rPr>
              <w:t xml:space="preserve">Consistency engine matches note ↔ statement ↔ cash flow automatically</w:t>
            </w:r>
          </w:p>
        </w:tc>
      </w:tr>
      <w:tr>
        <w:tc>
          <w:tcPr>
            <w:tcW w:type="dxa" w:w="3740"/>
            <w:shd w:fill="F2F5FA" w:val="clear"/>
            <w:tcMar>
              <w:top w:type="dxa" w:w="80"/>
              <w:left w:type="dxa" w:w="100"/>
              <w:bottom w:type="dxa" w:w="80"/>
              <w:right w:type="dxa" w:w="100"/>
            </w:tcMar>
            <w:vAlign w:val="center"/>
          </w:tcPr>
          <w:p>
            <w:r>
              <w:rPr>
                <w:sz w:val="19"/>
                <w:szCs w:val="19"/>
              </w:rPr>
              <w:t xml:space="preserve">Writing review commentary and explaining anomalies</w:t>
            </w:r>
          </w:p>
        </w:tc>
        <w:tc>
          <w:tcPr>
            <w:tcW w:type="dxa" w:w="5610"/>
            <w:shd w:fill="F2F5FA" w:val="clear"/>
            <w:tcMar>
              <w:top w:type="dxa" w:w="80"/>
              <w:left w:type="dxa" w:w="100"/>
              <w:bottom w:type="dxa" w:w="80"/>
              <w:right w:type="dxa" w:w="100"/>
            </w:tcMar>
            <w:vAlign w:val="center"/>
          </w:tcPr>
          <w:p>
            <w:r>
              <w:rPr>
                <w:sz w:val="19"/>
                <w:szCs w:val="19"/>
              </w:rPr>
              <w:t xml:space="preserve">AI layer drafts reviewer-friendly, evidence-grounded narrative</w:t>
            </w:r>
          </w:p>
        </w:tc>
      </w:tr>
      <w:tr>
        <w:tc>
          <w:tcPr>
            <w:tcW w:type="dxa" w:w="3740"/>
            <w:shd w:fill="FFFFFF" w:val="clear"/>
            <w:tcMar>
              <w:top w:type="dxa" w:w="80"/>
              <w:left w:type="dxa" w:w="100"/>
              <w:bottom w:type="dxa" w:w="80"/>
              <w:right w:type="dxa" w:w="100"/>
            </w:tcMar>
            <w:vAlign w:val="center"/>
          </w:tcPr>
          <w:p>
            <w:r>
              <w:rPr>
                <w:sz w:val="19"/>
                <w:szCs w:val="19"/>
              </w:rPr>
              <w:t xml:space="preserve">Populating the WP-514 working paper by hand</w:t>
            </w:r>
          </w:p>
        </w:tc>
        <w:tc>
          <w:tcPr>
            <w:tcW w:type="dxa" w:w="5610"/>
            <w:shd w:fill="FFFFFF" w:val="clear"/>
            <w:tcMar>
              <w:top w:type="dxa" w:w="80"/>
              <w:left w:type="dxa" w:w="100"/>
              <w:bottom w:type="dxa" w:w="80"/>
              <w:right w:type="dxa" w:w="100"/>
            </w:tcMar>
            <w:vAlign w:val="center"/>
          </w:tcPr>
          <w:p>
            <w:r>
              <w:rPr>
                <w:sz w:val="19"/>
                <w:szCs w:val="19"/>
              </w:rPr>
              <w:t xml:space="preserve">Validated findings auto-populate WP-514 draft fields</w:t>
            </w:r>
          </w:p>
        </w:tc>
      </w:tr>
      <w:tr>
        <w:tc>
          <w:tcPr>
            <w:tcW w:type="dxa" w:w="3740"/>
            <w:shd w:fill="F2F5FA" w:val="clear"/>
            <w:tcMar>
              <w:top w:type="dxa" w:w="80"/>
              <w:left w:type="dxa" w:w="100"/>
              <w:bottom w:type="dxa" w:w="80"/>
              <w:right w:type="dxa" w:w="100"/>
            </w:tcMar>
            <w:vAlign w:val="center"/>
          </w:tcPr>
          <w:p>
            <w:r>
              <w:rPr>
                <w:sz w:val="19"/>
                <w:szCs w:val="19"/>
              </w:rPr>
              <w:t xml:space="preserve">No single view of status across a bank's statement set</w:t>
            </w:r>
          </w:p>
        </w:tc>
        <w:tc>
          <w:tcPr>
            <w:tcW w:type="dxa" w:w="5610"/>
            <w:shd w:fill="F2F5FA" w:val="clear"/>
            <w:tcMar>
              <w:top w:type="dxa" w:w="80"/>
              <w:left w:type="dxa" w:w="100"/>
              <w:bottom w:type="dxa" w:w="80"/>
              <w:right w:type="dxa" w:w="100"/>
            </w:tcMar>
            <w:vAlign w:val="center"/>
          </w:tcPr>
          <w:p>
            <w:r>
              <w:rPr>
                <w:sz w:val="19"/>
                <w:szCs w:val="19"/>
              </w:rPr>
              <w:t xml:space="preserve">Dashboard shows overall status, severity and drill-down evidence</w:t>
            </w:r>
          </w:p>
        </w:tc>
      </w:tr>
    </w:tbl>
    <w:p>
      <w:pPr>
        <w:pStyle w:val="Heading1"/>
        <w:pBdr>
          <w:bottom w:val="single" w:color="1F3864" w:sz="6" w:space="4"/>
        </w:pBdr>
        <w:spacing w:after="200" w:before="400"/>
      </w:pPr>
      <w:r>
        <w:rPr>
          <w:b/>
          <w:bCs/>
          <w:color w:val="1F3864"/>
          <w:sz w:val="30"/>
          <w:szCs w:val="30"/>
        </w:rPr>
        <w:t xml:space="preserve">3. Solution Overview</w:t>
      </w:r>
    </w:p>
    <w:p>
      <w:pPr>
        <w:spacing w:after="140" w:line="300"/>
      </w:pPr>
      <w:r>
        <w:rPr>
          <w:sz w:val="21"/>
          <w:szCs w:val="21"/>
        </w:rPr>
        <w:t xml:space="preserve">Positioning: this is not “AI that audits a bank.” It is a copilot that removes the mechanical 80% of review work (casting, comparison, tracing, drafting) so a human reviewer spends their time on judgement — materiality, root cause, and sign-off. Three design rules govern every module:</w:t>
      </w:r>
    </w:p>
    <w:p>
      <w:pPr>
        <w:pStyle w:val="ListParagraph"/>
        <w:numPr>
          <w:ilvl w:val="0"/>
          <w:numId w:val="1"/>
        </w:numPr>
        <w:spacing w:after="60"/>
      </w:pPr>
      <w:r>
        <w:rPr>
          <w:sz w:val="21"/>
          <w:szCs w:val="21"/>
        </w:rPr>
        <w:t xml:space="preserve">Determinism for numbers. Every arithmetic or comparison check (totals, cross-casting, YoY %, note-to-statement matches) is plain code — Python/pandas — never an LLM call. This makes results reproducible and defensible.</w:t>
      </w:r>
    </w:p>
    <w:p>
      <w:pPr>
        <w:pStyle w:val="ListParagraph"/>
        <w:numPr>
          <w:ilvl w:val="0"/>
          <w:numId w:val="1"/>
        </w:numPr>
        <w:spacing w:after="60"/>
      </w:pPr>
      <w:r>
        <w:rPr>
          <w:sz w:val="21"/>
          <w:szCs w:val="21"/>
        </w:rPr>
        <w:t xml:space="preserve">Grounding for language. The AI layer only ever receives already-validated figures and explicitly labelled findings; it is prompted to explain and phrase, not to calculate or invent numbers.</w:t>
      </w:r>
    </w:p>
    <w:p>
      <w:pPr>
        <w:pStyle w:val="ListParagraph"/>
        <w:numPr>
          <w:ilvl w:val="0"/>
          <w:numId w:val="1"/>
        </w:numPr>
        <w:spacing w:after="60"/>
      </w:pPr>
      <w:r>
        <w:rPr>
          <w:sz w:val="21"/>
          <w:szCs w:val="21"/>
        </w:rPr>
        <w:t xml:space="preserve">Evidence for trust. Every finding — pass or fail — carries a pointer back to its source: document, page, table/note number, and row/cell reference, so a reviewer can verify in one click.</w:t>
      </w:r>
    </w:p>
    <w:p>
      <w:pPr>
        <w:pStyle w:val="Heading1"/>
        <w:pBdr>
          <w:bottom w:val="single" w:color="1F3864" w:sz="6" w:space="4"/>
        </w:pBdr>
        <w:spacing w:after="200" w:before="400"/>
      </w:pPr>
      <w:r>
        <w:rPr>
          <w:b/>
          <w:bCs/>
          <w:color w:val="1F3864"/>
          <w:sz w:val="30"/>
          <w:szCs w:val="30"/>
        </w:rPr>
        <w:t xml:space="preserve">4. Advanced System Architecture</w:t>
      </w:r>
    </w:p>
    <w:p>
      <w:pPr>
        <w:spacing w:after="140" w:line="300"/>
      </w:pPr>
      <w:r>
        <w:rPr>
          <w:sz w:val="21"/>
          <w:szCs w:val="21"/>
        </w:rPr>
        <w:t xml:space="preserve">The MVP architecture from the original plan is preserved (extraction → canonical data → evidence mapping → parallel engines → findings → WP-514 → dashboard) and extended with an orchestration layer, a findings/risk aggregator, and clearly separated storage. Synthetic data generation stays fully outside the production pipeline, feeding it only as an input file, exactly like a real uploaded statement would.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B2B2B" w:val="clear"/>
            <w:tcMar>
              <w:top w:type="dxa" w:w="120"/>
              <w:left w:type="dxa" w:w="150"/>
              <w:bottom w:type="dxa" w:w="120"/>
              <w:right w:type="dxa" w:w="150"/>
            </w:tcMar>
          </w:tcPr>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USER / AUDITOR (Dashboard - React)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  upload PDF / XLSX</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API GATEWAY / ORCHESTRATOR   (FastAPI)                           │</w:t>
            </w:r>
          </w:p>
          <w:p>
            <w:pPr>
              <w:spacing w:after="20"/>
            </w:pPr>
            <w:r>
              <w:rPr>
                <w:rFonts w:ascii="Consolas" w:cs="Consolas" w:eastAsia="Consolas" w:hAnsi="Consolas"/>
                <w:color w:val="D4D4D4"/>
                <w:sz w:val="17"/>
                <w:szCs w:val="17"/>
              </w:rPr>
              <w:t xml:space="preserve">│  - creates review job, tracks status, calls modules in sequence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DOCUMENT EXTRACTION  (pdfplumber / camelot / openpyxl / OCR)     │</w:t>
            </w:r>
          </w:p>
          <w:p>
            <w:pPr>
              <w:spacing w:after="20"/>
            </w:pPr>
            <w:r>
              <w:rPr>
                <w:rFonts w:ascii="Consolas" w:cs="Consolas" w:eastAsia="Consolas" w:hAnsi="Consolas"/>
                <w:color w:val="D4D4D4"/>
                <w:sz w:val="17"/>
                <w:szCs w:val="17"/>
              </w:rPr>
              <w:t xml:space="preserve">│  → text + tables + statement &amp; note identification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CANONICAL FINANCIAL DATA  (normalized JSON: accounts x periods)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EVIDENCE / SOURCE MAP  (doc id, page, table, row → source value)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                  ▼                    ▼</w:t>
            </w:r>
          </w:p>
          <w:p>
            <w:pPr>
              <w:spacing w:after="20"/>
            </w:pPr>
            <w:r>
              <w:rPr>
                <w:rFonts w:ascii="Consolas" w:cs="Consolas" w:eastAsia="Consolas" w:hAnsi="Consolas"/>
                <w:color w:val="D4D4D4"/>
                <w:sz w:val="17"/>
                <w:szCs w:val="17"/>
              </w:rPr>
              <w:t xml:space="preserve">  ┌─────────────┐   ┌───────────────┐    ┌────────────────┐</w:t>
            </w:r>
          </w:p>
          <w:p>
            <w:pPr>
              <w:spacing w:after="20"/>
            </w:pPr>
            <w:r>
              <w:rPr>
                <w:rFonts w:ascii="Consolas" w:cs="Consolas" w:eastAsia="Consolas" w:hAnsi="Consolas"/>
                <w:color w:val="D4D4D4"/>
                <w:sz w:val="17"/>
                <w:szCs w:val="17"/>
              </w:rPr>
              <w:t xml:space="preserve">  │ MATH ENGINE │   │ CONSISTENCY   │    │  AI REVIEW      │</w:t>
            </w:r>
          </w:p>
          <w:p>
            <w:pPr>
              <w:spacing w:after="20"/>
            </w:pPr>
            <w:r>
              <w:rPr>
                <w:rFonts w:ascii="Consolas" w:cs="Consolas" w:eastAsia="Consolas" w:hAnsi="Consolas"/>
                <w:color w:val="D4D4D4"/>
                <w:sz w:val="17"/>
                <w:szCs w:val="17"/>
              </w:rPr>
              <w:t xml:space="preserve">  │ deterministic│   │ + PY ENGINE   │    │  LLM-assisted   │</w:t>
            </w:r>
          </w:p>
          <w:p>
            <w:pPr>
              <w:spacing w:after="20"/>
            </w:pPr>
            <w:r>
              <w:rPr>
                <w:rFonts w:ascii="Consolas" w:cs="Consolas" w:eastAsia="Consolas" w:hAnsi="Consolas"/>
                <w:color w:val="D4D4D4"/>
                <w:sz w:val="17"/>
                <w:szCs w:val="17"/>
              </w:rPr>
              <w:t xml:space="preserve">  │ Python/pandas│   │ deterministic │    │  grounded only  │</w:t>
            </w:r>
          </w:p>
          <w:p>
            <w:pPr>
              <w:spacing w:after="20"/>
            </w:pPr>
            <w:r>
              <w:rPr>
                <w:rFonts w:ascii="Consolas" w:cs="Consolas" w:eastAsia="Consolas" w:hAnsi="Consolas"/>
                <w:color w:val="D4D4D4"/>
                <w:sz w:val="17"/>
                <w:szCs w:val="17"/>
              </w:rPr>
              <w:t xml:space="preserve">  └──────┬──────┘   └───────┬───────┘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FINDINGS / RISK AGGREGATOR  (status, severity, evidence, text)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WP-514 GENERATOR  (maps findings → prototype template fields)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DASHBOARD + EXPORT  (status, drill-down, WP-514 view, PDF export)│</w:t>
            </w:r>
          </w:p>
          <w:p>
            <w:pPr>
              <w:spacing w:after="20"/>
            </w:pPr>
            <w:r>
              <w:rPr>
                <w:rFonts w:ascii="Consolas" w:cs="Consolas" w:eastAsia="Consolas" w:hAnsi="Consolas"/>
                <w:color w:val="D4D4D4"/>
                <w:sz w:val="17"/>
                <w:szCs w:val="17"/>
              </w:rPr>
              <w:t xml:space="preserve">└─────────────────────────────────────────────────────────────────┘</w:t>
            </w:r>
          </w:p>
        </w:tc>
      </w:tr>
    </w:tbl>
    <w:p>
      <w:pPr>
        <w:spacing w:after="140" w:line="300"/>
      </w:pPr>
      <w:r>
        <w:rPr>
          <w:sz w:val="21"/>
          <w:szCs w:val="21"/>
        </w:rPr>
        <w:t xml:space="preserve">Persistence: a single PostgreSQL (or SQLite for the hackathon) database holds jobs, canonical data, findings and WP-514 drafts; raw uploaded files sit in local/S3-style object storage keyed by job id. No message queue is required at MVP scale — the orchestrator can run the three engines synchronously or as async tasks within one FastAPI process.</w:t>
      </w:r>
    </w:p>
    <w:p>
      <w:pPr>
        <w:pStyle w:val="Heading1"/>
        <w:pBdr>
          <w:bottom w:val="single" w:color="1F3864" w:sz="6" w:space="4"/>
        </w:pBdr>
        <w:spacing w:after="200" w:before="400"/>
      </w:pPr>
      <w:r>
        <w:rPr>
          <w:b/>
          <w:bCs/>
          <w:color w:val="1F3864"/>
          <w:sz w:val="30"/>
          <w:szCs w:val="30"/>
        </w:rPr>
        <w:t xml:space="preserve">5. Recommended Tech Stack</w:t>
      </w:r>
    </w:p>
    <w:p>
      <w:pPr>
        <w:spacing w:after="140" w:line="300"/>
      </w:pPr>
      <w:r>
        <w:rPr>
          <w:sz w:val="21"/>
          <w:szCs w:val="21"/>
        </w:rPr>
        <w:t xml:space="preserve">Chosen for maximum library support for financial-document parsing and numeric work, while keeping the whole thing buildable by 7 people in ~24 hours. A JS-only alternative is included for teams that want one language end-to-end.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58"/>
        <w:gridCol w:w="2877"/>
        <w:gridCol w:w="4315"/>
      </w:tblGrid>
      <w:tr>
        <w:trPr>
          <w:tblHeader/>
        </w:trPr>
        <w:tc>
          <w:tcPr>
            <w:tcW w:type="dxa" w:w="2158"/>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2877"/>
            <w:shd w:fill="1F3864" w:val="clear"/>
            <w:tcMar>
              <w:top w:type="dxa" w:w="80"/>
              <w:left w:type="dxa" w:w="100"/>
              <w:bottom w:type="dxa" w:w="80"/>
              <w:right w:type="dxa" w:w="100"/>
            </w:tcMar>
            <w:vAlign w:val="center"/>
          </w:tcPr>
          <w:p>
            <w:r>
              <w:rPr>
                <w:b/>
                <w:bCs/>
                <w:color w:val="FFFFFF"/>
                <w:sz w:val="19"/>
                <w:szCs w:val="19"/>
              </w:rPr>
              <w:t xml:space="preserve">Primary Choice</w:t>
            </w:r>
          </w:p>
        </w:tc>
        <w:tc>
          <w:tcPr>
            <w:tcW w:type="dxa" w:w="4315"/>
            <w:shd w:fill="1F3864" w:val="clear"/>
            <w:tcMar>
              <w:top w:type="dxa" w:w="80"/>
              <w:left w:type="dxa" w:w="100"/>
              <w:bottom w:type="dxa" w:w="80"/>
              <w:right w:type="dxa" w:w="100"/>
            </w:tcMar>
            <w:vAlign w:val="center"/>
          </w:tcPr>
          <w:p>
            <w:r>
              <w:rPr>
                <w:b/>
                <w:bCs/>
                <w:color w:val="FFFFFF"/>
                <w:sz w:val="19"/>
                <w:szCs w:val="19"/>
              </w:rPr>
              <w:t xml:space="preserve">Why</w:t>
            </w:r>
          </w:p>
        </w:tc>
      </w:tr>
      <w:tr>
        <w:tc>
          <w:tcPr>
            <w:tcW w:type="dxa" w:w="2158"/>
            <w:shd w:fill="FFFFFF" w:val="clear"/>
            <w:tcMar>
              <w:top w:type="dxa" w:w="80"/>
              <w:left w:type="dxa" w:w="100"/>
              <w:bottom w:type="dxa" w:w="80"/>
              <w:right w:type="dxa" w:w="100"/>
            </w:tcMar>
            <w:vAlign w:val="center"/>
          </w:tcPr>
          <w:p>
            <w:r>
              <w:rPr>
                <w:sz w:val="19"/>
                <w:szCs w:val="19"/>
              </w:rPr>
              <w:t xml:space="preserve">Frontend / Dashboard</w:t>
            </w:r>
          </w:p>
        </w:tc>
        <w:tc>
          <w:tcPr>
            <w:tcW w:type="dxa" w:w="2877"/>
            <w:shd w:fill="FFFFFF" w:val="clear"/>
            <w:tcMar>
              <w:top w:type="dxa" w:w="80"/>
              <w:left w:type="dxa" w:w="100"/>
              <w:bottom w:type="dxa" w:w="80"/>
              <w:right w:type="dxa" w:w="100"/>
            </w:tcMar>
            <w:vAlign w:val="center"/>
          </w:tcPr>
          <w:p>
            <w:r>
              <w:rPr>
                <w:sz w:val="19"/>
                <w:szCs w:val="19"/>
              </w:rPr>
              <w:t xml:space="preserve">React + TypeScript, Vite, Tailwind CSS, Recharts</w:t>
            </w:r>
          </w:p>
        </w:tc>
        <w:tc>
          <w:tcPr>
            <w:tcW w:type="dxa" w:w="4315"/>
            <w:shd w:fill="FFFFFF" w:val="clear"/>
            <w:tcMar>
              <w:top w:type="dxa" w:w="80"/>
              <w:left w:type="dxa" w:w="100"/>
              <w:bottom w:type="dxa" w:w="80"/>
              <w:right w:type="dxa" w:w="100"/>
            </w:tcMar>
            <w:vAlign w:val="center"/>
          </w:tcPr>
          <w:p>
            <w:r>
              <w:rPr>
                <w:sz w:val="19"/>
                <w:szCs w:val="19"/>
              </w:rPr>
              <w:t xml:space="preserve">Fast to scaffold; Recharts gives quick status/severity charts; Tailwind speeds up styling under time pressure</w:t>
            </w:r>
          </w:p>
        </w:tc>
      </w:tr>
      <w:tr>
        <w:tc>
          <w:tcPr>
            <w:tcW w:type="dxa" w:w="2158"/>
            <w:shd w:fill="F2F5FA" w:val="clear"/>
            <w:tcMar>
              <w:top w:type="dxa" w:w="80"/>
              <w:left w:type="dxa" w:w="100"/>
              <w:bottom w:type="dxa" w:w="80"/>
              <w:right w:type="dxa" w:w="100"/>
            </w:tcMar>
            <w:vAlign w:val="center"/>
          </w:tcPr>
          <w:p>
            <w:r>
              <w:rPr>
                <w:sz w:val="19"/>
                <w:szCs w:val="19"/>
              </w:rPr>
              <w:t xml:space="preserve">PDF evidence viewer</w:t>
            </w:r>
          </w:p>
        </w:tc>
        <w:tc>
          <w:tcPr>
            <w:tcW w:type="dxa" w:w="2877"/>
            <w:shd w:fill="F2F5FA" w:val="clear"/>
            <w:tcMar>
              <w:top w:type="dxa" w:w="80"/>
              <w:left w:type="dxa" w:w="100"/>
              <w:bottom w:type="dxa" w:w="80"/>
              <w:right w:type="dxa" w:w="100"/>
            </w:tcMar>
            <w:vAlign w:val="center"/>
          </w:tcPr>
          <w:p>
            <w:r>
              <w:rPr>
                <w:sz w:val="19"/>
                <w:szCs w:val="19"/>
              </w:rPr>
              <w:t xml:space="preserve">react-pdf / pdf.js</w:t>
            </w:r>
          </w:p>
        </w:tc>
        <w:tc>
          <w:tcPr>
            <w:tcW w:type="dxa" w:w="4315"/>
            <w:shd w:fill="F2F5FA" w:val="clear"/>
            <w:tcMar>
              <w:top w:type="dxa" w:w="80"/>
              <w:left w:type="dxa" w:w="100"/>
              <w:bottom w:type="dxa" w:w="80"/>
              <w:right w:type="dxa" w:w="100"/>
            </w:tcMar>
            <w:vAlign w:val="center"/>
          </w:tcPr>
          <w:p>
            <w:r>
              <w:rPr>
                <w:sz w:val="19"/>
                <w:szCs w:val="19"/>
              </w:rPr>
              <w:t xml:space="preserve">Renders the exact page/row a finding points to, inline in the drill-down panel</w:t>
            </w:r>
          </w:p>
        </w:tc>
      </w:tr>
      <w:tr>
        <w:tc>
          <w:tcPr>
            <w:tcW w:type="dxa" w:w="2158"/>
            <w:shd w:fill="FFFFFF" w:val="clear"/>
            <w:tcMar>
              <w:top w:type="dxa" w:w="80"/>
              <w:left w:type="dxa" w:w="100"/>
              <w:bottom w:type="dxa" w:w="80"/>
              <w:right w:type="dxa" w:w="100"/>
            </w:tcMar>
            <w:vAlign w:val="center"/>
          </w:tcPr>
          <w:p>
            <w:r>
              <w:rPr>
                <w:sz w:val="19"/>
                <w:szCs w:val="19"/>
              </w:rPr>
              <w:t xml:space="preserve">Backend / Orchestrator</w:t>
            </w:r>
          </w:p>
        </w:tc>
        <w:tc>
          <w:tcPr>
            <w:tcW w:type="dxa" w:w="2877"/>
            <w:shd w:fill="FFFFFF" w:val="clear"/>
            <w:tcMar>
              <w:top w:type="dxa" w:w="80"/>
              <w:left w:type="dxa" w:w="100"/>
              <w:bottom w:type="dxa" w:w="80"/>
              <w:right w:type="dxa" w:w="100"/>
            </w:tcMar>
            <w:vAlign w:val="center"/>
          </w:tcPr>
          <w:p>
            <w:r>
              <w:rPr>
                <w:sz w:val="19"/>
                <w:szCs w:val="19"/>
              </w:rPr>
              <w:t xml:space="preserve">Python 3.11 + FastAPI</w:t>
            </w:r>
          </w:p>
        </w:tc>
        <w:tc>
          <w:tcPr>
            <w:tcW w:type="dxa" w:w="4315"/>
            <w:shd w:fill="FFFFFF" w:val="clear"/>
            <w:tcMar>
              <w:top w:type="dxa" w:w="80"/>
              <w:left w:type="dxa" w:w="100"/>
              <w:bottom w:type="dxa" w:w="80"/>
              <w:right w:type="dxa" w:w="100"/>
            </w:tcMar>
            <w:vAlign w:val="center"/>
          </w:tcPr>
          <w:p>
            <w:r>
              <w:rPr>
                <w:sz w:val="19"/>
                <w:szCs w:val="19"/>
              </w:rPr>
              <w:t xml:space="preserve">Async-friendly, auto-generated OpenAPI docs for inter-module contracts, plays well with data libraries</w:t>
            </w:r>
          </w:p>
        </w:tc>
      </w:tr>
      <w:tr>
        <w:tc>
          <w:tcPr>
            <w:tcW w:type="dxa" w:w="2158"/>
            <w:shd w:fill="F2F5FA" w:val="clear"/>
            <w:tcMar>
              <w:top w:type="dxa" w:w="80"/>
              <w:left w:type="dxa" w:w="100"/>
              <w:bottom w:type="dxa" w:w="80"/>
              <w:right w:type="dxa" w:w="100"/>
            </w:tcMar>
            <w:vAlign w:val="center"/>
          </w:tcPr>
          <w:p>
            <w:r>
              <w:rPr>
                <w:sz w:val="19"/>
                <w:szCs w:val="19"/>
              </w:rPr>
              <w:t xml:space="preserve">PDF extraction</w:t>
            </w:r>
          </w:p>
        </w:tc>
        <w:tc>
          <w:tcPr>
            <w:tcW w:type="dxa" w:w="2877"/>
            <w:shd w:fill="F2F5FA" w:val="clear"/>
            <w:tcMar>
              <w:top w:type="dxa" w:w="80"/>
              <w:left w:type="dxa" w:w="100"/>
              <w:bottom w:type="dxa" w:w="80"/>
              <w:right w:type="dxa" w:w="100"/>
            </w:tcMar>
            <w:vAlign w:val="center"/>
          </w:tcPr>
          <w:p>
            <w:r>
              <w:rPr>
                <w:sz w:val="19"/>
                <w:szCs w:val="19"/>
              </w:rPr>
              <w:t xml:space="preserve">pdfplumber + camelot-py (+ Tesseract OCR fallback)</w:t>
            </w:r>
          </w:p>
        </w:tc>
        <w:tc>
          <w:tcPr>
            <w:tcW w:type="dxa" w:w="4315"/>
            <w:shd w:fill="F2F5FA" w:val="clear"/>
            <w:tcMar>
              <w:top w:type="dxa" w:w="80"/>
              <w:left w:type="dxa" w:w="100"/>
              <w:bottom w:type="dxa" w:w="80"/>
              <w:right w:type="dxa" w:w="100"/>
            </w:tcMar>
            <w:vAlign w:val="center"/>
          </w:tcPr>
          <w:p>
            <w:r>
              <w:rPr>
                <w:sz w:val="19"/>
                <w:szCs w:val="19"/>
              </w:rPr>
              <w:t xml:space="preserve">Best open-source combo for text + ruled/unruled table extraction from statements</w:t>
            </w:r>
          </w:p>
        </w:tc>
      </w:tr>
      <w:tr>
        <w:tc>
          <w:tcPr>
            <w:tcW w:type="dxa" w:w="2158"/>
            <w:shd w:fill="FFFFFF" w:val="clear"/>
            <w:tcMar>
              <w:top w:type="dxa" w:w="80"/>
              <w:left w:type="dxa" w:w="100"/>
              <w:bottom w:type="dxa" w:w="80"/>
              <w:right w:type="dxa" w:w="100"/>
            </w:tcMar>
            <w:vAlign w:val="center"/>
          </w:tcPr>
          <w:p>
            <w:r>
              <w:rPr>
                <w:sz w:val="19"/>
                <w:szCs w:val="19"/>
              </w:rPr>
              <w:t xml:space="preserve">Excel extraction</w:t>
            </w:r>
          </w:p>
        </w:tc>
        <w:tc>
          <w:tcPr>
            <w:tcW w:type="dxa" w:w="2877"/>
            <w:shd w:fill="FFFFFF" w:val="clear"/>
            <w:tcMar>
              <w:top w:type="dxa" w:w="80"/>
              <w:left w:type="dxa" w:w="100"/>
              <w:bottom w:type="dxa" w:w="80"/>
              <w:right w:type="dxa" w:w="100"/>
            </w:tcMar>
            <w:vAlign w:val="center"/>
          </w:tcPr>
          <w:p>
            <w:r>
              <w:rPr>
                <w:sz w:val="19"/>
                <w:szCs w:val="19"/>
              </w:rPr>
              <w:t xml:space="preserve">openpyxl + pandas</w:t>
            </w:r>
          </w:p>
        </w:tc>
        <w:tc>
          <w:tcPr>
            <w:tcW w:type="dxa" w:w="4315"/>
            <w:shd w:fill="FFFFFF" w:val="clear"/>
            <w:tcMar>
              <w:top w:type="dxa" w:w="80"/>
              <w:left w:type="dxa" w:w="100"/>
              <w:bottom w:type="dxa" w:w="80"/>
              <w:right w:type="dxa" w:w="100"/>
            </w:tcMar>
            <w:vAlign w:val="center"/>
          </w:tcPr>
          <w:p>
            <w:r>
              <w:rPr>
                <w:sz w:val="19"/>
                <w:szCs w:val="19"/>
              </w:rPr>
              <w:t xml:space="preserve">Reads formulas/values, multiple sheets (BS, P&amp;L, Notes) cleanly</w:t>
            </w:r>
          </w:p>
        </w:tc>
      </w:tr>
      <w:tr>
        <w:tc>
          <w:tcPr>
            <w:tcW w:type="dxa" w:w="2158"/>
            <w:shd w:fill="F2F5FA" w:val="clear"/>
            <w:tcMar>
              <w:top w:type="dxa" w:w="80"/>
              <w:left w:type="dxa" w:w="100"/>
              <w:bottom w:type="dxa" w:w="80"/>
              <w:right w:type="dxa" w:w="100"/>
            </w:tcMar>
            <w:vAlign w:val="center"/>
          </w:tcPr>
          <w:p>
            <w:r>
              <w:rPr>
                <w:sz w:val="19"/>
                <w:szCs w:val="19"/>
              </w:rPr>
              <w:t xml:space="preserve">Math / Consistency engines</w:t>
            </w:r>
          </w:p>
        </w:tc>
        <w:tc>
          <w:tcPr>
            <w:tcW w:type="dxa" w:w="2877"/>
            <w:shd w:fill="F2F5FA" w:val="clear"/>
            <w:tcMar>
              <w:top w:type="dxa" w:w="80"/>
              <w:left w:type="dxa" w:w="100"/>
              <w:bottom w:type="dxa" w:w="80"/>
              <w:right w:type="dxa" w:w="100"/>
            </w:tcMar>
            <w:vAlign w:val="center"/>
          </w:tcPr>
          <w:p>
            <w:r>
              <w:rPr>
                <w:sz w:val="19"/>
                <w:szCs w:val="19"/>
              </w:rPr>
              <w:t xml:space="preserve">Python + pandas + numpy (pure rule functions)</w:t>
            </w:r>
          </w:p>
        </w:tc>
        <w:tc>
          <w:tcPr>
            <w:tcW w:type="dxa" w:w="4315"/>
            <w:shd w:fill="F2F5FA" w:val="clear"/>
            <w:tcMar>
              <w:top w:type="dxa" w:w="80"/>
              <w:left w:type="dxa" w:w="100"/>
              <w:bottom w:type="dxa" w:w="80"/>
              <w:right w:type="dxa" w:w="100"/>
            </w:tcMar>
            <w:vAlign w:val="center"/>
          </w:tcPr>
          <w:p>
            <w:r>
              <w:rPr>
                <w:sz w:val="19"/>
                <w:szCs w:val="19"/>
              </w:rPr>
              <w:t xml:space="preserve">Deterministic, testable, no ML — exactly what auditable arithmetic needs</w:t>
            </w:r>
          </w:p>
        </w:tc>
      </w:tr>
      <w:tr>
        <w:tc>
          <w:tcPr>
            <w:tcW w:type="dxa" w:w="2158"/>
            <w:shd w:fill="FFFFFF" w:val="clear"/>
            <w:tcMar>
              <w:top w:type="dxa" w:w="80"/>
              <w:left w:type="dxa" w:w="100"/>
              <w:bottom w:type="dxa" w:w="80"/>
              <w:right w:type="dxa" w:w="100"/>
            </w:tcMar>
            <w:vAlign w:val="center"/>
          </w:tcPr>
          <w:p>
            <w:r>
              <w:rPr>
                <w:sz w:val="19"/>
                <w:szCs w:val="19"/>
              </w:rPr>
              <w:t xml:space="preserve">AI layer</w:t>
            </w:r>
          </w:p>
        </w:tc>
        <w:tc>
          <w:tcPr>
            <w:tcW w:type="dxa" w:w="2877"/>
            <w:shd w:fill="FFFFFF" w:val="clear"/>
            <w:tcMar>
              <w:top w:type="dxa" w:w="80"/>
              <w:left w:type="dxa" w:w="100"/>
              <w:bottom w:type="dxa" w:w="80"/>
              <w:right w:type="dxa" w:w="100"/>
            </w:tcMar>
            <w:vAlign w:val="center"/>
          </w:tcPr>
          <w:p>
            <w:r>
              <w:rPr>
                <w:sz w:val="19"/>
                <w:szCs w:val="19"/>
              </w:rPr>
              <w:t xml:space="preserve">Anthropic Claude API (Claude Sonnet 5), structured JSON output</w:t>
            </w:r>
          </w:p>
        </w:tc>
        <w:tc>
          <w:tcPr>
            <w:tcW w:type="dxa" w:w="4315"/>
            <w:shd w:fill="FFFFFF" w:val="clear"/>
            <w:tcMar>
              <w:top w:type="dxa" w:w="80"/>
              <w:left w:type="dxa" w:w="100"/>
              <w:bottom w:type="dxa" w:w="80"/>
              <w:right w:type="dxa" w:w="100"/>
            </w:tcMar>
            <w:vAlign w:val="center"/>
          </w:tcPr>
          <w:p>
            <w:r>
              <w:rPr>
                <w:sz w:val="19"/>
                <w:szCs w:val="19"/>
              </w:rPr>
              <w:t xml:space="preserve">Strong grounded-explanation and language-review quality; force JSON schema so output maps straight into findings</w:t>
            </w:r>
          </w:p>
        </w:tc>
      </w:tr>
      <w:tr>
        <w:tc>
          <w:tcPr>
            <w:tcW w:type="dxa" w:w="2158"/>
            <w:shd w:fill="F2F5FA" w:val="clear"/>
            <w:tcMar>
              <w:top w:type="dxa" w:w="80"/>
              <w:left w:type="dxa" w:w="100"/>
              <w:bottom w:type="dxa" w:w="80"/>
              <w:right w:type="dxa" w:w="100"/>
            </w:tcMar>
            <w:vAlign w:val="center"/>
          </w:tcPr>
          <w:p>
            <w:r>
              <w:rPr>
                <w:sz w:val="19"/>
                <w:szCs w:val="19"/>
              </w:rPr>
              <w:t xml:space="preserve">Grammar assist (deterministic backstop)</w:t>
            </w:r>
          </w:p>
        </w:tc>
        <w:tc>
          <w:tcPr>
            <w:tcW w:type="dxa" w:w="2877"/>
            <w:shd w:fill="F2F5FA" w:val="clear"/>
            <w:tcMar>
              <w:top w:type="dxa" w:w="80"/>
              <w:left w:type="dxa" w:w="100"/>
              <w:bottom w:type="dxa" w:w="80"/>
              <w:right w:type="dxa" w:w="100"/>
            </w:tcMar>
            <w:vAlign w:val="center"/>
          </w:tcPr>
          <w:p>
            <w:r>
              <w:rPr>
                <w:sz w:val="19"/>
                <w:szCs w:val="19"/>
              </w:rPr>
              <w:t xml:space="preserve">LanguageTool (open-source) as a first pass, LLM refines tone</w:t>
            </w:r>
          </w:p>
        </w:tc>
        <w:tc>
          <w:tcPr>
            <w:tcW w:type="dxa" w:w="4315"/>
            <w:shd w:fill="F2F5FA" w:val="clear"/>
            <w:tcMar>
              <w:top w:type="dxa" w:w="80"/>
              <w:left w:type="dxa" w:w="100"/>
              <w:bottom w:type="dxa" w:w="80"/>
              <w:right w:type="dxa" w:w="100"/>
            </w:tcMar>
            <w:vAlign w:val="center"/>
          </w:tcPr>
          <w:p>
            <w:r>
              <w:rPr>
                <w:sz w:val="19"/>
                <w:szCs w:val="19"/>
              </w:rPr>
              <w:t xml:space="preserve">Keeps spelling/grammar checks fast and free; LLM only polishes phrasing and explains anomalies</w:t>
            </w:r>
          </w:p>
        </w:tc>
      </w:tr>
      <w:tr>
        <w:tc>
          <w:tcPr>
            <w:tcW w:type="dxa" w:w="2158"/>
            <w:shd w:fill="FFFFFF" w:val="clear"/>
            <w:tcMar>
              <w:top w:type="dxa" w:w="80"/>
              <w:left w:type="dxa" w:w="100"/>
              <w:bottom w:type="dxa" w:w="80"/>
              <w:right w:type="dxa" w:w="100"/>
            </w:tcMar>
            <w:vAlign w:val="center"/>
          </w:tcPr>
          <w:p>
            <w:r>
              <w:rPr>
                <w:sz w:val="19"/>
                <w:szCs w:val="19"/>
              </w:rPr>
              <w:t xml:space="preserve">Database</w:t>
            </w:r>
          </w:p>
        </w:tc>
        <w:tc>
          <w:tcPr>
            <w:tcW w:type="dxa" w:w="2877"/>
            <w:shd w:fill="FFFFFF" w:val="clear"/>
            <w:tcMar>
              <w:top w:type="dxa" w:w="80"/>
              <w:left w:type="dxa" w:w="100"/>
              <w:bottom w:type="dxa" w:w="80"/>
              <w:right w:type="dxa" w:w="100"/>
            </w:tcMar>
            <w:vAlign w:val="center"/>
          </w:tcPr>
          <w:p>
            <w:r>
              <w:rPr>
                <w:sz w:val="19"/>
                <w:szCs w:val="19"/>
              </w:rPr>
              <w:t xml:space="preserve">PostgreSQL (Docker) — SQLite acceptable for demo-only</w:t>
            </w:r>
          </w:p>
        </w:tc>
        <w:tc>
          <w:tcPr>
            <w:tcW w:type="dxa" w:w="4315"/>
            <w:shd w:fill="FFFFFF" w:val="clear"/>
            <w:tcMar>
              <w:top w:type="dxa" w:w="80"/>
              <w:left w:type="dxa" w:w="100"/>
              <w:bottom w:type="dxa" w:w="80"/>
              <w:right w:type="dxa" w:w="100"/>
            </w:tcMar>
            <w:vAlign w:val="center"/>
          </w:tcPr>
          <w:p>
            <w:r>
              <w:rPr>
                <w:sz w:val="19"/>
                <w:szCs w:val="19"/>
              </w:rPr>
              <w:t xml:space="preserve">Relational fit for accounts x periods x findings; SQLite is a zero-setup fallback</w:t>
            </w:r>
          </w:p>
        </w:tc>
      </w:tr>
      <w:tr>
        <w:tc>
          <w:tcPr>
            <w:tcW w:type="dxa" w:w="2158"/>
            <w:shd w:fill="F2F5FA" w:val="clear"/>
            <w:tcMar>
              <w:top w:type="dxa" w:w="80"/>
              <w:left w:type="dxa" w:w="100"/>
              <w:bottom w:type="dxa" w:w="80"/>
              <w:right w:type="dxa" w:w="100"/>
            </w:tcMar>
            <w:vAlign w:val="center"/>
          </w:tcPr>
          <w:p>
            <w:r>
              <w:rPr>
                <w:sz w:val="19"/>
                <w:szCs w:val="19"/>
              </w:rPr>
              <w:t xml:space="preserve">File / evidence storage</w:t>
            </w:r>
          </w:p>
        </w:tc>
        <w:tc>
          <w:tcPr>
            <w:tcW w:type="dxa" w:w="2877"/>
            <w:shd w:fill="F2F5FA" w:val="clear"/>
            <w:tcMar>
              <w:top w:type="dxa" w:w="80"/>
              <w:left w:type="dxa" w:w="100"/>
              <w:bottom w:type="dxa" w:w="80"/>
              <w:right w:type="dxa" w:w="100"/>
            </w:tcMar>
            <w:vAlign w:val="center"/>
          </w:tcPr>
          <w:p>
            <w:r>
              <w:rPr>
                <w:sz w:val="19"/>
                <w:szCs w:val="19"/>
              </w:rPr>
              <w:t xml:space="preserve">Local disk or MinIO (S3-compatible)</w:t>
            </w:r>
          </w:p>
        </w:tc>
        <w:tc>
          <w:tcPr>
            <w:tcW w:type="dxa" w:w="4315"/>
            <w:shd w:fill="F2F5FA" w:val="clear"/>
            <w:tcMar>
              <w:top w:type="dxa" w:w="80"/>
              <w:left w:type="dxa" w:w="100"/>
              <w:bottom w:type="dxa" w:w="80"/>
              <w:right w:type="dxa" w:w="100"/>
            </w:tcMar>
            <w:vAlign w:val="center"/>
          </w:tcPr>
          <w:p>
            <w:r>
              <w:rPr>
                <w:sz w:val="19"/>
                <w:szCs w:val="19"/>
              </w:rPr>
              <w:t xml:space="preserve">Keeps raw files + page images addressable by job id</w:t>
            </w:r>
          </w:p>
        </w:tc>
      </w:tr>
      <w:tr>
        <w:tc>
          <w:tcPr>
            <w:tcW w:type="dxa" w:w="2158"/>
            <w:shd w:fill="FFFFFF" w:val="clear"/>
            <w:tcMar>
              <w:top w:type="dxa" w:w="80"/>
              <w:left w:type="dxa" w:w="100"/>
              <w:bottom w:type="dxa" w:w="80"/>
              <w:right w:type="dxa" w:w="100"/>
            </w:tcMar>
            <w:vAlign w:val="center"/>
          </w:tcPr>
          <w:p>
            <w:r>
              <w:rPr>
                <w:sz w:val="19"/>
                <w:szCs w:val="19"/>
              </w:rPr>
              <w:t xml:space="preserve">Auth</w:t>
            </w:r>
          </w:p>
        </w:tc>
        <w:tc>
          <w:tcPr>
            <w:tcW w:type="dxa" w:w="2877"/>
            <w:shd w:fill="FFFFFF" w:val="clear"/>
            <w:tcMar>
              <w:top w:type="dxa" w:w="80"/>
              <w:left w:type="dxa" w:w="100"/>
              <w:bottom w:type="dxa" w:w="80"/>
              <w:right w:type="dxa" w:w="100"/>
            </w:tcMar>
            <w:vAlign w:val="center"/>
          </w:tcPr>
          <w:p>
            <w:r>
              <w:rPr>
                <w:sz w:val="19"/>
                <w:szCs w:val="19"/>
              </w:rPr>
              <w:t xml:space="preserve">Skip or single shared demo login</w:t>
            </w:r>
          </w:p>
        </w:tc>
        <w:tc>
          <w:tcPr>
            <w:tcW w:type="dxa" w:w="4315"/>
            <w:shd w:fill="FFFFFF" w:val="clear"/>
            <w:tcMar>
              <w:top w:type="dxa" w:w="80"/>
              <w:left w:type="dxa" w:w="100"/>
              <w:bottom w:type="dxa" w:w="80"/>
              <w:right w:type="dxa" w:w="100"/>
            </w:tcMar>
            <w:vAlign w:val="center"/>
          </w:tcPr>
          <w:p>
            <w:r>
              <w:rPr>
                <w:sz w:val="19"/>
                <w:szCs w:val="19"/>
              </w:rPr>
              <w:t xml:space="preserve">Explicitly out of scope per hackathon guardrails — do not spend hours here</w:t>
            </w:r>
          </w:p>
        </w:tc>
      </w:tr>
      <w:tr>
        <w:tc>
          <w:tcPr>
            <w:tcW w:type="dxa" w:w="2158"/>
            <w:shd w:fill="F2F5FA" w:val="clear"/>
            <w:tcMar>
              <w:top w:type="dxa" w:w="80"/>
              <w:left w:type="dxa" w:w="100"/>
              <w:bottom w:type="dxa" w:w="80"/>
              <w:right w:type="dxa" w:w="100"/>
            </w:tcMar>
            <w:vAlign w:val="center"/>
          </w:tcPr>
          <w:p>
            <w:r>
              <w:rPr>
                <w:sz w:val="19"/>
                <w:szCs w:val="19"/>
              </w:rPr>
              <w:t xml:space="preserve">Deployment (demo)</w:t>
            </w:r>
          </w:p>
        </w:tc>
        <w:tc>
          <w:tcPr>
            <w:tcW w:type="dxa" w:w="2877"/>
            <w:shd w:fill="F2F5FA" w:val="clear"/>
            <w:tcMar>
              <w:top w:type="dxa" w:w="80"/>
              <w:left w:type="dxa" w:w="100"/>
              <w:bottom w:type="dxa" w:w="80"/>
              <w:right w:type="dxa" w:w="100"/>
            </w:tcMar>
            <w:vAlign w:val="center"/>
          </w:tcPr>
          <w:p>
            <w:r>
              <w:rPr>
                <w:sz w:val="19"/>
                <w:szCs w:val="19"/>
              </w:rPr>
              <w:t xml:space="preserve">Docker Compose, single host</w:t>
            </w:r>
          </w:p>
        </w:tc>
        <w:tc>
          <w:tcPr>
            <w:tcW w:type="dxa" w:w="4315"/>
            <w:shd w:fill="F2F5FA" w:val="clear"/>
            <w:tcMar>
              <w:top w:type="dxa" w:w="80"/>
              <w:left w:type="dxa" w:w="100"/>
              <w:bottom w:type="dxa" w:w="80"/>
              <w:right w:type="dxa" w:w="100"/>
            </w:tcMar>
            <w:vAlign w:val="center"/>
          </w:tcPr>
          <w:p>
            <w:r>
              <w:rPr>
                <w:sz w:val="19"/>
                <w:szCs w:val="19"/>
              </w:rPr>
              <w:t xml:space="preserve">One `docker compose up` for judges; no cloud infra needed for MVP</w:t>
            </w:r>
          </w:p>
        </w:tc>
      </w:tr>
    </w:tbl>
    <w:p>
      <w:pPr>
        <w:pStyle w:val="Heading3"/>
        <w:spacing w:after="100" w:before="220"/>
      </w:pPr>
      <w:r>
        <w:rPr>
          <w:b/>
          <w:bCs/>
          <w:color w:val="B8860B"/>
          <w:sz w:val="22"/>
          <w:szCs w:val="22"/>
        </w:rPr>
        <w:t xml:space="preserve">5.1 All-JavaScript Alternative (if the team prefers one language)</w:t>
      </w:r>
    </w:p>
    <w:p>
      <w:pPr>
        <w:pStyle w:val="ListParagraph"/>
        <w:numPr>
          <w:ilvl w:val="0"/>
          <w:numId w:val="1"/>
        </w:numPr>
        <w:spacing w:after="60"/>
      </w:pPr>
      <w:r>
        <w:rPr>
          <w:sz w:val="21"/>
          <w:szCs w:val="21"/>
        </w:rPr>
        <w:t xml:space="preserve">Backend: Node.js + Express or Fastify, with pdf-parse / pdf.js for text and a table-extraction library (or a Python microservice just for camelot, called via HTTP, if table extraction quality matters more than stack purity).</w:t>
      </w:r>
    </w:p>
    <w:p>
      <w:pPr>
        <w:pStyle w:val="ListParagraph"/>
        <w:numPr>
          <w:ilvl w:val="0"/>
          <w:numId w:val="1"/>
        </w:numPr>
        <w:spacing w:after="60"/>
      </w:pPr>
      <w:r>
        <w:rPr>
          <w:sz w:val="21"/>
          <w:szCs w:val="21"/>
        </w:rPr>
        <w:t xml:space="preserve">Math/consistency engines: plain TypeScript functions operating on the canonical JSON — same determinism rule applies regardless of language.</w:t>
      </w:r>
    </w:p>
    <w:p>
      <w:pPr>
        <w:pStyle w:val="ListParagraph"/>
        <w:numPr>
          <w:ilvl w:val="0"/>
          <w:numId w:val="1"/>
        </w:numPr>
        <w:spacing w:after="60"/>
      </w:pPr>
      <w:r>
        <w:rPr>
          <w:sz w:val="21"/>
          <w:szCs w:val="21"/>
        </w:rPr>
        <w:t xml:space="preserve">Everything else (DB, AI layer, frontend) is unchanged.</w:t>
      </w:r>
    </w:p>
    <w:p>
      <w:pPr>
        <w:pStyle w:val="Heading1"/>
        <w:pBdr>
          <w:bottom w:val="single" w:color="1F3864" w:sz="6" w:space="4"/>
        </w:pBdr>
        <w:spacing w:after="200" w:before="400"/>
      </w:pPr>
      <w:r>
        <w:rPr>
          <w:b/>
          <w:bCs/>
          <w:color w:val="1F3864"/>
          <w:sz w:val="30"/>
          <w:szCs w:val="30"/>
        </w:rPr>
        <w:t xml:space="preserve">6. Detailed Module Design</w:t>
      </w:r>
    </w:p>
    <w:p>
      <w:pPr>
        <w:pStyle w:val="Heading2"/>
        <w:spacing w:after="140" w:before="300"/>
      </w:pPr>
      <w:r>
        <w:rPr>
          <w:b/>
          <w:bCs/>
          <w:color w:val="1F3864"/>
          <w:sz w:val="25"/>
          <w:szCs w:val="25"/>
        </w:rPr>
        <w:t xml:space="preserve">6.1 Document Extraction</w:t>
      </w:r>
    </w:p>
    <w:p>
      <w:pPr>
        <w:spacing w:after="140" w:line="300"/>
      </w:pPr>
      <w:r>
        <w:rPr>
          <w:sz w:val="21"/>
          <w:szCs w:val="21"/>
        </w:rPr>
        <w:t xml:space="preserve">Goal: turn an uploaded PDF/XLSX into raw text + tables + a first-pass label of which statement or note each table belongs to (Balance Sheet, P&amp;L, Cash Flow, Equity Statement, Notes 1..n).</w:t>
      </w:r>
    </w:p>
    <w:p>
      <w:pPr>
        <w:pStyle w:val="ListParagraph"/>
        <w:numPr>
          <w:ilvl w:val="0"/>
          <w:numId w:val="1"/>
        </w:numPr>
        <w:spacing w:after="60"/>
      </w:pPr>
      <w:r>
        <w:rPr>
          <w:sz w:val="21"/>
          <w:szCs w:val="21"/>
        </w:rPr>
        <w:t xml:space="preserve">PDF: pdfplumber for text and simple tables; camelot (lattice mode) for ruled tables typical of bank statements; Tesseract OCR fallback if a page has no extractable text layer (scanned document).</w:t>
      </w:r>
    </w:p>
    <w:p>
      <w:pPr>
        <w:pStyle w:val="ListParagraph"/>
        <w:numPr>
          <w:ilvl w:val="0"/>
          <w:numId w:val="1"/>
        </w:numPr>
        <w:spacing w:after="60"/>
      </w:pPr>
      <w:r>
        <w:rPr>
          <w:sz w:val="21"/>
          <w:szCs w:val="21"/>
        </w:rPr>
        <w:t xml:space="preserve">Excel: openpyxl/pandas reads each sheet; sheet-name and header heuristics (“Total Assets”, “Net Profit”, “Cash and cash equivalents”) assign a statement label.</w:t>
      </w:r>
    </w:p>
    <w:p>
      <w:pPr>
        <w:pStyle w:val="ListParagraph"/>
        <w:numPr>
          <w:ilvl w:val="0"/>
          <w:numId w:val="1"/>
        </w:numPr>
        <w:spacing w:after="60"/>
      </w:pPr>
      <w:r>
        <w:rPr>
          <w:sz w:val="21"/>
          <w:szCs w:val="21"/>
        </w:rPr>
        <w:t xml:space="preserve">Every extracted number keeps a pointer: {document_id, page, table_id, row_label, column/period}. This pointer is what the Evidence layer stores.</w:t>
      </w:r>
    </w:p>
    <w:p>
      <w:pPr>
        <w:pStyle w:val="ListParagraph"/>
        <w:numPr>
          <w:ilvl w:val="0"/>
          <w:numId w:val="1"/>
        </w:numPr>
        <w:spacing w:after="60"/>
      </w:pPr>
      <w:r>
        <w:rPr>
          <w:sz w:val="21"/>
          <w:szCs w:val="21"/>
        </w:rPr>
        <w:t xml:space="preserve">Hackathon scope: optimize first for the team's own synthetic PDFs/XLSX (fixed layout), not arbitrary real-world formats — per the original guardrail.</w:t>
      </w:r>
    </w:p>
    <w:p>
      <w:pPr>
        <w:pStyle w:val="Heading2"/>
        <w:spacing w:after="140" w:before="300"/>
      </w:pPr>
      <w:r>
        <w:rPr>
          <w:b/>
          <w:bCs/>
          <w:color w:val="1F3864"/>
          <w:sz w:val="25"/>
          <w:szCs w:val="25"/>
        </w:rPr>
        <w:t xml:space="preserve">6.2 Canonical Financial Data Model</w:t>
      </w:r>
    </w:p>
    <w:p>
      <w:pPr>
        <w:spacing w:after="140" w:line="300"/>
      </w:pPr>
      <w:r>
        <w:rPr>
          <w:sz w:val="21"/>
          <w:szCs w:val="21"/>
        </w:rPr>
        <w:t xml:space="preserve">All downstream engines read one normalized JSON shape, regardless of source format. Example (abridged):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B2B2B" w:val="clear"/>
            <w:tcMar>
              <w:top w:type="dxa" w:w="120"/>
              <w:left w:type="dxa" w:w="150"/>
              <w:bottom w:type="dxa" w:w="120"/>
              <w:right w:type="dxa" w:w="150"/>
            </w:tcMar>
          </w:tcPr>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"bank_id": "GREENPEAK",</w:t>
            </w:r>
          </w:p>
          <w:p>
            <w:pPr>
              <w:spacing w:after="20"/>
            </w:pPr>
            <w:r>
              <w:rPr>
                <w:rFonts w:ascii="Consolas" w:cs="Consolas" w:eastAsia="Consolas" w:hAnsi="Consolas"/>
                <w:color w:val="D4D4D4"/>
                <w:sz w:val="17"/>
                <w:szCs w:val="17"/>
              </w:rPr>
              <w:t xml:space="preserve">  "periods": ["FY2025", "FY2024"],</w:t>
            </w:r>
          </w:p>
          <w:p>
            <w:pPr>
              <w:spacing w:after="20"/>
            </w:pPr>
            <w:r>
              <w:rPr>
                <w:rFonts w:ascii="Consolas" w:cs="Consolas" w:eastAsia="Consolas" w:hAnsi="Consolas"/>
                <w:color w:val="D4D4D4"/>
                <w:sz w:val="17"/>
                <w:szCs w:val="17"/>
              </w:rPr>
              <w:t xml:space="preserve">  "statements": {</w:t>
            </w:r>
          </w:p>
          <w:p>
            <w:pPr>
              <w:spacing w:after="20"/>
            </w:pPr>
            <w:r>
              <w:rPr>
                <w:rFonts w:ascii="Consolas" w:cs="Consolas" w:eastAsia="Consolas" w:hAnsi="Consolas"/>
                <w:color w:val="D4D4D4"/>
                <w:sz w:val="17"/>
                <w:szCs w:val="17"/>
              </w:rPr>
              <w:t xml:space="preserve">    "balance_sheet": {</w:t>
            </w:r>
          </w:p>
          <w:p>
            <w:pPr>
              <w:spacing w:after="20"/>
            </w:pPr>
            <w:r>
              <w:rPr>
                <w:rFonts w:ascii="Consolas" w:cs="Consolas" w:eastAsia="Consolas" w:hAnsi="Consolas"/>
                <w:color w:val="D4D4D4"/>
                <w:sz w:val="17"/>
                <w:szCs w:val="17"/>
              </w:rPr>
              <w:t xml:space="preserve">      "total_assets":       {"FY2025": 1245000, "FY2024": 1102000, "evidence": {...}},</w:t>
            </w:r>
          </w:p>
          <w:p>
            <w:pPr>
              <w:spacing w:after="20"/>
            </w:pPr>
            <w:r>
              <w:rPr>
                <w:rFonts w:ascii="Consolas" w:cs="Consolas" w:eastAsia="Consolas" w:hAnsi="Consolas"/>
                <w:color w:val="D4D4D4"/>
                <w:sz w:val="17"/>
                <w:szCs w:val="17"/>
              </w:rPr>
              <w:t xml:space="preserve">      "total_liabilities":  {"FY2025": 1080000, "FY2024": 958000,  "evidence": {...}},</w:t>
            </w:r>
          </w:p>
          <w:p>
            <w:pPr>
              <w:spacing w:after="20"/>
            </w:pPr>
            <w:r>
              <w:rPr>
                <w:rFonts w:ascii="Consolas" w:cs="Consolas" w:eastAsia="Consolas" w:hAnsi="Consolas"/>
                <w:color w:val="D4D4D4"/>
                <w:sz w:val="17"/>
                <w:szCs w:val="17"/>
              </w:rPr>
              <w:t xml:space="preserve">      "total_equity":       {"FY2025": 161000,  "FY2024": 144000,  "evidence": {...}},</w:t>
            </w:r>
          </w:p>
          <w:p>
            <w:pPr>
              <w:spacing w:after="20"/>
            </w:pPr>
            <w:r>
              <w:rPr>
                <w:rFonts w:ascii="Consolas" w:cs="Consolas" w:eastAsia="Consolas" w:hAnsi="Consolas"/>
                <w:color w:val="D4D4D4"/>
                <w:sz w:val="17"/>
                <w:szCs w:val="17"/>
              </w:rPr>
              <w:t xml:space="preserve">      "cash_and_equivalents": {"FY2025": 125000, "FY2024": 98000,  "evidence":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"profit_and_loss": { "net_income": {"FY2025": 21600, "FY2024": 17800, "evidence": {...}} },</w:t>
            </w:r>
          </w:p>
          <w:p>
            <w:pPr>
              <w:spacing w:after="20"/>
            </w:pPr>
            <w:r>
              <w:rPr>
                <w:rFonts w:ascii="Consolas" w:cs="Consolas" w:eastAsia="Consolas" w:hAnsi="Consolas"/>
                <w:color w:val="D4D4D4"/>
                <w:sz w:val="17"/>
                <w:szCs w:val="17"/>
              </w:rPr>
              <w:t xml:space="preserve">    "cash_flow": { "closing_cash": {"FY2025": 120500, "FY2024": 98000, "evidence": {...}} },</w:t>
            </w:r>
          </w:p>
          <w:p>
            <w:pPr>
              <w:spacing w:after="20"/>
            </w:pPr>
            <w:r>
              <w:rPr>
                <w:rFonts w:ascii="Consolas" w:cs="Consolas" w:eastAsia="Consolas" w:hAnsi="Consolas"/>
                <w:color w:val="D4D4D4"/>
                <w:sz w:val="17"/>
                <w:szCs w:val="17"/>
              </w:rPr>
              <w:t xml:space="preserve">    "notes": { "note_12_cash": {"FY2025": 120500, "FY2024": 98000, "evidence": {...}} }</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w:t>
            </w:r>
          </w:p>
        </w:tc>
      </w:tr>
    </w:tbl>
    <w:p>
      <w:pPr>
        <w:pStyle w:val="Heading2"/>
        <w:spacing w:after="140" w:before="300"/>
      </w:pPr>
      <w:r>
        <w:rPr>
          <w:b/>
          <w:bCs/>
          <w:color w:val="1F3864"/>
          <w:sz w:val="25"/>
          <w:szCs w:val="25"/>
        </w:rPr>
        <w:t xml:space="preserve">6.3 Mathematical Engine (Deterministic)</w:t>
      </w:r>
    </w:p>
    <w:p>
      <w:pPr>
        <w:spacing w:after="140" w:line="300"/>
      </w:pPr>
      <w:r>
        <w:rPr>
          <w:sz w:val="21"/>
          <w:szCs w:val="21"/>
        </w:rPr>
        <w:t xml:space="preserve">Pure functions, one per rule, each returning a pass/fail plus the exact numeric difference and the evidence pointers of every value it used. No LLM involvement.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1F3864" w:val="clear"/>
            <w:tcMar>
              <w:top w:type="dxa" w:w="80"/>
              <w:left w:type="dxa" w:w="100"/>
              <w:bottom w:type="dxa" w:w="80"/>
              <w:right w:type="dxa" w:w="100"/>
            </w:tcMar>
            <w:vAlign w:val="center"/>
          </w:tcPr>
          <w:p>
            <w:r>
              <w:rPr>
                <w:b/>
                <w:bCs/>
                <w:color w:val="FFFFFF"/>
                <w:sz w:val="19"/>
                <w:szCs w:val="19"/>
              </w:rPr>
              <w:t xml:space="preserve">Rule</w:t>
            </w:r>
          </w:p>
        </w:tc>
        <w:tc>
          <w:tcPr>
            <w:tcW w:type="dxa" w:w="5610"/>
            <w:shd w:fill="1F3864" w:val="clear"/>
            <w:tcMar>
              <w:top w:type="dxa" w:w="80"/>
              <w:left w:type="dxa" w:w="100"/>
              <w:bottom w:type="dxa" w:w="80"/>
              <w:right w:type="dxa" w:w="100"/>
            </w:tcMar>
            <w:vAlign w:val="center"/>
          </w:tcPr>
          <w:p>
            <w:r>
              <w:rPr>
                <w:b/>
                <w:bCs/>
                <w:color w:val="FFFFFF"/>
                <w:sz w:val="19"/>
                <w:szCs w:val="19"/>
              </w:rPr>
              <w:t xml:space="preserve">Formula / Check</w:t>
            </w:r>
          </w:p>
        </w:tc>
      </w:tr>
      <w:tr>
        <w:tc>
          <w:tcPr>
            <w:tcW w:type="dxa" w:w="3740"/>
            <w:shd w:fill="FFFFFF" w:val="clear"/>
            <w:tcMar>
              <w:top w:type="dxa" w:w="80"/>
              <w:left w:type="dxa" w:w="100"/>
              <w:bottom w:type="dxa" w:w="80"/>
              <w:right w:type="dxa" w:w="100"/>
            </w:tcMar>
            <w:vAlign w:val="center"/>
          </w:tcPr>
          <w:p>
            <w:r>
              <w:rPr>
                <w:sz w:val="19"/>
                <w:szCs w:val="19"/>
              </w:rPr>
              <w:t xml:space="preserve">Balance sheet balances</w:t>
            </w:r>
          </w:p>
        </w:tc>
        <w:tc>
          <w:tcPr>
            <w:tcW w:type="dxa" w:w="5610"/>
            <w:shd w:fill="FFFFFF" w:val="clear"/>
            <w:tcMar>
              <w:top w:type="dxa" w:w="80"/>
              <w:left w:type="dxa" w:w="100"/>
              <w:bottom w:type="dxa" w:w="80"/>
              <w:right w:type="dxa" w:w="100"/>
            </w:tcMar>
            <w:vAlign w:val="center"/>
          </w:tcPr>
          <w:p>
            <w:r>
              <w:rPr>
                <w:sz w:val="19"/>
                <w:szCs w:val="19"/>
              </w:rPr>
              <w:t xml:space="preserve">Total Assets = Total Liabilities + Total Equity</w:t>
            </w:r>
          </w:p>
        </w:tc>
      </w:tr>
      <w:tr>
        <w:tc>
          <w:tcPr>
            <w:tcW w:type="dxa" w:w="3740"/>
            <w:shd w:fill="F2F5FA" w:val="clear"/>
            <w:tcMar>
              <w:top w:type="dxa" w:w="80"/>
              <w:left w:type="dxa" w:w="100"/>
              <w:bottom w:type="dxa" w:w="80"/>
              <w:right w:type="dxa" w:w="100"/>
            </w:tcMar>
            <w:vAlign w:val="center"/>
          </w:tcPr>
          <w:p>
            <w:r>
              <w:rPr>
                <w:sz w:val="19"/>
                <w:szCs w:val="19"/>
              </w:rPr>
              <w:t xml:space="preserve">P&amp;L cross-cast</w:t>
            </w:r>
          </w:p>
        </w:tc>
        <w:tc>
          <w:tcPr>
            <w:tcW w:type="dxa" w:w="5610"/>
            <w:shd w:fill="F2F5FA" w:val="clear"/>
            <w:tcMar>
              <w:top w:type="dxa" w:w="80"/>
              <w:left w:type="dxa" w:w="100"/>
              <w:bottom w:type="dxa" w:w="80"/>
              <w:right w:type="dxa" w:w="100"/>
            </w:tcMar>
            <w:vAlign w:val="center"/>
          </w:tcPr>
          <w:p>
            <w:r>
              <w:rPr>
                <w:sz w:val="19"/>
                <w:szCs w:val="19"/>
              </w:rPr>
              <w:t xml:space="preserve">Total Income − Total Expenses = Net Profit/(Loss)</w:t>
            </w:r>
          </w:p>
        </w:tc>
      </w:tr>
      <w:tr>
        <w:tc>
          <w:tcPr>
            <w:tcW w:type="dxa" w:w="3740"/>
            <w:shd w:fill="FFFFFF" w:val="clear"/>
            <w:tcMar>
              <w:top w:type="dxa" w:w="80"/>
              <w:left w:type="dxa" w:w="100"/>
              <w:bottom w:type="dxa" w:w="80"/>
              <w:right w:type="dxa" w:w="100"/>
            </w:tcMar>
            <w:vAlign w:val="center"/>
          </w:tcPr>
          <w:p>
            <w:r>
              <w:rPr>
                <w:sz w:val="19"/>
                <w:szCs w:val="19"/>
              </w:rPr>
              <w:t xml:space="preserve">Cash flow cross-cast</w:t>
            </w:r>
          </w:p>
        </w:tc>
        <w:tc>
          <w:tcPr>
            <w:tcW w:type="dxa" w:w="5610"/>
            <w:shd w:fill="FFFFFF" w:val="clear"/>
            <w:tcMar>
              <w:top w:type="dxa" w:w="80"/>
              <w:left w:type="dxa" w:w="100"/>
              <w:bottom w:type="dxa" w:w="80"/>
              <w:right w:type="dxa" w:w="100"/>
            </w:tcMar>
            <w:vAlign w:val="center"/>
          </w:tcPr>
          <w:p>
            <w:r>
              <w:rPr>
                <w:sz w:val="19"/>
                <w:szCs w:val="19"/>
              </w:rPr>
              <w:t xml:space="preserve">Opening Cash + Net Cash Flow (Op+Inv+Fin) = Closing Cash</w:t>
            </w:r>
          </w:p>
        </w:tc>
      </w:tr>
      <w:tr>
        <w:tc>
          <w:tcPr>
            <w:tcW w:type="dxa" w:w="3740"/>
            <w:shd w:fill="F2F5FA" w:val="clear"/>
            <w:tcMar>
              <w:top w:type="dxa" w:w="80"/>
              <w:left w:type="dxa" w:w="100"/>
              <w:bottom w:type="dxa" w:w="80"/>
              <w:right w:type="dxa" w:w="100"/>
            </w:tcMar>
            <w:vAlign w:val="center"/>
          </w:tcPr>
          <w:p>
            <w:r>
              <w:rPr>
                <w:sz w:val="19"/>
                <w:szCs w:val="19"/>
              </w:rPr>
              <w:t xml:space="preserve">Equity roll-forward</w:t>
            </w:r>
          </w:p>
        </w:tc>
        <w:tc>
          <w:tcPr>
            <w:tcW w:type="dxa" w:w="5610"/>
            <w:shd w:fill="F2F5FA" w:val="clear"/>
            <w:tcMar>
              <w:top w:type="dxa" w:w="80"/>
              <w:left w:type="dxa" w:w="100"/>
              <w:bottom w:type="dxa" w:w="80"/>
              <w:right w:type="dxa" w:w="100"/>
            </w:tcMar>
            <w:vAlign w:val="center"/>
          </w:tcPr>
          <w:p>
            <w:r>
              <w:rPr>
                <w:sz w:val="19"/>
                <w:szCs w:val="19"/>
              </w:rPr>
              <w:t xml:space="preserve">Opening Equity + Net Income + Other Movements − Dividends = Closing Equity</w:t>
            </w:r>
          </w:p>
        </w:tc>
      </w:tr>
      <w:tr>
        <w:tc>
          <w:tcPr>
            <w:tcW w:type="dxa" w:w="3740"/>
            <w:shd w:fill="FFFFFF" w:val="clear"/>
            <w:tcMar>
              <w:top w:type="dxa" w:w="80"/>
              <w:left w:type="dxa" w:w="100"/>
              <w:bottom w:type="dxa" w:w="80"/>
              <w:right w:type="dxa" w:w="100"/>
            </w:tcMar>
            <w:vAlign w:val="center"/>
          </w:tcPr>
          <w:p>
            <w:r>
              <w:rPr>
                <w:sz w:val="19"/>
                <w:szCs w:val="19"/>
              </w:rPr>
              <w:t xml:space="preserve">Subtotal/footing</w:t>
            </w:r>
          </w:p>
        </w:tc>
        <w:tc>
          <w:tcPr>
            <w:tcW w:type="dxa" w:w="5610"/>
            <w:shd w:fill="FFFFFF" w:val="clear"/>
            <w:tcMar>
              <w:top w:type="dxa" w:w="80"/>
              <w:left w:type="dxa" w:w="100"/>
              <w:bottom w:type="dxa" w:w="80"/>
              <w:right w:type="dxa" w:w="100"/>
            </w:tcMar>
            <w:vAlign w:val="center"/>
          </w:tcPr>
          <w:p>
            <w:r>
              <w:rPr>
                <w:sz w:val="19"/>
                <w:szCs w:val="19"/>
              </w:rPr>
              <w:t xml:space="preserve">Every disclosed subtotal equals the sum of its component lines</w:t>
            </w:r>
          </w:p>
        </w:tc>
      </w:tr>
    </w:tbl>
    <w:p>
      <w:pPr>
        <w:pStyle w:val="Heading2"/>
        <w:spacing w:after="140" w:before="300"/>
      </w:pPr>
      <w:r>
        <w:rPr>
          <w:b/>
          <w:bCs/>
          <w:color w:val="1F3864"/>
          <w:sz w:val="25"/>
          <w:szCs w:val="25"/>
        </w:rPr>
        <w:t xml:space="preserve">6.4 Consistency + Prior-Year Engine (Deterministic)</w:t>
      </w:r>
    </w:p>
    <w:p>
      <w:pPr>
        <w:pStyle w:val="ListParagraph"/>
        <w:numPr>
          <w:ilvl w:val="0"/>
          <w:numId w:val="1"/>
        </w:numPr>
        <w:spacing w:after="60"/>
      </w:pPr>
      <w:r>
        <w:rPr>
          <w:sz w:val="21"/>
          <w:szCs w:val="21"/>
        </w:rPr>
        <w:t xml:space="preserve">Cross-statement matches: Balance Sheet cash ↔ Cash Flow closing cash ↔ Note on cash &amp; equivalents (must be equal, or flagged).</w:t>
      </w:r>
    </w:p>
    <w:p>
      <w:pPr>
        <w:pStyle w:val="ListParagraph"/>
        <w:numPr>
          <w:ilvl w:val="0"/>
          <w:numId w:val="1"/>
        </w:numPr>
        <w:spacing w:after="60"/>
      </w:pPr>
      <w:r>
        <w:rPr>
          <w:sz w:val="21"/>
          <w:szCs w:val="21"/>
        </w:rPr>
        <w:t xml:space="preserve">Selected linkages: net income (P&amp;L) feeding the equity roll-forward and the cash-flow statement's operating section starting point; dividends/tax/depreciation appearing consistently across statement and note.</w:t>
      </w:r>
    </w:p>
    <w:p>
      <w:pPr>
        <w:pStyle w:val="ListParagraph"/>
        <w:numPr>
          <w:ilvl w:val="0"/>
          <w:numId w:val="1"/>
        </w:numPr>
        <w:spacing w:after="60"/>
      </w:pPr>
      <w:r>
        <w:rPr>
          <w:sz w:val="21"/>
          <w:szCs w:val="21"/>
        </w:rPr>
        <w:t xml:space="preserve">Prior-year comparison: for every mapped line item, compute absolute and percentage movement FY(t) vs FY(t-1); flag anything beyond a configurable materiality threshold (e.g. &gt;20% and &gt;₹5 Cr) as “unusual movement” for the AI layer to explain.</w:t>
      </w:r>
    </w:p>
    <w:p>
      <w:pPr>
        <w:pStyle w:val="Heading2"/>
        <w:spacing w:after="140" w:before="300"/>
      </w:pPr>
      <w:r>
        <w:rPr>
          <w:b/>
          <w:bCs/>
          <w:color w:val="1F3864"/>
          <w:sz w:val="25"/>
          <w:szCs w:val="25"/>
        </w:rPr>
        <w:t xml:space="preserve">6.5 AI Layer (LLM-Assisted, Grounded)</w:t>
      </w:r>
    </w:p>
    <w:p>
      <w:pPr>
        <w:spacing w:after="140" w:line="300"/>
      </w:pPr>
      <w:r>
        <w:rPr>
          <w:sz w:val="21"/>
          <w:szCs w:val="21"/>
        </w:rPr>
        <w:t xml:space="preserve">The AI layer never sees raw documents directly for numeric work — it receives the canonical data plus the deterministic engines' findings, and is instructed to explain, phrase and summarize only. Three sub-tasks:</w:t>
      </w:r>
    </w:p>
    <w:p>
      <w:pPr>
        <w:pStyle w:val="ListParagraph"/>
        <w:numPr>
          <w:ilvl w:val="0"/>
          <w:numId w:val="1"/>
        </w:numPr>
        <w:spacing w:after="60"/>
      </w:pPr>
      <w:r>
        <w:rPr>
          <w:sz w:val="21"/>
          <w:szCs w:val="21"/>
        </w:rPr>
        <w:t xml:space="preserve">Language review: spelling/grammar pass on extracted narrative text (director's report, note descriptions) — LanguageTool for a fast deterministic pass, LLM to suggest natural rephrasing for anything flagged.</w:t>
      </w:r>
    </w:p>
    <w:p>
      <w:pPr>
        <w:pStyle w:val="ListParagraph"/>
        <w:numPr>
          <w:ilvl w:val="0"/>
          <w:numId w:val="1"/>
        </w:numPr>
        <w:spacing w:after="60"/>
      </w:pPr>
      <w:r>
        <w:rPr>
          <w:sz w:val="21"/>
          <w:szCs w:val="21"/>
        </w:rPr>
        <w:t xml:space="preserve">Anomaly explanation: given a flagged prior-year movement (e.g. “Other Income up 340%”) plus any related note text, produce a plausible, evidence-grounded explanation candidate and clearly mark it as a suggested explanation for reviewer confirmation, not a fact.</w:t>
      </w:r>
    </w:p>
    <w:p>
      <w:pPr>
        <w:pStyle w:val="ListParagraph"/>
        <w:numPr>
          <w:ilvl w:val="0"/>
          <w:numId w:val="1"/>
        </w:numPr>
        <w:spacing w:after="60"/>
      </w:pPr>
      <w:r>
        <w:rPr>
          <w:sz w:val="21"/>
          <w:szCs w:val="21"/>
        </w:rPr>
        <w:t xml:space="preserve">Reviewer summary: a short, plain-English roll-up of overall findings by severity, written for a WP-514 reviewer, strictly built from the findings list it was given.</w:t>
      </w:r>
    </w:p>
    <w:p>
      <w:pPr>
        <w:spacing w:after="140" w:line="300"/>
      </w:pPr>
      <w:r>
        <w:rPr>
          <w:sz w:val="21"/>
          <w:szCs w:val="21"/>
        </w:rPr>
        <w:t xml:space="preserve">Prompting rule: system prompt instructs the model to only use figures present in the supplied JSON, to never introduce a number that isn't in context, and to output structured JSON (finding_id, explanation, confidence, caveats) so it drops straight into the findings table.</w:t>
      </w:r>
    </w:p>
    <w:p>
      <w:pPr>
        <w:pStyle w:val="Heading2"/>
        <w:spacing w:after="140" w:before="300"/>
      </w:pPr>
      <w:r>
        <w:rPr>
          <w:b/>
          <w:bCs/>
          <w:color w:val="1F3864"/>
          <w:sz w:val="25"/>
          <w:szCs w:val="25"/>
        </w:rPr>
        <w:t xml:space="preserve">6.6 WP-514 Module</w:t>
      </w:r>
    </w:p>
    <w:p>
      <w:pPr>
        <w:spacing w:after="140" w:line="300"/>
      </w:pPr>
      <w:r>
        <w:rPr>
          <w:sz w:val="21"/>
          <w:szCs w:val="21"/>
        </w:rPr>
        <w:t xml:space="preserve">Once findings are validated, the module maps them into the agreed/prototype WP-514 template: reviewed item, expected value, actual value, variance, status (Pass/Exception), evidence reference, and an editable reviewer comment/sign-off field that stays human-controlled by default, matching the original guardrail.</w:t>
      </w:r>
    </w:p>
    <w:p>
      <w:pPr>
        <w:pStyle w:val="Heading2"/>
        <w:spacing w:after="140" w:before="300"/>
      </w:pPr>
      <w:r>
        <w:rPr>
          <w:b/>
          <w:bCs/>
          <w:color w:val="1F3864"/>
          <w:sz w:val="25"/>
          <w:szCs w:val="25"/>
        </w:rPr>
        <w:t xml:space="preserve">6.7 Dashboard</w:t>
      </w:r>
    </w:p>
    <w:p>
      <w:pPr>
        <w:pStyle w:val="ListParagraph"/>
        <w:numPr>
          <w:ilvl w:val="0"/>
          <w:numId w:val="1"/>
        </w:numPr>
        <w:spacing w:after="60"/>
      </w:pPr>
      <w:r>
        <w:rPr>
          <w:sz w:val="21"/>
          <w:szCs w:val="21"/>
        </w:rPr>
        <w:t xml:space="preserve">Upload screen with job status (Extracting → Reviewing → Done).</w:t>
      </w:r>
    </w:p>
    <w:p>
      <w:pPr>
        <w:pStyle w:val="ListParagraph"/>
        <w:numPr>
          <w:ilvl w:val="0"/>
          <w:numId w:val="1"/>
        </w:numPr>
        <w:spacing w:after="60"/>
      </w:pPr>
      <w:r>
        <w:rPr>
          <w:sz w:val="21"/>
          <w:szCs w:val="21"/>
        </w:rPr>
        <w:t xml:space="preserve">Overall status header: Pass / Exceptions count, by severity (High/Medium/Low).</w:t>
      </w:r>
    </w:p>
    <w:p>
      <w:pPr>
        <w:pStyle w:val="ListParagraph"/>
        <w:numPr>
          <w:ilvl w:val="0"/>
          <w:numId w:val="1"/>
        </w:numPr>
        <w:spacing w:after="60"/>
      </w:pPr>
      <w:r>
        <w:rPr>
          <w:sz w:val="21"/>
          <w:szCs w:val="21"/>
        </w:rPr>
        <w:t xml:space="preserve">Findings table, filterable by module (Math / Consistency / PY / AI / Disclosure), each row expandable to show the evidence (source page image + highlighted cell).</w:t>
      </w:r>
    </w:p>
    <w:p>
      <w:pPr>
        <w:pStyle w:val="ListParagraph"/>
        <w:numPr>
          <w:ilvl w:val="0"/>
          <w:numId w:val="1"/>
        </w:numPr>
        <w:spacing w:after="60"/>
      </w:pPr>
      <w:r>
        <w:rPr>
          <w:sz w:val="21"/>
          <w:szCs w:val="21"/>
        </w:rPr>
        <w:t xml:space="preserve">WP-514 tab: the generated working paper, editable, exportable to PDF/Excel.</w:t>
      </w:r>
    </w:p>
    <w:p>
      <w:pPr>
        <w:pStyle w:val="Heading1"/>
        <w:pBdr>
          <w:bottom w:val="single" w:color="1F3864" w:sz="6" w:space="4"/>
        </w:pBdr>
        <w:spacing w:after="200" w:before="400"/>
      </w:pPr>
      <w:r>
        <w:rPr>
          <w:b/>
          <w:bCs/>
          <w:color w:val="1F3864"/>
          <w:sz w:val="30"/>
          <w:szCs w:val="30"/>
        </w:rPr>
        <w:t xml:space="preserve">7. Real-Life Walkthrough: GreenPeak Bank Ltd.</w:t>
      </w:r>
    </w:p>
    <w:p>
      <w:pPr>
        <w:spacing w:after="140" w:line="300"/>
      </w:pPr>
      <w:r>
        <w:rPr>
          <w:sz w:val="21"/>
          <w:szCs w:val="21"/>
        </w:rPr>
        <w:t xml:space="preserve">A fictional synthetic case (Member 2's dataset, Case 9 style — “multiple issues in one bank”) showing the full pipeline. All figures are illustrative and in ₹ Crore.</w:t>
      </w:r>
    </w:p>
    <w:p>
      <w:pPr>
        <w:pStyle w:val="Heading3"/>
        <w:spacing w:after="100" w:before="220"/>
      </w:pPr>
      <w:r>
        <w:rPr>
          <w:b/>
          <w:bCs/>
          <w:color w:val="B8860B"/>
          <w:sz w:val="22"/>
          <w:szCs w:val="22"/>
        </w:rPr>
        <w:t xml:space="preserve">Step 1 — Upload</w:t>
      </w:r>
    </w:p>
    <w:p>
      <w:pPr>
        <w:spacing w:after="140" w:line="300"/>
      </w:pPr>
      <w:r>
        <w:rPr>
          <w:sz w:val="21"/>
          <w:szCs w:val="21"/>
        </w:rPr>
        <w:t xml:space="preserve">The auditor uploads GreenPeak_FY2025_Statements.pdf, containing the Balance Sheet, P&amp;L, Cash Flow Statement, Equity Statement and Notes 1–18, with FY2025 and FY2024 comparatives.</w:t>
      </w:r>
    </w:p>
    <w:p>
      <w:pPr>
        <w:pStyle w:val="Heading3"/>
        <w:spacing w:after="100" w:before="220"/>
      </w:pPr>
      <w:r>
        <w:rPr>
          <w:b/>
          <w:bCs/>
          <w:color w:val="B8860B"/>
          <w:sz w:val="22"/>
          <w:szCs w:val="22"/>
        </w:rPr>
        <w:t xml:space="preserve">Step 2 — Extraction → Canonical Data</w:t>
      </w:r>
    </w:p>
    <w:p>
      <w:pPr>
        <w:spacing w:after="140" w:line="300"/>
      </w:pPr>
      <w:r>
        <w:rPr>
          <w:sz w:val="21"/>
          <w:szCs w:val="21"/>
        </w:rPr>
        <w:t xml:space="preserve">The extraction module identifies five statements and eighteen notes, and produces canonical JSON with evidence pointers for every cell, e.g. Total Assets FY2025 → {page: 2, table: “Balance Sheet”, row: “Total Assets”}.</w:t>
      </w:r>
    </w:p>
    <w:p>
      <w:pPr>
        <w:pStyle w:val="Heading3"/>
        <w:spacing w:after="100" w:before="220"/>
      </w:pPr>
      <w:r>
        <w:rPr>
          <w:b/>
          <w:bCs/>
          <w:color w:val="B8860B"/>
          <w:sz w:val="22"/>
          <w:szCs w:val="22"/>
        </w:rPr>
        <w:t xml:space="preserve">Step 3 — Deterministic Checks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71"/>
        <w:gridCol w:w="4007"/>
        <w:gridCol w:w="2671"/>
      </w:tblGrid>
      <w:tr>
        <w:trPr>
          <w:tblHeader/>
        </w:trPr>
        <w:tc>
          <w:tcPr>
            <w:tcW w:type="dxa" w:w="2671"/>
            <w:shd w:fill="1F3864" w:val="clear"/>
            <w:tcMar>
              <w:top w:type="dxa" w:w="80"/>
              <w:left w:type="dxa" w:w="100"/>
              <w:bottom w:type="dxa" w:w="80"/>
              <w:right w:type="dxa" w:w="100"/>
            </w:tcMar>
            <w:vAlign w:val="center"/>
          </w:tcPr>
          <w:p>
            <w:r>
              <w:rPr>
                <w:b/>
                <w:bCs/>
                <w:color w:val="FFFFFF"/>
                <w:sz w:val="19"/>
                <w:szCs w:val="19"/>
              </w:rPr>
              <w:t xml:space="preserve">Check</w:t>
            </w:r>
          </w:p>
        </w:tc>
        <w:tc>
          <w:tcPr>
            <w:tcW w:type="dxa" w:w="4007"/>
            <w:shd w:fill="1F3864" w:val="clear"/>
            <w:tcMar>
              <w:top w:type="dxa" w:w="80"/>
              <w:left w:type="dxa" w:w="100"/>
              <w:bottom w:type="dxa" w:w="80"/>
              <w:right w:type="dxa" w:w="100"/>
            </w:tcMar>
            <w:vAlign w:val="center"/>
          </w:tcPr>
          <w:p>
            <w:r>
              <w:rPr>
                <w:b/>
                <w:bCs/>
                <w:color w:val="FFFFFF"/>
                <w:sz w:val="19"/>
                <w:szCs w:val="19"/>
              </w:rPr>
              <w:t xml:space="preserve">Result</w:t>
            </w:r>
          </w:p>
        </w:tc>
        <w:tc>
          <w:tcPr>
            <w:tcW w:type="dxa" w:w="2671"/>
            <w:shd w:fill="1F3864" w:val="clear"/>
            <w:tcMar>
              <w:top w:type="dxa" w:w="80"/>
              <w:left w:type="dxa" w:w="100"/>
              <w:bottom w:type="dxa" w:w="80"/>
              <w:right w:type="dxa" w:w="100"/>
            </w:tcMar>
            <w:vAlign w:val="center"/>
          </w:tcPr>
          <w:p>
            <w:r>
              <w:rPr>
                <w:b/>
                <w:bCs/>
                <w:color w:val="FFFFFF"/>
                <w:sz w:val="19"/>
                <w:szCs w:val="19"/>
              </w:rPr>
              <w:t xml:space="preserve">Evidence</w:t>
            </w:r>
          </w:p>
        </w:tc>
      </w:tr>
      <w:tr>
        <w:tc>
          <w:tcPr>
            <w:tcW w:type="dxa" w:w="2671"/>
            <w:shd w:fill="FFFFFF" w:val="clear"/>
            <w:tcMar>
              <w:top w:type="dxa" w:w="80"/>
              <w:left w:type="dxa" w:w="100"/>
              <w:bottom w:type="dxa" w:w="80"/>
              <w:right w:type="dxa" w:w="100"/>
            </w:tcMar>
            <w:vAlign w:val="center"/>
          </w:tcPr>
          <w:p>
            <w:r>
              <w:rPr>
                <w:sz w:val="19"/>
                <w:szCs w:val="19"/>
              </w:rPr>
              <w:t xml:space="preserve">Balance Sheet balances</w:t>
            </w:r>
          </w:p>
        </w:tc>
        <w:tc>
          <w:tcPr>
            <w:tcW w:type="dxa" w:w="4007"/>
            <w:shd w:fill="FFFFFF" w:val="clear"/>
            <w:tcMar>
              <w:top w:type="dxa" w:w="80"/>
              <w:left w:type="dxa" w:w="100"/>
              <w:bottom w:type="dxa" w:w="80"/>
              <w:right w:type="dxa" w:w="100"/>
            </w:tcMar>
            <w:vAlign w:val="center"/>
          </w:tcPr>
          <w:p>
            <w:r>
              <w:rPr>
                <w:sz w:val="19"/>
                <w:szCs w:val="19"/>
              </w:rPr>
              <w:t xml:space="preserve">FAIL — Total Assets ₹12,450 Cr ≠ Total Liabilities + Equity ₹12,410 Cr (diff ₹40 Cr)</w:t>
            </w:r>
          </w:p>
        </w:tc>
        <w:tc>
          <w:tcPr>
            <w:tcW w:type="dxa" w:w="2671"/>
            <w:shd w:fill="FFFFFF" w:val="clear"/>
            <w:tcMar>
              <w:top w:type="dxa" w:w="80"/>
              <w:left w:type="dxa" w:w="100"/>
              <w:bottom w:type="dxa" w:w="80"/>
              <w:right w:type="dxa" w:w="100"/>
            </w:tcMar>
            <w:vAlign w:val="center"/>
          </w:tcPr>
          <w:p>
            <w:r>
              <w:rPr>
                <w:sz w:val="19"/>
                <w:szCs w:val="19"/>
              </w:rPr>
              <w:t xml:space="preserve">Page 2, rows: Total Assets / Total Liabilities / Total Equity</w:t>
            </w:r>
          </w:p>
        </w:tc>
      </w:tr>
      <w:tr>
        <w:tc>
          <w:tcPr>
            <w:tcW w:type="dxa" w:w="2671"/>
            <w:shd w:fill="F2F5FA" w:val="clear"/>
            <w:tcMar>
              <w:top w:type="dxa" w:w="80"/>
              <w:left w:type="dxa" w:w="100"/>
              <w:bottom w:type="dxa" w:w="80"/>
              <w:right w:type="dxa" w:w="100"/>
            </w:tcMar>
            <w:vAlign w:val="center"/>
          </w:tcPr>
          <w:p>
            <w:r>
              <w:rPr>
                <w:sz w:val="19"/>
                <w:szCs w:val="19"/>
              </w:rPr>
              <w:t xml:space="preserve">Cash cross-statement match</w:t>
            </w:r>
          </w:p>
        </w:tc>
        <w:tc>
          <w:tcPr>
            <w:tcW w:type="dxa" w:w="4007"/>
            <w:shd w:fill="F2F5FA" w:val="clear"/>
            <w:tcMar>
              <w:top w:type="dxa" w:w="80"/>
              <w:left w:type="dxa" w:w="100"/>
              <w:bottom w:type="dxa" w:w="80"/>
              <w:right w:type="dxa" w:w="100"/>
            </w:tcMar>
            <w:vAlign w:val="center"/>
          </w:tcPr>
          <w:p>
            <w:r>
              <w:rPr>
                <w:sz w:val="19"/>
                <w:szCs w:val="19"/>
              </w:rPr>
              <w:t xml:space="preserve">FAIL — Balance Sheet cash ₹1,250 Cr vs Note 12 cash ₹1,205 Cr (diff ₹45 Cr)</w:t>
            </w:r>
          </w:p>
        </w:tc>
        <w:tc>
          <w:tcPr>
            <w:tcW w:type="dxa" w:w="2671"/>
            <w:shd w:fill="F2F5FA" w:val="clear"/>
            <w:tcMar>
              <w:top w:type="dxa" w:w="80"/>
              <w:left w:type="dxa" w:w="100"/>
              <w:bottom w:type="dxa" w:w="80"/>
              <w:right w:type="dxa" w:w="100"/>
            </w:tcMar>
            <w:vAlign w:val="center"/>
          </w:tcPr>
          <w:p>
            <w:r>
              <w:rPr>
                <w:sz w:val="19"/>
                <w:szCs w:val="19"/>
              </w:rPr>
              <w:t xml:space="preserve">Page 2 row: Cash &amp; Equivalents; Page 9, Note 12</w:t>
            </w:r>
          </w:p>
        </w:tc>
      </w:tr>
      <w:tr>
        <w:tc>
          <w:tcPr>
            <w:tcW w:type="dxa" w:w="2671"/>
            <w:shd w:fill="FFFFFF" w:val="clear"/>
            <w:tcMar>
              <w:top w:type="dxa" w:w="80"/>
              <w:left w:type="dxa" w:w="100"/>
              <w:bottom w:type="dxa" w:w="80"/>
              <w:right w:type="dxa" w:w="100"/>
            </w:tcMar>
            <w:vAlign w:val="center"/>
          </w:tcPr>
          <w:p>
            <w:r>
              <w:rPr>
                <w:sz w:val="19"/>
                <w:szCs w:val="19"/>
              </w:rPr>
              <w:t xml:space="preserve">Prior-year movement — Other Income</w:t>
            </w:r>
          </w:p>
        </w:tc>
        <w:tc>
          <w:tcPr>
            <w:tcW w:type="dxa" w:w="4007"/>
            <w:shd w:fill="FFFFFF" w:val="clear"/>
            <w:tcMar>
              <w:top w:type="dxa" w:w="80"/>
              <w:left w:type="dxa" w:w="100"/>
              <w:bottom w:type="dxa" w:w="80"/>
              <w:right w:type="dxa" w:w="100"/>
            </w:tcMar>
            <w:vAlign w:val="center"/>
          </w:tcPr>
          <w:p>
            <w:r>
              <w:rPr>
                <w:sz w:val="19"/>
                <w:szCs w:val="19"/>
              </w:rPr>
              <w:t xml:space="preserve">FLAGGED — up 340% YoY (₹42 Cr → ₹185 Cr)</w:t>
            </w:r>
          </w:p>
        </w:tc>
        <w:tc>
          <w:tcPr>
            <w:tcW w:type="dxa" w:w="2671"/>
            <w:shd w:fill="FFFFFF" w:val="clear"/>
            <w:tcMar>
              <w:top w:type="dxa" w:w="80"/>
              <w:left w:type="dxa" w:w="100"/>
              <w:bottom w:type="dxa" w:w="80"/>
              <w:right w:type="dxa" w:w="100"/>
            </w:tcMar>
            <w:vAlign w:val="center"/>
          </w:tcPr>
          <w:p>
            <w:r>
              <w:rPr>
                <w:sz w:val="19"/>
                <w:szCs w:val="19"/>
              </w:rPr>
              <w:t xml:space="preserve">Page 4, P&amp;L, row: Other Income</w:t>
            </w:r>
          </w:p>
        </w:tc>
      </w:tr>
      <w:tr>
        <w:tc>
          <w:tcPr>
            <w:tcW w:type="dxa" w:w="2671"/>
            <w:shd w:fill="F2F5FA" w:val="clear"/>
            <w:tcMar>
              <w:top w:type="dxa" w:w="80"/>
              <w:left w:type="dxa" w:w="100"/>
              <w:bottom w:type="dxa" w:w="80"/>
              <w:right w:type="dxa" w:w="100"/>
            </w:tcMar>
            <w:vAlign w:val="center"/>
          </w:tcPr>
          <w:p>
            <w:r>
              <w:rPr>
                <w:sz w:val="19"/>
                <w:szCs w:val="19"/>
              </w:rPr>
              <w:t xml:space="preserve">P&amp;L cross-cast</w:t>
            </w:r>
          </w:p>
        </w:tc>
        <w:tc>
          <w:tcPr>
            <w:tcW w:type="dxa" w:w="4007"/>
            <w:shd w:fill="F2F5FA" w:val="clear"/>
            <w:tcMar>
              <w:top w:type="dxa" w:w="80"/>
              <w:left w:type="dxa" w:w="100"/>
              <w:bottom w:type="dxa" w:w="80"/>
              <w:right w:type="dxa" w:w="100"/>
            </w:tcMar>
            <w:vAlign w:val="center"/>
          </w:tcPr>
          <w:p>
            <w:r>
              <w:rPr>
                <w:sz w:val="19"/>
                <w:szCs w:val="19"/>
              </w:rPr>
              <w:t xml:space="preserve">PASS — Income − Expenses = Net Profit, ties out exactly</w:t>
            </w:r>
          </w:p>
        </w:tc>
        <w:tc>
          <w:tcPr>
            <w:tcW w:type="dxa" w:w="2671"/>
            <w:shd w:fill="F2F5FA" w:val="clear"/>
            <w:tcMar>
              <w:top w:type="dxa" w:w="80"/>
              <w:left w:type="dxa" w:w="100"/>
              <w:bottom w:type="dxa" w:w="80"/>
              <w:right w:type="dxa" w:w="100"/>
            </w:tcMar>
            <w:vAlign w:val="center"/>
          </w:tcPr>
          <w:p>
            <w:r>
              <w:rPr>
                <w:sz w:val="19"/>
                <w:szCs w:val="19"/>
              </w:rPr>
              <w:t xml:space="preserve">Page 4</w:t>
            </w:r>
          </w:p>
        </w:tc>
      </w:tr>
    </w:tbl>
    <w:p>
      <w:pPr>
        <w:pStyle w:val="Heading3"/>
        <w:spacing w:after="100" w:before="220"/>
      </w:pPr>
      <w:r>
        <w:rPr>
          <w:b/>
          <w:bCs/>
          <w:color w:val="B8860B"/>
          <w:sz w:val="22"/>
          <w:szCs w:val="22"/>
        </w:rPr>
        <w:t xml:space="preserve">Step 4 — AI Layer (Grounded)</w:t>
      </w:r>
    </w:p>
    <w:p>
      <w:pPr>
        <w:spacing w:after="140" w:line="300"/>
      </w:pPr>
      <w:r>
        <w:rPr>
          <w:sz w:val="21"/>
          <w:szCs w:val="21"/>
        </w:rPr>
        <w:t xml:space="preserve">Language review flags “recievables” in Note 7 and suggests “receivables.” For the Other Income spike, the AI layer is given only the validated figures and Note 15 text (“Gain on sale of investment property”) and produces a grounded, clearly-labelled candidate explanation: the movement is likely driven by a one-off gain disclosed in Note 15, and recommends the reviewer confirm this is non-recurring for forecasting purposes. It does not assert this as fact — it is flagged as a suggested explanation pending reviewer confirmation.</w:t>
      </w:r>
    </w:p>
    <w:p>
      <w:pPr>
        <w:pStyle w:val="Heading3"/>
        <w:spacing w:after="100" w:before="220"/>
      </w:pPr>
      <w:r>
        <w:rPr>
          <w:b/>
          <w:bCs/>
          <w:color w:val="B8860B"/>
          <w:sz w:val="22"/>
          <w:szCs w:val="22"/>
        </w:rPr>
        <w:t xml:space="preserve">Step 5 — WP-514 Draft (excerpt)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58"/>
        <w:gridCol w:w="1798"/>
        <w:gridCol w:w="1438"/>
        <w:gridCol w:w="1438"/>
        <w:gridCol w:w="2517"/>
      </w:tblGrid>
      <w:tr>
        <w:trPr>
          <w:tblHeader/>
        </w:trPr>
        <w:tc>
          <w:tcPr>
            <w:tcW w:type="dxa" w:w="2158"/>
            <w:shd w:fill="1F3864" w:val="clear"/>
            <w:tcMar>
              <w:top w:type="dxa" w:w="80"/>
              <w:left w:type="dxa" w:w="100"/>
              <w:bottom w:type="dxa" w:w="80"/>
              <w:right w:type="dxa" w:w="100"/>
            </w:tcMar>
            <w:vAlign w:val="center"/>
          </w:tcPr>
          <w:p>
            <w:r>
              <w:rPr>
                <w:b/>
                <w:bCs/>
                <w:color w:val="FFFFFF"/>
                <w:sz w:val="19"/>
                <w:szCs w:val="19"/>
              </w:rPr>
              <w:t xml:space="preserve">Item Reviewed</w:t>
            </w:r>
          </w:p>
        </w:tc>
        <w:tc>
          <w:tcPr>
            <w:tcW w:type="dxa" w:w="1798"/>
            <w:shd w:fill="1F3864" w:val="clear"/>
            <w:tcMar>
              <w:top w:type="dxa" w:w="80"/>
              <w:left w:type="dxa" w:w="100"/>
              <w:bottom w:type="dxa" w:w="80"/>
              <w:right w:type="dxa" w:w="100"/>
            </w:tcMar>
            <w:vAlign w:val="center"/>
          </w:tcPr>
          <w:p>
            <w:r>
              <w:rPr>
                <w:b/>
                <w:bCs/>
                <w:color w:val="FFFFFF"/>
                <w:sz w:val="19"/>
                <w:szCs w:val="19"/>
              </w:rPr>
              <w:t xml:space="preserve">Expected</w:t>
            </w:r>
          </w:p>
        </w:tc>
        <w:tc>
          <w:tcPr>
            <w:tcW w:type="dxa" w:w="1438"/>
            <w:shd w:fill="1F3864" w:val="clear"/>
            <w:tcMar>
              <w:top w:type="dxa" w:w="80"/>
              <w:left w:type="dxa" w:w="100"/>
              <w:bottom w:type="dxa" w:w="80"/>
              <w:right w:type="dxa" w:w="100"/>
            </w:tcMar>
            <w:vAlign w:val="center"/>
          </w:tcPr>
          <w:p>
            <w:r>
              <w:rPr>
                <w:b/>
                <w:bCs/>
                <w:color w:val="FFFFFF"/>
                <w:sz w:val="19"/>
                <w:szCs w:val="19"/>
              </w:rPr>
              <w:t xml:space="preserve">Actual</w:t>
            </w:r>
          </w:p>
        </w:tc>
        <w:tc>
          <w:tcPr>
            <w:tcW w:type="dxa" w:w="1438"/>
            <w:shd w:fill="1F3864" w:val="clear"/>
            <w:tcMar>
              <w:top w:type="dxa" w:w="80"/>
              <w:left w:type="dxa" w:w="100"/>
              <w:bottom w:type="dxa" w:w="80"/>
              <w:right w:type="dxa" w:w="100"/>
            </w:tcMar>
            <w:vAlign w:val="center"/>
          </w:tcPr>
          <w:p>
            <w:r>
              <w:rPr>
                <w:b/>
                <w:bCs/>
                <w:color w:val="FFFFFF"/>
                <w:sz w:val="19"/>
                <w:szCs w:val="19"/>
              </w:rPr>
              <w:t xml:space="preserve">Status</w:t>
            </w:r>
          </w:p>
        </w:tc>
        <w:tc>
          <w:tcPr>
            <w:tcW w:type="dxa" w:w="2517"/>
            <w:shd w:fill="1F3864" w:val="clear"/>
            <w:tcMar>
              <w:top w:type="dxa" w:w="80"/>
              <w:left w:type="dxa" w:w="100"/>
              <w:bottom w:type="dxa" w:w="80"/>
              <w:right w:type="dxa" w:w="100"/>
            </w:tcMar>
            <w:vAlign w:val="center"/>
          </w:tcPr>
          <w:p>
            <w:r>
              <w:rPr>
                <w:b/>
                <w:bCs/>
                <w:color w:val="FFFFFF"/>
                <w:sz w:val="19"/>
                <w:szCs w:val="19"/>
              </w:rPr>
              <w:t xml:space="preserve">Comment</w:t>
            </w:r>
          </w:p>
        </w:tc>
      </w:tr>
      <w:tr>
        <w:tc>
          <w:tcPr>
            <w:tcW w:type="dxa" w:w="2158"/>
            <w:shd w:fill="FFFFFF" w:val="clear"/>
            <w:tcMar>
              <w:top w:type="dxa" w:w="80"/>
              <w:left w:type="dxa" w:w="100"/>
              <w:bottom w:type="dxa" w:w="80"/>
              <w:right w:type="dxa" w:w="100"/>
            </w:tcMar>
            <w:vAlign w:val="center"/>
          </w:tcPr>
          <w:p>
            <w:r>
              <w:rPr>
                <w:sz w:val="19"/>
                <w:szCs w:val="19"/>
              </w:rPr>
              <w:t xml:space="preserve">Balance Sheet equation</w:t>
            </w:r>
          </w:p>
        </w:tc>
        <w:tc>
          <w:tcPr>
            <w:tcW w:type="dxa" w:w="1798"/>
            <w:shd w:fill="FFFFFF" w:val="clear"/>
            <w:tcMar>
              <w:top w:type="dxa" w:w="80"/>
              <w:left w:type="dxa" w:w="100"/>
              <w:bottom w:type="dxa" w:w="80"/>
              <w:right w:type="dxa" w:w="100"/>
            </w:tcMar>
            <w:vAlign w:val="center"/>
          </w:tcPr>
          <w:p>
            <w:r>
              <w:rPr>
                <w:sz w:val="19"/>
                <w:szCs w:val="19"/>
              </w:rPr>
              <w:t xml:space="preserve">Assets = Liab + Equity</w:t>
            </w:r>
          </w:p>
        </w:tc>
        <w:tc>
          <w:tcPr>
            <w:tcW w:type="dxa" w:w="1438"/>
            <w:shd w:fill="FFFFFF" w:val="clear"/>
            <w:tcMar>
              <w:top w:type="dxa" w:w="80"/>
              <w:left w:type="dxa" w:w="100"/>
              <w:bottom w:type="dxa" w:w="80"/>
              <w:right w:type="dxa" w:w="100"/>
            </w:tcMar>
            <w:vAlign w:val="center"/>
          </w:tcPr>
          <w:p>
            <w:r>
              <w:rPr>
                <w:sz w:val="19"/>
                <w:szCs w:val="19"/>
              </w:rPr>
              <w:t xml:space="preserve">Diff ₹40 Cr</w:t>
            </w:r>
          </w:p>
        </w:tc>
        <w:tc>
          <w:tcPr>
            <w:tcW w:type="dxa" w:w="1438"/>
            <w:shd w:fill="FFFFFF" w:val="clear"/>
            <w:tcMar>
              <w:top w:type="dxa" w:w="80"/>
              <w:left w:type="dxa" w:w="100"/>
              <w:bottom w:type="dxa" w:w="80"/>
              <w:right w:type="dxa" w:w="100"/>
            </w:tcMar>
            <w:vAlign w:val="center"/>
          </w:tcPr>
          <w:p>
            <w:r>
              <w:rPr>
                <w:sz w:val="19"/>
                <w:szCs w:val="19"/>
              </w:rPr>
              <w:t xml:space="preserve">Exception</w:t>
            </w:r>
          </w:p>
        </w:tc>
        <w:tc>
          <w:tcPr>
            <w:tcW w:type="dxa" w:w="2517"/>
            <w:shd w:fill="FFFFFF" w:val="clear"/>
            <w:tcMar>
              <w:top w:type="dxa" w:w="80"/>
              <w:left w:type="dxa" w:w="100"/>
              <w:bottom w:type="dxa" w:w="80"/>
              <w:right w:type="dxa" w:w="100"/>
            </w:tcMar>
            <w:vAlign w:val="center"/>
          </w:tcPr>
          <w:p>
            <w:r>
              <w:rPr>
                <w:sz w:val="19"/>
                <w:szCs w:val="19"/>
              </w:rPr>
              <w:t xml:space="preserve">Reviewer to trace ₹40 Cr difference; math engine could not locate a matching entry</w:t>
            </w:r>
          </w:p>
        </w:tc>
      </w:tr>
      <w:tr>
        <w:tc>
          <w:tcPr>
            <w:tcW w:type="dxa" w:w="2158"/>
            <w:shd w:fill="F2F5FA" w:val="clear"/>
            <w:tcMar>
              <w:top w:type="dxa" w:w="80"/>
              <w:left w:type="dxa" w:w="100"/>
              <w:bottom w:type="dxa" w:w="80"/>
              <w:right w:type="dxa" w:w="100"/>
            </w:tcMar>
            <w:vAlign w:val="center"/>
          </w:tcPr>
          <w:p>
            <w:r>
              <w:rPr>
                <w:sz w:val="19"/>
                <w:szCs w:val="19"/>
              </w:rPr>
              <w:t xml:space="preserve">Cash — BS vs Note 12</w:t>
            </w:r>
          </w:p>
        </w:tc>
        <w:tc>
          <w:tcPr>
            <w:tcW w:type="dxa" w:w="1798"/>
            <w:shd w:fill="F2F5FA" w:val="clear"/>
            <w:tcMar>
              <w:top w:type="dxa" w:w="80"/>
              <w:left w:type="dxa" w:w="100"/>
              <w:bottom w:type="dxa" w:w="80"/>
              <w:right w:type="dxa" w:w="100"/>
            </w:tcMar>
            <w:vAlign w:val="center"/>
          </w:tcPr>
          <w:p>
            <w:r>
              <w:rPr>
                <w:sz w:val="19"/>
                <w:szCs w:val="19"/>
              </w:rPr>
              <w:t xml:space="preserve">Equal</w:t>
            </w:r>
          </w:p>
        </w:tc>
        <w:tc>
          <w:tcPr>
            <w:tcW w:type="dxa" w:w="1438"/>
            <w:shd w:fill="F2F5FA" w:val="clear"/>
            <w:tcMar>
              <w:top w:type="dxa" w:w="80"/>
              <w:left w:type="dxa" w:w="100"/>
              <w:bottom w:type="dxa" w:w="80"/>
              <w:right w:type="dxa" w:w="100"/>
            </w:tcMar>
            <w:vAlign w:val="center"/>
          </w:tcPr>
          <w:p>
            <w:r>
              <w:rPr>
                <w:sz w:val="19"/>
                <w:szCs w:val="19"/>
              </w:rPr>
              <w:t xml:space="preserve">Diff ₹45 Cr</w:t>
            </w:r>
          </w:p>
        </w:tc>
        <w:tc>
          <w:tcPr>
            <w:tcW w:type="dxa" w:w="1438"/>
            <w:shd w:fill="F2F5FA" w:val="clear"/>
            <w:tcMar>
              <w:top w:type="dxa" w:w="80"/>
              <w:left w:type="dxa" w:w="100"/>
              <w:bottom w:type="dxa" w:w="80"/>
              <w:right w:type="dxa" w:w="100"/>
            </w:tcMar>
            <w:vAlign w:val="center"/>
          </w:tcPr>
          <w:p>
            <w:r>
              <w:rPr>
                <w:sz w:val="19"/>
                <w:szCs w:val="19"/>
              </w:rPr>
              <w:t xml:space="preserve">Exception</w:t>
            </w:r>
          </w:p>
        </w:tc>
        <w:tc>
          <w:tcPr>
            <w:tcW w:type="dxa" w:w="2517"/>
            <w:shd w:fill="F2F5FA" w:val="clear"/>
            <w:tcMar>
              <w:top w:type="dxa" w:w="80"/>
              <w:left w:type="dxa" w:w="100"/>
              <w:bottom w:type="dxa" w:w="80"/>
              <w:right w:type="dxa" w:w="100"/>
            </w:tcMar>
            <w:vAlign w:val="center"/>
          </w:tcPr>
          <w:p>
            <w:r>
              <w:rPr>
                <w:sz w:val="19"/>
                <w:szCs w:val="19"/>
              </w:rPr>
              <w:t xml:space="preserve">Possible timing item or note error; needs reviewer confirmation</w:t>
            </w:r>
          </w:p>
        </w:tc>
      </w:tr>
      <w:tr>
        <w:tc>
          <w:tcPr>
            <w:tcW w:type="dxa" w:w="2158"/>
            <w:shd w:fill="FFFFFF" w:val="clear"/>
            <w:tcMar>
              <w:top w:type="dxa" w:w="80"/>
              <w:left w:type="dxa" w:w="100"/>
              <w:bottom w:type="dxa" w:w="80"/>
              <w:right w:type="dxa" w:w="100"/>
            </w:tcMar>
            <w:vAlign w:val="center"/>
          </w:tcPr>
          <w:p>
            <w:r>
              <w:rPr>
                <w:sz w:val="19"/>
                <w:szCs w:val="19"/>
              </w:rPr>
              <w:t xml:space="preserve">Other Income YoY movement</w:t>
            </w:r>
          </w:p>
        </w:tc>
        <w:tc>
          <w:tcPr>
            <w:tcW w:type="dxa" w:w="1798"/>
            <w:shd w:fill="FFFFFF" w:val="clear"/>
            <w:tcMar>
              <w:top w:type="dxa" w:w="80"/>
              <w:left w:type="dxa" w:w="100"/>
              <w:bottom w:type="dxa" w:w="80"/>
              <w:right w:type="dxa" w:w="100"/>
            </w:tcMar>
            <w:vAlign w:val="center"/>
          </w:tcPr>
          <w:p>
            <w:r>
              <w:rPr>
                <w:sz w:val="19"/>
                <w:szCs w:val="19"/>
              </w:rPr>
              <w:t xml:space="preserve">Within threshold</w:t>
            </w:r>
          </w:p>
        </w:tc>
        <w:tc>
          <w:tcPr>
            <w:tcW w:type="dxa" w:w="1438"/>
            <w:shd w:fill="FFFFFF" w:val="clear"/>
            <w:tcMar>
              <w:top w:type="dxa" w:w="80"/>
              <w:left w:type="dxa" w:w="100"/>
              <w:bottom w:type="dxa" w:w="80"/>
              <w:right w:type="dxa" w:w="100"/>
            </w:tcMar>
            <w:vAlign w:val="center"/>
          </w:tcPr>
          <w:p>
            <w:r>
              <w:rPr>
                <w:sz w:val="19"/>
                <w:szCs w:val="19"/>
              </w:rPr>
              <w:t xml:space="preserve">+340%</w:t>
            </w:r>
          </w:p>
        </w:tc>
        <w:tc>
          <w:tcPr>
            <w:tcW w:type="dxa" w:w="1438"/>
            <w:shd w:fill="FFFFFF" w:val="clear"/>
            <w:tcMar>
              <w:top w:type="dxa" w:w="80"/>
              <w:left w:type="dxa" w:w="100"/>
              <w:bottom w:type="dxa" w:w="80"/>
              <w:right w:type="dxa" w:w="100"/>
            </w:tcMar>
            <w:vAlign w:val="center"/>
          </w:tcPr>
          <w:p>
            <w:r>
              <w:rPr>
                <w:sz w:val="19"/>
                <w:szCs w:val="19"/>
              </w:rPr>
              <w:t xml:space="preserve">Exception (Explained)</w:t>
            </w:r>
          </w:p>
        </w:tc>
        <w:tc>
          <w:tcPr>
            <w:tcW w:type="dxa" w:w="2517"/>
            <w:shd w:fill="FFFFFF" w:val="clear"/>
            <w:tcMar>
              <w:top w:type="dxa" w:w="80"/>
              <w:left w:type="dxa" w:w="100"/>
              <w:bottom w:type="dxa" w:w="80"/>
              <w:right w:type="dxa" w:w="100"/>
            </w:tcMar>
            <w:vAlign w:val="center"/>
          </w:tcPr>
          <w:p>
            <w:r>
              <w:rPr>
                <w:sz w:val="19"/>
                <w:szCs w:val="19"/>
              </w:rPr>
              <w:t xml:space="preserve">AI-suggested cause: one-off gain per Note 15 — pending sign-off</w:t>
            </w:r>
          </w:p>
        </w:tc>
      </w:tr>
      <w:tr>
        <w:tc>
          <w:tcPr>
            <w:tcW w:type="dxa" w:w="2158"/>
            <w:shd w:fill="F2F5FA" w:val="clear"/>
            <w:tcMar>
              <w:top w:type="dxa" w:w="80"/>
              <w:left w:type="dxa" w:w="100"/>
              <w:bottom w:type="dxa" w:w="80"/>
              <w:right w:type="dxa" w:w="100"/>
            </w:tcMar>
            <w:vAlign w:val="center"/>
          </w:tcPr>
          <w:p>
            <w:r>
              <w:rPr>
                <w:sz w:val="19"/>
                <w:szCs w:val="19"/>
              </w:rPr>
              <w:t xml:space="preserve">P&amp;L cross-cast</w:t>
            </w:r>
          </w:p>
        </w:tc>
        <w:tc>
          <w:tcPr>
            <w:tcW w:type="dxa" w:w="1798"/>
            <w:shd w:fill="F2F5FA" w:val="clear"/>
            <w:tcMar>
              <w:top w:type="dxa" w:w="80"/>
              <w:left w:type="dxa" w:w="100"/>
              <w:bottom w:type="dxa" w:w="80"/>
              <w:right w:type="dxa" w:w="100"/>
            </w:tcMar>
            <w:vAlign w:val="center"/>
          </w:tcPr>
          <w:p>
            <w:r>
              <w:rPr>
                <w:sz w:val="19"/>
                <w:szCs w:val="19"/>
              </w:rPr>
              <w:t xml:space="preserve">Ties out</w:t>
            </w:r>
          </w:p>
        </w:tc>
        <w:tc>
          <w:tcPr>
            <w:tcW w:type="dxa" w:w="1438"/>
            <w:shd w:fill="F2F5FA" w:val="clear"/>
            <w:tcMar>
              <w:top w:type="dxa" w:w="80"/>
              <w:left w:type="dxa" w:w="100"/>
              <w:bottom w:type="dxa" w:w="80"/>
              <w:right w:type="dxa" w:w="100"/>
            </w:tcMar>
            <w:vAlign w:val="center"/>
          </w:tcPr>
          <w:p>
            <w:r>
              <w:rPr>
                <w:sz w:val="19"/>
                <w:szCs w:val="19"/>
              </w:rPr>
              <w:t xml:space="preserve">Ties out</w:t>
            </w:r>
          </w:p>
        </w:tc>
        <w:tc>
          <w:tcPr>
            <w:tcW w:type="dxa" w:w="1438"/>
            <w:shd w:fill="F2F5FA" w:val="clear"/>
            <w:tcMar>
              <w:top w:type="dxa" w:w="80"/>
              <w:left w:type="dxa" w:w="100"/>
              <w:bottom w:type="dxa" w:w="80"/>
              <w:right w:type="dxa" w:w="100"/>
            </w:tcMar>
            <w:vAlign w:val="center"/>
          </w:tcPr>
          <w:p>
            <w:r>
              <w:rPr>
                <w:sz w:val="19"/>
                <w:szCs w:val="19"/>
              </w:rPr>
              <w:t xml:space="preserve">Pass</w:t>
            </w:r>
          </w:p>
        </w:tc>
        <w:tc>
          <w:tcPr>
            <w:tcW w:type="dxa" w:w="2517"/>
            <w:shd w:fill="F2F5FA" w:val="clear"/>
            <w:tcMar>
              <w:top w:type="dxa" w:w="80"/>
              <w:left w:type="dxa" w:w="100"/>
              <w:bottom w:type="dxa" w:w="80"/>
              <w:right w:type="dxa" w:w="100"/>
            </w:tcMar>
            <w:vAlign w:val="center"/>
          </w:tcPr>
          <w:p>
            <w:r>
              <w:rPr>
                <w:sz w:val="19"/>
                <w:szCs w:val="19"/>
              </w:rPr>
              <w:t xml:space="preserve">—</w:t>
            </w:r>
          </w:p>
        </w:tc>
      </w:tr>
    </w:tbl>
    <w:p>
      <w:pPr>
        <w:pStyle w:val="Heading3"/>
        <w:spacing w:after="100" w:before="220"/>
      </w:pPr>
      <w:r>
        <w:rPr>
          <w:b/>
          <w:bCs/>
          <w:color w:val="B8860B"/>
          <w:sz w:val="22"/>
          <w:szCs w:val="22"/>
        </w:rPr>
        <w:t xml:space="preserve">Step 6 — Dashboard</w:t>
      </w:r>
    </w:p>
    <w:p>
      <w:pPr>
        <w:spacing w:after="140" w:line="300"/>
      </w:pPr>
      <w:r>
        <w:rPr>
          <w:sz w:val="21"/>
          <w:szCs w:val="21"/>
        </w:rPr>
        <w:t xml:space="preserve">The dashboard shows GreenPeak's overall status as “3 Exceptions, 1 Pass,” with severity badges, and lets the reviewer click any exception to see the exact PDF page and highlighted row that produced it — closing the loop from raw document to actionable, evidence-backed finding, in seconds instead of hours.</w:t>
      </w:r>
    </w:p>
    <w:p>
      <w:pPr>
        <w:pStyle w:val="Heading1"/>
        <w:pBdr>
          <w:bottom w:val="single" w:color="1F3864" w:sz="6" w:space="4"/>
        </w:pBdr>
        <w:spacing w:after="200" w:before="400"/>
      </w:pPr>
      <w:r>
        <w:rPr>
          <w:b/>
          <w:bCs/>
          <w:color w:val="1F3864"/>
          <w:sz w:val="30"/>
          <w:szCs w:val="30"/>
        </w:rPr>
        <w:t xml:space="preserve">8. Inter-Module Data Contracts (Sample)</w:t>
      </w:r>
    </w:p>
    <w:p>
      <w:pPr>
        <w:spacing w:after="140" w:line="300"/>
      </w:pPr>
      <w:r>
        <w:rPr>
          <w:sz w:val="21"/>
          <w:szCs w:val="21"/>
        </w:rPr>
        <w:t xml:space="preserve">A single findings schema keeps Math, Consistency/PY and AI outputs interchangeable for the aggregator and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B2B2B" w:val="clear"/>
            <w:tcMar>
              <w:top w:type="dxa" w:w="120"/>
              <w:left w:type="dxa" w:w="150"/>
              <w:bottom w:type="dxa" w:w="120"/>
              <w:right w:type="dxa" w:w="150"/>
            </w:tcMar>
          </w:tcPr>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"finding_id": "F-014",</w:t>
            </w:r>
          </w:p>
          <w:p>
            <w:pPr>
              <w:spacing w:after="20"/>
            </w:pPr>
            <w:r>
              <w:rPr>
                <w:rFonts w:ascii="Consolas" w:cs="Consolas" w:eastAsia="Consolas" w:hAnsi="Consolas"/>
                <w:color w:val="D4D4D4"/>
                <w:sz w:val="17"/>
                <w:szCs w:val="17"/>
              </w:rPr>
              <w:t xml:space="preserve">  "module": "math_engine",</w:t>
            </w:r>
          </w:p>
          <w:p>
            <w:pPr>
              <w:spacing w:after="20"/>
            </w:pPr>
            <w:r>
              <w:rPr>
                <w:rFonts w:ascii="Consolas" w:cs="Consolas" w:eastAsia="Consolas" w:hAnsi="Consolas"/>
                <w:color w:val="D4D4D4"/>
                <w:sz w:val="17"/>
                <w:szCs w:val="17"/>
              </w:rPr>
              <w:t xml:space="preserve">  "check": "balance_sheet_equation",</w:t>
            </w:r>
          </w:p>
          <w:p>
            <w:pPr>
              <w:spacing w:after="20"/>
            </w:pPr>
            <w:r>
              <w:rPr>
                <w:rFonts w:ascii="Consolas" w:cs="Consolas" w:eastAsia="Consolas" w:hAnsi="Consolas"/>
                <w:color w:val="D4D4D4"/>
                <w:sz w:val="17"/>
                <w:szCs w:val="17"/>
              </w:rPr>
              <w:t xml:space="preserve">  "status": "exception",</w:t>
            </w:r>
          </w:p>
          <w:p>
            <w:pPr>
              <w:spacing w:after="20"/>
            </w:pPr>
            <w:r>
              <w:rPr>
                <w:rFonts w:ascii="Consolas" w:cs="Consolas" w:eastAsia="Consolas" w:hAnsi="Consolas"/>
                <w:color w:val="D4D4D4"/>
                <w:sz w:val="17"/>
                <w:szCs w:val="17"/>
              </w:rPr>
              <w:t xml:space="preserve">  "severity": "high",</w:t>
            </w:r>
          </w:p>
          <w:p>
            <w:pPr>
              <w:spacing w:after="20"/>
            </w:pPr>
            <w:r>
              <w:rPr>
                <w:rFonts w:ascii="Consolas" w:cs="Consolas" w:eastAsia="Consolas" w:hAnsi="Consolas"/>
                <w:color w:val="D4D4D4"/>
                <w:sz w:val="17"/>
                <w:szCs w:val="17"/>
              </w:rPr>
              <w:t xml:space="preserve">  "expected": 1241000,</w:t>
            </w:r>
          </w:p>
          <w:p>
            <w:pPr>
              <w:spacing w:after="20"/>
            </w:pPr>
            <w:r>
              <w:rPr>
                <w:rFonts w:ascii="Consolas" w:cs="Consolas" w:eastAsia="Consolas" w:hAnsi="Consolas"/>
                <w:color w:val="D4D4D4"/>
                <w:sz w:val="17"/>
                <w:szCs w:val="17"/>
              </w:rPr>
              <w:t xml:space="preserve">  "actual": 1245000,</w:t>
            </w:r>
          </w:p>
          <w:p>
            <w:pPr>
              <w:spacing w:after="20"/>
            </w:pPr>
            <w:r>
              <w:rPr>
                <w:rFonts w:ascii="Consolas" w:cs="Consolas" w:eastAsia="Consolas" w:hAnsi="Consolas"/>
                <w:color w:val="D4D4D4"/>
                <w:sz w:val="17"/>
                <w:szCs w:val="17"/>
              </w:rPr>
              <w:t xml:space="preserve">  "difference": 4000,</w:t>
            </w:r>
          </w:p>
          <w:p>
            <w:pPr>
              <w:spacing w:after="20"/>
            </w:pPr>
            <w:r>
              <w:rPr>
                <w:rFonts w:ascii="Consolas" w:cs="Consolas" w:eastAsia="Consolas" w:hAnsi="Consolas"/>
                <w:color w:val="D4D4D4"/>
                <w:sz w:val="17"/>
                <w:szCs w:val="17"/>
              </w:rPr>
              <w:t xml:space="preserve">  "evidence": [</w:t>
            </w:r>
          </w:p>
          <w:p>
            <w:pPr>
              <w:spacing w:after="20"/>
            </w:pPr>
            <w:r>
              <w:rPr>
                <w:rFonts w:ascii="Consolas" w:cs="Consolas" w:eastAsia="Consolas" w:hAnsi="Consolas"/>
                <w:color w:val="D4D4D4"/>
                <w:sz w:val="17"/>
                <w:szCs w:val="17"/>
              </w:rPr>
              <w:t xml:space="preserve">    {"doc_id": "greenpeak_fy25.pdf", "page": 2, "row": "Total Assets"},</w:t>
            </w:r>
          </w:p>
          <w:p>
            <w:pPr>
              <w:spacing w:after="20"/>
            </w:pPr>
            <w:r>
              <w:rPr>
                <w:rFonts w:ascii="Consolas" w:cs="Consolas" w:eastAsia="Consolas" w:hAnsi="Consolas"/>
                <w:color w:val="D4D4D4"/>
                <w:sz w:val="17"/>
                <w:szCs w:val="17"/>
              </w:rPr>
              <w:t xml:space="preserve">    {"doc_id": "greenpeak_fy25.pdf", "page": 2, "row": "Total Liabilities"},</w:t>
            </w:r>
          </w:p>
          <w:p>
            <w:pPr>
              <w:spacing w:after="20"/>
            </w:pPr>
            <w:r>
              <w:rPr>
                <w:rFonts w:ascii="Consolas" w:cs="Consolas" w:eastAsia="Consolas" w:hAnsi="Consolas"/>
                <w:color w:val="D4D4D4"/>
                <w:sz w:val="17"/>
                <w:szCs w:val="17"/>
              </w:rPr>
              <w:t xml:space="preserve">    {"doc_id": "greenpeak_fy25.pdf", "page": 2, "row": "Total Equity"}</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"ai_explanation": null</w:t>
            </w:r>
          </w:p>
          <w:p>
            <w:pPr>
              <w:spacing w:after="20"/>
            </w:pPr>
            <w:r>
              <w:rPr>
                <w:rFonts w:ascii="Consolas" w:cs="Consolas" w:eastAsia="Consolas" w:hAnsi="Consolas"/>
                <w:color w:val="D4D4D4"/>
                <w:sz w:val="17"/>
                <w:szCs w:val="17"/>
              </w:rPr>
              <w:t xml:space="preserve">}</w:t>
            </w:r>
          </w:p>
        </w:tc>
      </w:tr>
    </w:tbl>
    <w:p>
      <w:pPr>
        <w:pStyle w:val="Heading1"/>
        <w:pBdr>
          <w:bottom w:val="single" w:color="1F3864" w:sz="6" w:space="4"/>
        </w:pBdr>
        <w:spacing w:after="200" w:before="400"/>
      </w:pPr>
      <w:r>
        <w:rPr>
          <w:b/>
          <w:bCs/>
          <w:color w:val="1F3864"/>
          <w:sz w:val="30"/>
          <w:szCs w:val="30"/>
        </w:rPr>
        <w:t xml:space="preserve">9. Revised 7-Member Task Distribution &amp; Tech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
        <w:gridCol w:w="2244"/>
        <w:gridCol w:w="3740"/>
        <w:gridCol w:w="2805"/>
      </w:tblGrid>
      <w:tr>
        <w:trPr>
          <w:tblHeader/>
        </w:trPr>
        <w:tc>
          <w:tcPr>
            <w:tcW w:type="dxa" w:w="561"/>
            <w:shd w:fill="1F3864" w:val="clear"/>
            <w:tcMar>
              <w:top w:type="dxa" w:w="80"/>
              <w:left w:type="dxa" w:w="100"/>
              <w:bottom w:type="dxa" w:w="80"/>
              <w:right w:type="dxa" w:w="100"/>
            </w:tcMar>
            <w:vAlign w:val="center"/>
          </w:tcPr>
          <w:p>
            <w:r>
              <w:rPr>
                <w:b/>
                <w:bCs/>
                <w:color w:val="FFFFFF"/>
                <w:sz w:val="19"/>
                <w:szCs w:val="19"/>
              </w:rPr>
              <w:t xml:space="preserve">#</w:t>
            </w:r>
          </w:p>
        </w:tc>
        <w:tc>
          <w:tcPr>
            <w:tcW w:type="dxa" w:w="2244"/>
            <w:shd w:fill="1F3864" w:val="clear"/>
            <w:tcMar>
              <w:top w:type="dxa" w:w="80"/>
              <w:left w:type="dxa" w:w="100"/>
              <w:bottom w:type="dxa" w:w="80"/>
              <w:right w:type="dxa" w:w="100"/>
            </w:tcMar>
            <w:vAlign w:val="center"/>
          </w:tcPr>
          <w:p>
            <w:r>
              <w:rPr>
                <w:b/>
                <w:bCs/>
                <w:color w:val="FFFFFF"/>
                <w:sz w:val="19"/>
                <w:szCs w:val="19"/>
              </w:rPr>
              <w:t xml:space="preserve">Member</w:t>
            </w:r>
          </w:p>
        </w:tc>
        <w:tc>
          <w:tcPr>
            <w:tcW w:type="dxa" w:w="3740"/>
            <w:shd w:fill="1F3864" w:val="clear"/>
            <w:tcMar>
              <w:top w:type="dxa" w:w="80"/>
              <w:left w:type="dxa" w:w="100"/>
              <w:bottom w:type="dxa" w:w="80"/>
              <w:right w:type="dxa" w:w="100"/>
            </w:tcMar>
            <w:vAlign w:val="center"/>
          </w:tcPr>
          <w:p>
            <w:r>
              <w:rPr>
                <w:b/>
                <w:bCs/>
                <w:color w:val="FFFFFF"/>
                <w:sz w:val="19"/>
                <w:szCs w:val="19"/>
              </w:rPr>
              <w:t xml:space="preserve">Workstream</w:t>
            </w:r>
          </w:p>
        </w:tc>
        <w:tc>
          <w:tcPr>
            <w:tcW w:type="dxa" w:w="2805"/>
            <w:shd w:fill="1F3864" w:val="clear"/>
            <w:tcMar>
              <w:top w:type="dxa" w:w="80"/>
              <w:left w:type="dxa" w:w="100"/>
              <w:bottom w:type="dxa" w:w="80"/>
              <w:right w:type="dxa" w:w="100"/>
            </w:tcMar>
            <w:vAlign w:val="center"/>
          </w:tcPr>
          <w:p>
            <w:r>
              <w:rPr>
                <w:b/>
                <w:bCs/>
                <w:color w:val="FFFFFF"/>
                <w:sz w:val="19"/>
                <w:szCs w:val="19"/>
              </w:rPr>
              <w:t xml:space="preserve">Owns (Tech)</w:t>
            </w:r>
          </w:p>
        </w:tc>
      </w:tr>
      <w:tr>
        <w:tc>
          <w:tcPr>
            <w:tcW w:type="dxa" w:w="561"/>
            <w:shd w:fill="FFFFFF" w:val="clear"/>
            <w:tcMar>
              <w:top w:type="dxa" w:w="80"/>
              <w:left w:type="dxa" w:w="100"/>
              <w:bottom w:type="dxa" w:w="80"/>
              <w:right w:type="dxa" w:w="100"/>
            </w:tcMar>
            <w:vAlign w:val="center"/>
          </w:tcPr>
          <w:p>
            <w:r>
              <w:rPr>
                <w:sz w:val="19"/>
                <w:szCs w:val="19"/>
              </w:rPr>
              <w:t xml:space="preserve">1</w:t>
            </w:r>
          </w:p>
        </w:tc>
        <w:tc>
          <w:tcPr>
            <w:tcW w:type="dxa" w:w="2244"/>
            <w:shd w:fill="FFFFFF" w:val="clear"/>
            <w:tcMar>
              <w:top w:type="dxa" w:w="80"/>
              <w:left w:type="dxa" w:w="100"/>
              <w:bottom w:type="dxa" w:w="80"/>
              <w:right w:type="dxa" w:w="100"/>
            </w:tcMar>
            <w:vAlign w:val="center"/>
          </w:tcPr>
          <w:p>
            <w:r>
              <w:rPr>
                <w:sz w:val="19"/>
                <w:szCs w:val="19"/>
              </w:rPr>
              <w:t xml:space="preserve">Domain + WP-514 Lead</w:t>
            </w:r>
          </w:p>
        </w:tc>
        <w:tc>
          <w:tcPr>
            <w:tcW w:type="dxa" w:w="3740"/>
            <w:shd w:fill="FFFFFF" w:val="clear"/>
            <w:tcMar>
              <w:top w:type="dxa" w:w="80"/>
              <w:left w:type="dxa" w:w="100"/>
              <w:bottom w:type="dxa" w:w="80"/>
              <w:right w:type="dxa" w:w="100"/>
            </w:tcMar>
            <w:vAlign w:val="center"/>
          </w:tcPr>
          <w:p>
            <w:r>
              <w:rPr>
                <w:sz w:val="19"/>
                <w:szCs w:val="19"/>
              </w:rPr>
              <w:t xml:space="preserve">Defines checks, banking ratios, validates WP-514 fields with mentor</w:t>
            </w:r>
          </w:p>
        </w:tc>
        <w:tc>
          <w:tcPr>
            <w:tcW w:type="dxa" w:w="2805"/>
            <w:shd w:fill="FFFFFF" w:val="clear"/>
            <w:tcMar>
              <w:top w:type="dxa" w:w="80"/>
              <w:left w:type="dxa" w:w="100"/>
              <w:bottom w:type="dxa" w:w="80"/>
              <w:right w:type="dxa" w:w="100"/>
            </w:tcMar>
            <w:vAlign w:val="center"/>
          </w:tcPr>
          <w:p>
            <w:r>
              <w:rPr>
                <w:sz w:val="19"/>
                <w:szCs w:val="19"/>
              </w:rPr>
              <w:t xml:space="preserve">WP-514 field mapping logic, requirements doc</w:t>
            </w:r>
          </w:p>
        </w:tc>
      </w:tr>
      <w:tr>
        <w:tc>
          <w:tcPr>
            <w:tcW w:type="dxa" w:w="561"/>
            <w:shd w:fill="F2F5FA" w:val="clear"/>
            <w:tcMar>
              <w:top w:type="dxa" w:w="80"/>
              <w:left w:type="dxa" w:w="100"/>
              <w:bottom w:type="dxa" w:w="80"/>
              <w:right w:type="dxa" w:w="100"/>
            </w:tcMar>
            <w:vAlign w:val="center"/>
          </w:tcPr>
          <w:p>
            <w:r>
              <w:rPr>
                <w:sz w:val="19"/>
                <w:szCs w:val="19"/>
              </w:rPr>
              <w:t xml:space="preserve">2</w:t>
            </w:r>
          </w:p>
        </w:tc>
        <w:tc>
          <w:tcPr>
            <w:tcW w:type="dxa" w:w="2244"/>
            <w:shd w:fill="F2F5FA" w:val="clear"/>
            <w:tcMar>
              <w:top w:type="dxa" w:w="80"/>
              <w:left w:type="dxa" w:w="100"/>
              <w:bottom w:type="dxa" w:w="80"/>
              <w:right w:type="dxa" w:w="100"/>
            </w:tcMar>
            <w:vAlign w:val="center"/>
          </w:tcPr>
          <w:p>
            <w:r>
              <w:rPr>
                <w:sz w:val="19"/>
                <w:szCs w:val="19"/>
              </w:rPr>
              <w:t xml:space="preserve">Dummy Dataset</w:t>
            </w:r>
          </w:p>
        </w:tc>
        <w:tc>
          <w:tcPr>
            <w:tcW w:type="dxa" w:w="3740"/>
            <w:shd w:fill="F2F5FA" w:val="clear"/>
            <w:tcMar>
              <w:top w:type="dxa" w:w="80"/>
              <w:left w:type="dxa" w:w="100"/>
              <w:bottom w:type="dxa" w:w="80"/>
              <w:right w:type="dxa" w:w="100"/>
            </w:tcMar>
            <w:vAlign w:val="center"/>
          </w:tcPr>
          <w:p>
            <w:r>
              <w:rPr>
                <w:sz w:val="19"/>
                <w:szCs w:val="19"/>
              </w:rPr>
              <w:t xml:space="preserve">5–10 fictional bank cases, 2-year statements, seeded errors, ground truth</w:t>
            </w:r>
          </w:p>
        </w:tc>
        <w:tc>
          <w:tcPr>
            <w:tcW w:type="dxa" w:w="2805"/>
            <w:shd w:fill="F2F5FA" w:val="clear"/>
            <w:tcMar>
              <w:top w:type="dxa" w:w="80"/>
              <w:left w:type="dxa" w:w="100"/>
              <w:bottom w:type="dxa" w:w="80"/>
              <w:right w:type="dxa" w:w="100"/>
            </w:tcMar>
            <w:vAlign w:val="center"/>
          </w:tcPr>
          <w:p>
            <w:r>
              <w:rPr>
                <w:sz w:val="19"/>
                <w:szCs w:val="19"/>
              </w:rPr>
              <w:t xml:space="preserve">Synthetic PDF/XLSX generator scripts, ground-truth JSON</w:t>
            </w:r>
          </w:p>
        </w:tc>
      </w:tr>
      <w:tr>
        <w:tc>
          <w:tcPr>
            <w:tcW w:type="dxa" w:w="561"/>
            <w:shd w:fill="FFFFFF" w:val="clear"/>
            <w:tcMar>
              <w:top w:type="dxa" w:w="80"/>
              <w:left w:type="dxa" w:w="100"/>
              <w:bottom w:type="dxa" w:w="80"/>
              <w:right w:type="dxa" w:w="100"/>
            </w:tcMar>
            <w:vAlign w:val="center"/>
          </w:tcPr>
          <w:p>
            <w:r>
              <w:rPr>
                <w:sz w:val="19"/>
                <w:szCs w:val="19"/>
              </w:rPr>
              <w:t xml:space="preserve">3</w:t>
            </w:r>
          </w:p>
        </w:tc>
        <w:tc>
          <w:tcPr>
            <w:tcW w:type="dxa" w:w="2244"/>
            <w:shd w:fill="FFFFFF" w:val="clear"/>
            <w:tcMar>
              <w:top w:type="dxa" w:w="80"/>
              <w:left w:type="dxa" w:w="100"/>
              <w:bottom w:type="dxa" w:w="80"/>
              <w:right w:type="dxa" w:w="100"/>
            </w:tcMar>
            <w:vAlign w:val="center"/>
          </w:tcPr>
          <w:p>
            <w:r>
              <w:rPr>
                <w:sz w:val="19"/>
                <w:szCs w:val="19"/>
              </w:rPr>
              <w:t xml:space="preserve">Extraction</w:t>
            </w:r>
          </w:p>
        </w:tc>
        <w:tc>
          <w:tcPr>
            <w:tcW w:type="dxa" w:w="3740"/>
            <w:shd w:fill="FFFFFF" w:val="clear"/>
            <w:tcMar>
              <w:top w:type="dxa" w:w="80"/>
              <w:left w:type="dxa" w:w="100"/>
              <w:bottom w:type="dxa" w:w="80"/>
              <w:right w:type="dxa" w:w="100"/>
            </w:tcMar>
            <w:vAlign w:val="center"/>
          </w:tcPr>
          <w:p>
            <w:r>
              <w:rPr>
                <w:sz w:val="19"/>
                <w:szCs w:val="19"/>
              </w:rPr>
              <w:t xml:space="preserve">PDF/Excel ingestion, table/text extraction, canonical JSON output</w:t>
            </w:r>
          </w:p>
        </w:tc>
        <w:tc>
          <w:tcPr>
            <w:tcW w:type="dxa" w:w="2805"/>
            <w:shd w:fill="FFFFFF" w:val="clear"/>
            <w:tcMar>
              <w:top w:type="dxa" w:w="80"/>
              <w:left w:type="dxa" w:w="100"/>
              <w:bottom w:type="dxa" w:w="80"/>
              <w:right w:type="dxa" w:w="100"/>
            </w:tcMar>
            <w:vAlign w:val="center"/>
          </w:tcPr>
          <w:p>
            <w:r>
              <w:rPr>
                <w:sz w:val="19"/>
                <w:szCs w:val="19"/>
              </w:rPr>
              <w:t xml:space="preserve">pdfplumber, camelot, openpyxl, evidence pointers</w:t>
            </w:r>
          </w:p>
        </w:tc>
      </w:tr>
      <w:tr>
        <w:tc>
          <w:tcPr>
            <w:tcW w:type="dxa" w:w="561"/>
            <w:shd w:fill="F2F5FA" w:val="clear"/>
            <w:tcMar>
              <w:top w:type="dxa" w:w="80"/>
              <w:left w:type="dxa" w:w="100"/>
              <w:bottom w:type="dxa" w:w="80"/>
              <w:right w:type="dxa" w:w="100"/>
            </w:tcMar>
            <w:vAlign w:val="center"/>
          </w:tcPr>
          <w:p>
            <w:r>
              <w:rPr>
                <w:sz w:val="19"/>
                <w:szCs w:val="19"/>
              </w:rPr>
              <w:t xml:space="preserve">4</w:t>
            </w:r>
          </w:p>
        </w:tc>
        <w:tc>
          <w:tcPr>
            <w:tcW w:type="dxa" w:w="2244"/>
            <w:shd w:fill="F2F5FA" w:val="clear"/>
            <w:tcMar>
              <w:top w:type="dxa" w:w="80"/>
              <w:left w:type="dxa" w:w="100"/>
              <w:bottom w:type="dxa" w:w="80"/>
              <w:right w:type="dxa" w:w="100"/>
            </w:tcMar>
            <w:vAlign w:val="center"/>
          </w:tcPr>
          <w:p>
            <w:r>
              <w:rPr>
                <w:sz w:val="19"/>
                <w:szCs w:val="19"/>
              </w:rPr>
              <w:t xml:space="preserve">Math Engine</w:t>
            </w:r>
          </w:p>
        </w:tc>
        <w:tc>
          <w:tcPr>
            <w:tcW w:type="dxa" w:w="3740"/>
            <w:shd w:fill="F2F5FA" w:val="clear"/>
            <w:tcMar>
              <w:top w:type="dxa" w:w="80"/>
              <w:left w:type="dxa" w:w="100"/>
              <w:bottom w:type="dxa" w:w="80"/>
              <w:right w:type="dxa" w:w="100"/>
            </w:tcMar>
            <w:vAlign w:val="center"/>
          </w:tcPr>
          <w:p>
            <w:r>
              <w:rPr>
                <w:sz w:val="19"/>
                <w:szCs w:val="19"/>
              </w:rPr>
              <w:t xml:space="preserve">Deterministic BS/P&amp;L/CF/Equity checks</w:t>
            </w:r>
          </w:p>
        </w:tc>
        <w:tc>
          <w:tcPr>
            <w:tcW w:type="dxa" w:w="2805"/>
            <w:shd w:fill="F2F5FA" w:val="clear"/>
            <w:tcMar>
              <w:top w:type="dxa" w:w="80"/>
              <w:left w:type="dxa" w:w="100"/>
              <w:bottom w:type="dxa" w:w="80"/>
              <w:right w:type="dxa" w:w="100"/>
            </w:tcMar>
            <w:vAlign w:val="center"/>
          </w:tcPr>
          <w:p>
            <w:r>
              <w:rPr>
                <w:sz w:val="19"/>
                <w:szCs w:val="19"/>
              </w:rPr>
              <w:t xml:space="preserve">Python + pandas rule functions, unit tests</w:t>
            </w:r>
          </w:p>
        </w:tc>
      </w:tr>
      <w:tr>
        <w:tc>
          <w:tcPr>
            <w:tcW w:type="dxa" w:w="561"/>
            <w:shd w:fill="FFFFFF" w:val="clear"/>
            <w:tcMar>
              <w:top w:type="dxa" w:w="80"/>
              <w:left w:type="dxa" w:w="100"/>
              <w:bottom w:type="dxa" w:w="80"/>
              <w:right w:type="dxa" w:w="100"/>
            </w:tcMar>
            <w:vAlign w:val="center"/>
          </w:tcPr>
          <w:p>
            <w:r>
              <w:rPr>
                <w:sz w:val="19"/>
                <w:szCs w:val="19"/>
              </w:rPr>
              <w:t xml:space="preserve">5</w:t>
            </w:r>
          </w:p>
        </w:tc>
        <w:tc>
          <w:tcPr>
            <w:tcW w:type="dxa" w:w="2244"/>
            <w:shd w:fill="FFFFFF" w:val="clear"/>
            <w:tcMar>
              <w:top w:type="dxa" w:w="80"/>
              <w:left w:type="dxa" w:w="100"/>
              <w:bottom w:type="dxa" w:w="80"/>
              <w:right w:type="dxa" w:w="100"/>
            </w:tcMar>
            <w:vAlign w:val="center"/>
          </w:tcPr>
          <w:p>
            <w:r>
              <w:rPr>
                <w:sz w:val="19"/>
                <w:szCs w:val="19"/>
              </w:rPr>
              <w:t xml:space="preserve">Consistency + PY</w:t>
            </w:r>
          </w:p>
        </w:tc>
        <w:tc>
          <w:tcPr>
            <w:tcW w:type="dxa" w:w="3740"/>
            <w:shd w:fill="FFFFFF" w:val="clear"/>
            <w:tcMar>
              <w:top w:type="dxa" w:w="80"/>
              <w:left w:type="dxa" w:w="100"/>
              <w:bottom w:type="dxa" w:w="80"/>
              <w:right w:type="dxa" w:w="100"/>
            </w:tcMar>
            <w:vAlign w:val="center"/>
          </w:tcPr>
          <w:p>
            <w:r>
              <w:rPr>
                <w:sz w:val="19"/>
                <w:szCs w:val="19"/>
              </w:rPr>
              <w:t xml:space="preserve">Cross-statement checks, YoY movement analysis</w:t>
            </w:r>
          </w:p>
        </w:tc>
        <w:tc>
          <w:tcPr>
            <w:tcW w:type="dxa" w:w="2805"/>
            <w:shd w:fill="FFFFFF" w:val="clear"/>
            <w:tcMar>
              <w:top w:type="dxa" w:w="80"/>
              <w:left w:type="dxa" w:w="100"/>
              <w:bottom w:type="dxa" w:w="80"/>
              <w:right w:type="dxa" w:w="100"/>
            </w:tcMar>
            <w:vAlign w:val="center"/>
          </w:tcPr>
          <w:p>
            <w:r>
              <w:rPr>
                <w:sz w:val="19"/>
                <w:szCs w:val="19"/>
              </w:rPr>
              <w:t xml:space="preserve">Python rule functions on canonical JSON</w:t>
            </w:r>
          </w:p>
        </w:tc>
      </w:tr>
      <w:tr>
        <w:tc>
          <w:tcPr>
            <w:tcW w:type="dxa" w:w="561"/>
            <w:shd w:fill="F2F5FA" w:val="clear"/>
            <w:tcMar>
              <w:top w:type="dxa" w:w="80"/>
              <w:left w:type="dxa" w:w="100"/>
              <w:bottom w:type="dxa" w:w="80"/>
              <w:right w:type="dxa" w:w="100"/>
            </w:tcMar>
            <w:vAlign w:val="center"/>
          </w:tcPr>
          <w:p>
            <w:r>
              <w:rPr>
                <w:sz w:val="19"/>
                <w:szCs w:val="19"/>
              </w:rPr>
              <w:t xml:space="preserve">6</w:t>
            </w:r>
          </w:p>
        </w:tc>
        <w:tc>
          <w:tcPr>
            <w:tcW w:type="dxa" w:w="2244"/>
            <w:shd w:fill="F2F5FA" w:val="clear"/>
            <w:tcMar>
              <w:top w:type="dxa" w:w="80"/>
              <w:left w:type="dxa" w:w="100"/>
              <w:bottom w:type="dxa" w:w="80"/>
              <w:right w:type="dxa" w:w="100"/>
            </w:tcMar>
            <w:vAlign w:val="center"/>
          </w:tcPr>
          <w:p>
            <w:r>
              <w:rPr>
                <w:sz w:val="19"/>
                <w:szCs w:val="19"/>
              </w:rPr>
              <w:t xml:space="preserve">AI Layer</w:t>
            </w:r>
          </w:p>
        </w:tc>
        <w:tc>
          <w:tcPr>
            <w:tcW w:type="dxa" w:w="3740"/>
            <w:shd w:fill="F2F5FA" w:val="clear"/>
            <w:tcMar>
              <w:top w:type="dxa" w:w="80"/>
              <w:left w:type="dxa" w:w="100"/>
              <w:bottom w:type="dxa" w:w="80"/>
              <w:right w:type="dxa" w:w="100"/>
            </w:tcMar>
            <w:vAlign w:val="center"/>
          </w:tcPr>
          <w:p>
            <w:r>
              <w:rPr>
                <w:sz w:val="19"/>
                <w:szCs w:val="19"/>
              </w:rPr>
              <w:t xml:space="preserve">Grammar, anomaly explanation, reviewer summary</w:t>
            </w:r>
          </w:p>
        </w:tc>
        <w:tc>
          <w:tcPr>
            <w:tcW w:type="dxa" w:w="2805"/>
            <w:shd w:fill="F2F5FA" w:val="clear"/>
            <w:tcMar>
              <w:top w:type="dxa" w:w="80"/>
              <w:left w:type="dxa" w:w="100"/>
              <w:bottom w:type="dxa" w:w="80"/>
              <w:right w:type="dxa" w:w="100"/>
            </w:tcMar>
            <w:vAlign w:val="center"/>
          </w:tcPr>
          <w:p>
            <w:r>
              <w:rPr>
                <w:sz w:val="19"/>
                <w:szCs w:val="19"/>
              </w:rPr>
              <w:t xml:space="preserve">Claude API integration, prompt templates, JSON-schema output</w:t>
            </w:r>
          </w:p>
        </w:tc>
      </w:tr>
      <w:tr>
        <w:tc>
          <w:tcPr>
            <w:tcW w:type="dxa" w:w="561"/>
            <w:shd w:fill="FFFFFF" w:val="clear"/>
            <w:tcMar>
              <w:top w:type="dxa" w:w="80"/>
              <w:left w:type="dxa" w:w="100"/>
              <w:bottom w:type="dxa" w:w="80"/>
              <w:right w:type="dxa" w:w="100"/>
            </w:tcMar>
            <w:vAlign w:val="center"/>
          </w:tcPr>
          <w:p>
            <w:r>
              <w:rPr>
                <w:sz w:val="19"/>
                <w:szCs w:val="19"/>
              </w:rPr>
              <w:t xml:space="preserve">7</w:t>
            </w:r>
          </w:p>
        </w:tc>
        <w:tc>
          <w:tcPr>
            <w:tcW w:type="dxa" w:w="2244"/>
            <w:shd w:fill="FFFFFF" w:val="clear"/>
            <w:tcMar>
              <w:top w:type="dxa" w:w="80"/>
              <w:left w:type="dxa" w:w="100"/>
              <w:bottom w:type="dxa" w:w="80"/>
              <w:right w:type="dxa" w:w="100"/>
            </w:tcMar>
            <w:vAlign w:val="center"/>
          </w:tcPr>
          <w:p>
            <w:r>
              <w:rPr>
                <w:sz w:val="19"/>
                <w:szCs w:val="19"/>
              </w:rPr>
              <w:t xml:space="preserve">Dashboard + Integration</w:t>
            </w:r>
          </w:p>
        </w:tc>
        <w:tc>
          <w:tcPr>
            <w:tcW w:type="dxa" w:w="3740"/>
            <w:shd w:fill="FFFFFF" w:val="clear"/>
            <w:tcMar>
              <w:top w:type="dxa" w:w="80"/>
              <w:left w:type="dxa" w:w="100"/>
              <w:bottom w:type="dxa" w:w="80"/>
              <w:right w:type="dxa" w:w="100"/>
            </w:tcMar>
            <w:vAlign w:val="center"/>
          </w:tcPr>
          <w:p>
            <w:r>
              <w:rPr>
                <w:sz w:val="19"/>
                <w:szCs w:val="19"/>
              </w:rPr>
              <w:t xml:space="preserve">Upload UI, findings view, WP-514 view, end-to-end demo</w:t>
            </w:r>
          </w:p>
        </w:tc>
        <w:tc>
          <w:tcPr>
            <w:tcW w:type="dxa" w:w="2805"/>
            <w:shd w:fill="FFFFFF" w:val="clear"/>
            <w:tcMar>
              <w:top w:type="dxa" w:w="80"/>
              <w:left w:type="dxa" w:w="100"/>
              <w:bottom w:type="dxa" w:w="80"/>
              <w:right w:type="dxa" w:w="100"/>
            </w:tcMar>
            <w:vAlign w:val="center"/>
          </w:tcPr>
          <w:p>
            <w:r>
              <w:rPr>
                <w:sz w:val="19"/>
                <w:szCs w:val="19"/>
              </w:rPr>
              <w:t xml:space="preserve">React/TS frontend, FastAPI orchestrator, Docker Compose</w:t>
            </w:r>
          </w:p>
        </w:tc>
      </w:tr>
    </w:tbl>
    <w:p>
      <w:pPr>
        <w:pStyle w:val="Heading3"/>
        <w:spacing w:after="100" w:before="220"/>
      </w:pPr>
      <w:r>
        <w:rPr>
          <w:b/>
          <w:bCs/>
          <w:color w:val="B8860B"/>
          <w:sz w:val="22"/>
          <w:szCs w:val="22"/>
        </w:rPr>
        <w:t xml:space="preserve">9.1 Suggested 24-Hour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8"/>
        <w:gridCol w:w="7272"/>
      </w:tblGrid>
      <w:tr>
        <w:trPr>
          <w:tblHeader/>
        </w:trPr>
        <w:tc>
          <w:tcPr>
            <w:tcW w:type="dxa" w:w="2078"/>
            <w:shd w:fill="1F3864" w:val="clear"/>
            <w:tcMar>
              <w:top w:type="dxa" w:w="80"/>
              <w:left w:type="dxa" w:w="100"/>
              <w:bottom w:type="dxa" w:w="80"/>
              <w:right w:type="dxa" w:w="100"/>
            </w:tcMar>
            <w:vAlign w:val="center"/>
          </w:tcPr>
          <w:p>
            <w:r>
              <w:rPr>
                <w:b/>
                <w:bCs/>
                <w:color w:val="FFFFFF"/>
                <w:sz w:val="19"/>
                <w:szCs w:val="19"/>
              </w:rPr>
              <w:t xml:space="preserve">Hours</w:t>
            </w:r>
          </w:p>
        </w:tc>
        <w:tc>
          <w:tcPr>
            <w:tcW w:type="dxa" w:w="7272"/>
            <w:shd w:fill="1F3864" w:val="clear"/>
            <w:tcMar>
              <w:top w:type="dxa" w:w="80"/>
              <w:left w:type="dxa" w:w="100"/>
              <w:bottom w:type="dxa" w:w="80"/>
              <w:right w:type="dxa" w:w="100"/>
            </w:tcMar>
            <w:vAlign w:val="center"/>
          </w:tcPr>
          <w:p>
            <w:r>
              <w:rPr>
                <w:b/>
                <w:bCs/>
                <w:color w:val="FFFFFF"/>
                <w:sz w:val="19"/>
                <w:szCs w:val="19"/>
              </w:rPr>
              <w:t xml:space="preserve">Milestone</w:t>
            </w:r>
          </w:p>
        </w:tc>
      </w:tr>
      <w:tr>
        <w:tc>
          <w:tcPr>
            <w:tcW w:type="dxa" w:w="2078"/>
            <w:shd w:fill="FFFFFF" w:val="clear"/>
            <w:tcMar>
              <w:top w:type="dxa" w:w="80"/>
              <w:left w:type="dxa" w:w="100"/>
              <w:bottom w:type="dxa" w:w="80"/>
              <w:right w:type="dxa" w:w="100"/>
            </w:tcMar>
            <w:vAlign w:val="center"/>
          </w:tcPr>
          <w:p>
            <w:r>
              <w:rPr>
                <w:sz w:val="19"/>
                <w:szCs w:val="19"/>
              </w:rPr>
              <w:t xml:space="preserve">0–2</w:t>
            </w:r>
          </w:p>
        </w:tc>
        <w:tc>
          <w:tcPr>
            <w:tcW w:type="dxa" w:w="7272"/>
            <w:shd w:fill="FFFFFF" w:val="clear"/>
            <w:tcMar>
              <w:top w:type="dxa" w:w="80"/>
              <w:left w:type="dxa" w:w="100"/>
              <w:bottom w:type="dxa" w:w="80"/>
              <w:right w:type="dxa" w:w="100"/>
            </w:tcMar>
            <w:vAlign w:val="center"/>
          </w:tcPr>
          <w:p>
            <w:r>
              <w:rPr>
                <w:sz w:val="19"/>
                <w:szCs w:val="19"/>
              </w:rPr>
              <w:t xml:space="preserve">Kickoff: lock canonical JSON schema &amp; WP-514 field list (Members 1, 3, 4, 5, 6, 7 agree together)</w:t>
            </w:r>
          </w:p>
        </w:tc>
      </w:tr>
      <w:tr>
        <w:tc>
          <w:tcPr>
            <w:tcW w:type="dxa" w:w="2078"/>
            <w:shd w:fill="F2F5FA" w:val="clear"/>
            <w:tcMar>
              <w:top w:type="dxa" w:w="80"/>
              <w:left w:type="dxa" w:w="100"/>
              <w:bottom w:type="dxa" w:w="80"/>
              <w:right w:type="dxa" w:w="100"/>
            </w:tcMar>
            <w:vAlign w:val="center"/>
          </w:tcPr>
          <w:p>
            <w:r>
              <w:rPr>
                <w:sz w:val="19"/>
                <w:szCs w:val="19"/>
              </w:rPr>
              <w:t xml:space="preserve">2–6</w:t>
            </w:r>
          </w:p>
        </w:tc>
        <w:tc>
          <w:tcPr>
            <w:tcW w:type="dxa" w:w="7272"/>
            <w:shd w:fill="F2F5FA" w:val="clear"/>
            <w:tcMar>
              <w:top w:type="dxa" w:w="80"/>
              <w:left w:type="dxa" w:w="100"/>
              <w:bottom w:type="dxa" w:w="80"/>
              <w:right w:type="dxa" w:w="100"/>
            </w:tcMar>
            <w:vAlign w:val="center"/>
          </w:tcPr>
          <w:p>
            <w:r>
              <w:rPr>
                <w:sz w:val="19"/>
                <w:szCs w:val="19"/>
              </w:rPr>
              <w:t xml:space="preserve">Member 2 delivers first 2 synthetic cases; Member 3 gets basic PDF/XLSX extraction working on them</w:t>
            </w:r>
          </w:p>
        </w:tc>
      </w:tr>
      <w:tr>
        <w:tc>
          <w:tcPr>
            <w:tcW w:type="dxa" w:w="2078"/>
            <w:shd w:fill="FFFFFF" w:val="clear"/>
            <w:tcMar>
              <w:top w:type="dxa" w:w="80"/>
              <w:left w:type="dxa" w:w="100"/>
              <w:bottom w:type="dxa" w:w="80"/>
              <w:right w:type="dxa" w:w="100"/>
            </w:tcMar>
            <w:vAlign w:val="center"/>
          </w:tcPr>
          <w:p>
            <w:r>
              <w:rPr>
                <w:sz w:val="19"/>
                <w:szCs w:val="19"/>
              </w:rPr>
              <w:t xml:space="preserve">6–12</w:t>
            </w:r>
          </w:p>
        </w:tc>
        <w:tc>
          <w:tcPr>
            <w:tcW w:type="dxa" w:w="7272"/>
            <w:shd w:fill="FFFFFF" w:val="clear"/>
            <w:tcMar>
              <w:top w:type="dxa" w:w="80"/>
              <w:left w:type="dxa" w:w="100"/>
              <w:bottom w:type="dxa" w:w="80"/>
              <w:right w:type="dxa" w:w="100"/>
            </w:tcMar>
            <w:vAlign w:val="center"/>
          </w:tcPr>
          <w:p>
            <w:r>
              <w:rPr>
                <w:sz w:val="19"/>
                <w:szCs w:val="19"/>
              </w:rPr>
              <w:t xml:space="preserve">Members 4 &amp; 5 build rule engines against canonical JSON stubs; Member 7 scaffolds dashboard + upload flow</w:t>
            </w:r>
          </w:p>
        </w:tc>
      </w:tr>
      <w:tr>
        <w:tc>
          <w:tcPr>
            <w:tcW w:type="dxa" w:w="2078"/>
            <w:shd w:fill="F2F5FA" w:val="clear"/>
            <w:tcMar>
              <w:top w:type="dxa" w:w="80"/>
              <w:left w:type="dxa" w:w="100"/>
              <w:bottom w:type="dxa" w:w="80"/>
              <w:right w:type="dxa" w:w="100"/>
            </w:tcMar>
            <w:vAlign w:val="center"/>
          </w:tcPr>
          <w:p>
            <w:r>
              <w:rPr>
                <w:sz w:val="19"/>
                <w:szCs w:val="19"/>
              </w:rPr>
              <w:t xml:space="preserve">12–16</w:t>
            </w:r>
          </w:p>
        </w:tc>
        <w:tc>
          <w:tcPr>
            <w:tcW w:type="dxa" w:w="7272"/>
            <w:shd w:fill="F2F5FA" w:val="clear"/>
            <w:tcMar>
              <w:top w:type="dxa" w:w="80"/>
              <w:left w:type="dxa" w:w="100"/>
              <w:bottom w:type="dxa" w:w="80"/>
              <w:right w:type="dxa" w:w="100"/>
            </w:tcMar>
            <w:vAlign w:val="center"/>
          </w:tcPr>
          <w:p>
            <w:r>
              <w:rPr>
                <w:sz w:val="19"/>
                <w:szCs w:val="19"/>
              </w:rPr>
              <w:t xml:space="preserve">Member 6 wires AI layer to real findings; Member 3 finishes extraction for all synthetic cases</w:t>
            </w:r>
          </w:p>
        </w:tc>
      </w:tr>
      <w:tr>
        <w:tc>
          <w:tcPr>
            <w:tcW w:type="dxa" w:w="2078"/>
            <w:shd w:fill="FFFFFF" w:val="clear"/>
            <w:tcMar>
              <w:top w:type="dxa" w:w="80"/>
              <w:left w:type="dxa" w:w="100"/>
              <w:bottom w:type="dxa" w:w="80"/>
              <w:right w:type="dxa" w:w="100"/>
            </w:tcMar>
            <w:vAlign w:val="center"/>
          </w:tcPr>
          <w:p>
            <w:r>
              <w:rPr>
                <w:sz w:val="19"/>
                <w:szCs w:val="19"/>
              </w:rPr>
              <w:t xml:space="preserve">16–20</w:t>
            </w:r>
          </w:p>
        </w:tc>
        <w:tc>
          <w:tcPr>
            <w:tcW w:type="dxa" w:w="7272"/>
            <w:shd w:fill="FFFFFF" w:val="clear"/>
            <w:tcMar>
              <w:top w:type="dxa" w:w="80"/>
              <w:left w:type="dxa" w:w="100"/>
              <w:bottom w:type="dxa" w:w="80"/>
              <w:right w:type="dxa" w:w="100"/>
            </w:tcMar>
            <w:vAlign w:val="center"/>
          </w:tcPr>
          <w:p>
            <w:r>
              <w:rPr>
                <w:sz w:val="19"/>
                <w:szCs w:val="19"/>
              </w:rPr>
              <w:t xml:space="preserve">Full integration: extraction → engines → findings → WP-514 → dashboard, on Member 7's orchestrator</w:t>
            </w:r>
          </w:p>
        </w:tc>
      </w:tr>
      <w:tr>
        <w:tc>
          <w:tcPr>
            <w:tcW w:type="dxa" w:w="2078"/>
            <w:shd w:fill="F2F5FA" w:val="clear"/>
            <w:tcMar>
              <w:top w:type="dxa" w:w="80"/>
              <w:left w:type="dxa" w:w="100"/>
              <w:bottom w:type="dxa" w:w="80"/>
              <w:right w:type="dxa" w:w="100"/>
            </w:tcMar>
            <w:vAlign w:val="center"/>
          </w:tcPr>
          <w:p>
            <w:r>
              <w:rPr>
                <w:sz w:val="19"/>
                <w:szCs w:val="19"/>
              </w:rPr>
              <w:t xml:space="preserve">20–23</w:t>
            </w:r>
          </w:p>
        </w:tc>
        <w:tc>
          <w:tcPr>
            <w:tcW w:type="dxa" w:w="7272"/>
            <w:shd w:fill="F2F5FA" w:val="clear"/>
            <w:tcMar>
              <w:top w:type="dxa" w:w="80"/>
              <w:left w:type="dxa" w:w="100"/>
              <w:bottom w:type="dxa" w:w="80"/>
              <w:right w:type="dxa" w:w="100"/>
            </w:tcMar>
            <w:vAlign w:val="center"/>
          </w:tcPr>
          <w:p>
            <w:r>
              <w:rPr>
                <w:sz w:val="19"/>
                <w:szCs w:val="19"/>
              </w:rPr>
              <w:t xml:space="preserve">Bug-bash against all 9 seeded test cases; polish dashboard; rehearse demo narrative</w:t>
            </w:r>
          </w:p>
        </w:tc>
      </w:tr>
      <w:tr>
        <w:tc>
          <w:tcPr>
            <w:tcW w:type="dxa" w:w="2078"/>
            <w:shd w:fill="FFFFFF" w:val="clear"/>
            <w:tcMar>
              <w:top w:type="dxa" w:w="80"/>
              <w:left w:type="dxa" w:w="100"/>
              <w:bottom w:type="dxa" w:w="80"/>
              <w:right w:type="dxa" w:w="100"/>
            </w:tcMar>
            <w:vAlign w:val="center"/>
          </w:tcPr>
          <w:p>
            <w:r>
              <w:rPr>
                <w:sz w:val="19"/>
                <w:szCs w:val="19"/>
              </w:rPr>
              <w:t xml:space="preserve">23–24</w:t>
            </w:r>
          </w:p>
        </w:tc>
        <w:tc>
          <w:tcPr>
            <w:tcW w:type="dxa" w:w="7272"/>
            <w:shd w:fill="FFFFFF" w:val="clear"/>
            <w:tcMar>
              <w:top w:type="dxa" w:w="80"/>
              <w:left w:type="dxa" w:w="100"/>
              <w:bottom w:type="dxa" w:w="80"/>
              <w:right w:type="dxa" w:w="100"/>
            </w:tcMar>
            <w:vAlign w:val="center"/>
          </w:tcPr>
          <w:p>
            <w:r>
              <w:rPr>
                <w:sz w:val="19"/>
                <w:szCs w:val="19"/>
              </w:rPr>
              <w:t xml:space="preserve">Final demo run-through, backup recording, submission</w:t>
            </w:r>
          </w:p>
        </w:tc>
      </w:tr>
    </w:tbl>
    <w:p>
      <w:pPr>
        <w:pStyle w:val="Heading1"/>
        <w:pBdr>
          <w:bottom w:val="single" w:color="1F3864" w:sz="6" w:space="4"/>
        </w:pBdr>
        <w:spacing w:after="200" w:before="400"/>
      </w:pPr>
      <w:r>
        <w:rPr>
          <w:b/>
          <w:bCs/>
          <w:color w:val="1F3864"/>
          <w:sz w:val="30"/>
          <w:szCs w:val="30"/>
        </w:rPr>
        <w:t xml:space="preserve">10. Aligning the Build to Judging Criteria</w:t>
      </w:r>
    </w:p>
    <w:p>
      <w:pPr>
        <w:spacing w:after="140" w:line="300"/>
      </w:pPr>
      <w:r>
        <w:rPr>
          <w:sz w:val="21"/>
          <w:szCs w:val="21"/>
        </w:rPr>
        <w:t xml:space="preserve">Cognizant's hackathon format typically scores submissions on Impact, Innovation, Technical Strength and Scalability. Map the demo narrative accordingly: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shd w:fill="1F3864" w:val="clear"/>
            <w:tcMar>
              <w:top w:type="dxa" w:w="80"/>
              <w:left w:type="dxa" w:w="100"/>
              <w:bottom w:type="dxa" w:w="80"/>
              <w:right w:type="dxa" w:w="100"/>
            </w:tcMar>
            <w:vAlign w:val="center"/>
          </w:tcPr>
          <w:p>
            <w:r>
              <w:rPr>
                <w:b/>
                <w:bCs/>
                <w:color w:val="FFFFFF"/>
                <w:sz w:val="19"/>
                <w:szCs w:val="19"/>
              </w:rPr>
              <w:t xml:space="preserve">Criterion</w:t>
            </w:r>
          </w:p>
        </w:tc>
        <w:tc>
          <w:tcPr>
            <w:tcW w:type="dxa" w:w="7013"/>
            <w:shd w:fill="1F3864" w:val="clear"/>
            <w:tcMar>
              <w:top w:type="dxa" w:w="80"/>
              <w:left w:type="dxa" w:w="100"/>
              <w:bottom w:type="dxa" w:w="80"/>
              <w:right w:type="dxa" w:w="100"/>
            </w:tcMar>
            <w:vAlign w:val="center"/>
          </w:tcPr>
          <w:p>
            <w:r>
              <w:rPr>
                <w:b/>
                <w:bCs/>
                <w:color w:val="FFFFFF"/>
                <w:sz w:val="19"/>
                <w:szCs w:val="19"/>
              </w:rPr>
              <w:t xml:space="preserve">How This MVP Delivers It</w:t>
            </w:r>
          </w:p>
        </w:tc>
      </w:tr>
      <w:tr>
        <w:tc>
          <w:tcPr>
            <w:tcW w:type="dxa" w:w="2338"/>
            <w:shd w:fill="FFFFFF" w:val="clear"/>
            <w:tcMar>
              <w:top w:type="dxa" w:w="80"/>
              <w:left w:type="dxa" w:w="100"/>
              <w:bottom w:type="dxa" w:w="80"/>
              <w:right w:type="dxa" w:w="100"/>
            </w:tcMar>
            <w:vAlign w:val="center"/>
          </w:tcPr>
          <w:p>
            <w:r>
              <w:rPr>
                <w:sz w:val="19"/>
                <w:szCs w:val="19"/>
              </w:rPr>
              <w:t xml:space="preserve">Impact</w:t>
            </w:r>
          </w:p>
        </w:tc>
        <w:tc>
          <w:tcPr>
            <w:tcW w:type="dxa" w:w="7013"/>
            <w:shd w:fill="FFFFFF" w:val="clear"/>
            <w:tcMar>
              <w:top w:type="dxa" w:w="80"/>
              <w:left w:type="dxa" w:w="100"/>
              <w:bottom w:type="dxa" w:w="80"/>
              <w:right w:type="dxa" w:w="100"/>
            </w:tcMar>
            <w:vAlign w:val="center"/>
          </w:tcPr>
          <w:p>
            <w:r>
              <w:rPr>
                <w:sz w:val="19"/>
                <w:szCs w:val="19"/>
              </w:rPr>
              <w:t xml:space="preserve">Directly cuts manual review hours for a real, recurring banking back-office task; every finding is evidence-linked, so it is usable, not a black box</w:t>
            </w:r>
          </w:p>
        </w:tc>
      </w:tr>
      <w:tr>
        <w:tc>
          <w:tcPr>
            <w:tcW w:type="dxa" w:w="2338"/>
            <w:shd w:fill="F2F5FA" w:val="clear"/>
            <w:tcMar>
              <w:top w:type="dxa" w:w="80"/>
              <w:left w:type="dxa" w:w="100"/>
              <w:bottom w:type="dxa" w:w="80"/>
              <w:right w:type="dxa" w:w="100"/>
            </w:tcMar>
            <w:vAlign w:val="center"/>
          </w:tcPr>
          <w:p>
            <w:r>
              <w:rPr>
                <w:sz w:val="19"/>
                <w:szCs w:val="19"/>
              </w:rPr>
              <w:t xml:space="preserve">Innovation</w:t>
            </w:r>
          </w:p>
        </w:tc>
        <w:tc>
          <w:tcPr>
            <w:tcW w:type="dxa" w:w="7013"/>
            <w:shd w:fill="F2F5FA" w:val="clear"/>
            <w:tcMar>
              <w:top w:type="dxa" w:w="80"/>
              <w:left w:type="dxa" w:w="100"/>
              <w:bottom w:type="dxa" w:w="80"/>
              <w:right w:type="dxa" w:w="100"/>
            </w:tcMar>
            <w:vAlign w:val="center"/>
          </w:tcPr>
          <w:p>
            <w:r>
              <w:rPr>
                <w:sz w:val="19"/>
                <w:szCs w:val="19"/>
              </w:rPr>
              <w:t xml:space="preserve">Deliberate deterministic/AI split — LLM is grounded and never trusted with arithmetic — a defensible pattern for regulated financial workflows</w:t>
            </w:r>
          </w:p>
        </w:tc>
      </w:tr>
      <w:tr>
        <w:tc>
          <w:tcPr>
            <w:tcW w:type="dxa" w:w="2338"/>
            <w:shd w:fill="FFFFFF" w:val="clear"/>
            <w:tcMar>
              <w:top w:type="dxa" w:w="80"/>
              <w:left w:type="dxa" w:w="100"/>
              <w:bottom w:type="dxa" w:w="80"/>
              <w:right w:type="dxa" w:w="100"/>
            </w:tcMar>
            <w:vAlign w:val="center"/>
          </w:tcPr>
          <w:p>
            <w:r>
              <w:rPr>
                <w:sz w:val="19"/>
                <w:szCs w:val="19"/>
              </w:rPr>
              <w:t xml:space="preserve">Technical Strength</w:t>
            </w:r>
          </w:p>
        </w:tc>
        <w:tc>
          <w:tcPr>
            <w:tcW w:type="dxa" w:w="7013"/>
            <w:shd w:fill="FFFFFF" w:val="clear"/>
            <w:tcMar>
              <w:top w:type="dxa" w:w="80"/>
              <w:left w:type="dxa" w:w="100"/>
              <w:bottom w:type="dxa" w:w="80"/>
              <w:right w:type="dxa" w:w="100"/>
            </w:tcMar>
            <w:vAlign w:val="center"/>
          </w:tcPr>
          <w:p>
            <w:r>
              <w:rPr>
                <w:sz w:val="19"/>
                <w:szCs w:val="19"/>
              </w:rPr>
              <w:t xml:space="preserve">Real extraction from PDF/Excel, tested rule engines, structured LLM output, evidence tracing, working end-to-end dashboard demo</w:t>
            </w:r>
          </w:p>
        </w:tc>
      </w:tr>
      <w:tr>
        <w:tc>
          <w:tcPr>
            <w:tcW w:type="dxa" w:w="2338"/>
            <w:shd w:fill="F2F5FA" w:val="clear"/>
            <w:tcMar>
              <w:top w:type="dxa" w:w="80"/>
              <w:left w:type="dxa" w:w="100"/>
              <w:bottom w:type="dxa" w:w="80"/>
              <w:right w:type="dxa" w:w="100"/>
            </w:tcMar>
            <w:vAlign w:val="center"/>
          </w:tcPr>
          <w:p>
            <w:r>
              <w:rPr>
                <w:sz w:val="19"/>
                <w:szCs w:val="19"/>
              </w:rPr>
              <w:t xml:space="preserve">Scalability</w:t>
            </w:r>
          </w:p>
        </w:tc>
        <w:tc>
          <w:tcPr>
            <w:tcW w:type="dxa" w:w="7013"/>
            <w:shd w:fill="F2F5FA" w:val="clear"/>
            <w:tcMar>
              <w:top w:type="dxa" w:w="80"/>
              <w:left w:type="dxa" w:w="100"/>
              <w:bottom w:type="dxa" w:w="80"/>
              <w:right w:type="dxa" w:w="100"/>
            </w:tcMar>
            <w:vAlign w:val="center"/>
          </w:tcPr>
          <w:p>
            <w:r>
              <w:rPr>
                <w:sz w:val="19"/>
                <w:szCs w:val="19"/>
              </w:rPr>
              <w:t xml:space="preserve">Rule library is explicitly extensible; canonical JSON layer decouples extraction from checks so new statement formats or banks plug in without rewriting engines; stateless services are container-ready for horizontal scaling</w:t>
            </w:r>
          </w:p>
        </w:tc>
      </w:tr>
    </w:tbl>
    <w:p>
      <w:pPr>
        <w:pStyle w:val="Heading1"/>
        <w:pBdr>
          <w:bottom w:val="single" w:color="1F3864" w:sz="6" w:space="4"/>
        </w:pBdr>
        <w:spacing w:after="200" w:before="400"/>
      </w:pPr>
      <w:r>
        <w:rPr>
          <w:b/>
          <w:bCs/>
          <w:color w:val="1F3864"/>
          <w:sz w:val="30"/>
          <w:szCs w:val="30"/>
        </w:rPr>
        <w:t xml:space="preserve">11. What NOT to Overbuild</w:t>
      </w:r>
    </w:p>
    <w:p>
      <w:pPr>
        <w:pStyle w:val="ListParagraph"/>
        <w:numPr>
          <w:ilvl w:val="0"/>
          <w:numId w:val="1"/>
        </w:numPr>
        <w:spacing w:after="60"/>
      </w:pPr>
      <w:r>
        <w:rPr>
          <w:sz w:val="21"/>
          <w:szCs w:val="21"/>
        </w:rPr>
        <w:t xml:space="preserve">Do not implement every possible accounting rule — ship a strong, tested core (the 5 checks in §6.3/6.4) and keep the rule library extensible.</w:t>
      </w:r>
    </w:p>
    <w:p>
      <w:pPr>
        <w:pStyle w:val="ListParagraph"/>
        <w:numPr>
          <w:ilvl w:val="0"/>
          <w:numId w:val="1"/>
        </w:numPr>
        <w:spacing w:after="60"/>
      </w:pPr>
      <w:r>
        <w:rPr>
          <w:sz w:val="21"/>
          <w:szCs w:val="21"/>
        </w:rPr>
        <w:t xml:space="preserve">Do not use an LLM for any deterministic calculation — keep that boundary absolute, it is the credibility of the whole product.</w:t>
      </w:r>
    </w:p>
    <w:p>
      <w:pPr>
        <w:pStyle w:val="ListParagraph"/>
        <w:numPr>
          <w:ilvl w:val="0"/>
          <w:numId w:val="1"/>
        </w:numPr>
        <w:spacing w:after="60"/>
      </w:pPr>
      <w:r>
        <w:rPr>
          <w:sz w:val="21"/>
          <w:szCs w:val="21"/>
        </w:rPr>
        <w:t xml:space="preserve">Do not spend hackathon hours on authentication, microservices, or production infra — one FastAPI process + Docker Compose is enough to demo.</w:t>
      </w:r>
    </w:p>
    <w:p>
      <w:pPr>
        <w:pStyle w:val="ListParagraph"/>
        <w:numPr>
          <w:ilvl w:val="0"/>
          <w:numId w:val="1"/>
        </w:numPr>
        <w:spacing w:after="60"/>
      </w:pPr>
      <w:r>
        <w:rPr>
          <w:sz w:val="21"/>
          <w:szCs w:val="21"/>
        </w:rPr>
        <w:t xml:space="preserve">Do not build a large dataset — the 9 seeded cases from the original plan (§5 of the source document) are sufficient to prove every module.</w:t>
      </w:r>
    </w:p>
    <w:p>
      <w:pPr>
        <w:pStyle w:val="ListParagraph"/>
        <w:numPr>
          <w:ilvl w:val="0"/>
          <w:numId w:val="1"/>
        </w:numPr>
        <w:spacing w:after="60"/>
      </w:pPr>
      <w:r>
        <w:rPr>
          <w:sz w:val="21"/>
          <w:szCs w:val="21"/>
        </w:rPr>
        <w:t xml:space="preserve">Do not let the AI layer's explanations look like established fact — always label them as suggested/pending reviewer confirmation.</w:t>
      </w:r>
    </w:p>
    <w:p>
      <w:pPr>
        <w:pStyle w:val="Heading1"/>
        <w:pBdr>
          <w:bottom w:val="single" w:color="1F3864" w:sz="6" w:space="4"/>
        </w:pBdr>
        <w:spacing w:after="200" w:before="400"/>
      </w:pPr>
      <w:r>
        <w:rPr>
          <w:b/>
          <w:bCs/>
          <w:color w:val="1F3864"/>
          <w:sz w:val="30"/>
          <w:szCs w:val="30"/>
        </w:rPr>
        <w:t xml:space="preserve">12. Post-Hackathon Scalability Roadmap</w:t>
      </w:r>
    </w:p>
    <w:p>
      <w:pPr>
        <w:pStyle w:val="ListParagraph"/>
        <w:numPr>
          <w:ilvl w:val="0"/>
          <w:numId w:val="1"/>
        </w:numPr>
        <w:spacing w:after="60"/>
      </w:pPr>
      <w:r>
        <w:rPr>
          <w:sz w:val="21"/>
          <w:szCs w:val="21"/>
        </w:rPr>
        <w:t xml:space="preserve">Swap synchronous checks for an async task queue (Celery/RQ or a lightweight job runner) as document volume grows.</w:t>
      </w:r>
    </w:p>
    <w:p>
      <w:pPr>
        <w:pStyle w:val="ListParagraph"/>
        <w:numPr>
          <w:ilvl w:val="0"/>
          <w:numId w:val="1"/>
        </w:numPr>
        <w:spacing w:after="60"/>
      </w:pPr>
      <w:r>
        <w:rPr>
          <w:sz w:val="21"/>
          <w:szCs w:val="21"/>
        </w:rPr>
        <w:t xml:space="preserve">Add a rules-config layer (YAML/JSON rule definitions) so new checks don't require code changes.</w:t>
      </w:r>
    </w:p>
    <w:p>
      <w:pPr>
        <w:pStyle w:val="ListParagraph"/>
        <w:numPr>
          <w:ilvl w:val="0"/>
          <w:numId w:val="1"/>
        </w:numPr>
        <w:spacing w:after="60"/>
      </w:pPr>
      <w:r>
        <w:rPr>
          <w:sz w:val="21"/>
          <w:szCs w:val="21"/>
        </w:rPr>
        <w:t xml:space="preserve">Introduce role-based auth and audit-trail logging once moving beyond demo.</w:t>
      </w:r>
    </w:p>
    <w:p>
      <w:pPr>
        <w:pStyle w:val="ListParagraph"/>
        <w:numPr>
          <w:ilvl w:val="0"/>
          <w:numId w:val="1"/>
        </w:numPr>
        <w:spacing w:after="60"/>
      </w:pPr>
      <w:r>
        <w:rPr>
          <w:sz w:val="21"/>
          <w:szCs w:val="21"/>
        </w:rPr>
        <w:t xml:space="preserve">Add a vector-indexed note/disclosure store so the AI layer can ground explanations across many notes and prior filings, not just the current document.</w:t>
      </w:r>
    </w:p>
    <w:p>
      <w:pPr>
        <w:pStyle w:val="ListParagraph"/>
        <w:numPr>
          <w:ilvl w:val="0"/>
          <w:numId w:val="1"/>
        </w:numPr>
        <w:spacing w:after="60"/>
      </w:pPr>
      <w:r>
        <w:rPr>
          <w:sz w:val="21"/>
          <w:szCs w:val="21"/>
        </w:rPr>
        <w:t xml:space="preserve">Support additional input formats (XBRL, scanned/OCR-heavy filings) by extending the extraction layer only — canonical JSON and downstream engines stay untouched.</w:t>
      </w:r>
    </w:p>
    <w:p>
      <w:pPr>
        <w:pStyle w:val="Heading1"/>
        <w:pBdr>
          <w:bottom w:val="single" w:color="1F3864" w:sz="6" w:space="4"/>
        </w:pBdr>
        <w:spacing w:after="200" w:before="400"/>
      </w:pPr>
      <w:r>
        <w:rPr>
          <w:b/>
          <w:bCs/>
          <w:color w:val="1F3864"/>
          <w:sz w:val="30"/>
          <w:szCs w:val="30"/>
        </w:rPr>
        <w:t xml:space="preserve">Appendix A — Seeded Test Case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
        <w:gridCol w:w="4208"/>
        <w:gridCol w:w="4208"/>
      </w:tblGrid>
      <w:tr>
        <w:trPr>
          <w:tblHeader/>
        </w:trPr>
        <w:tc>
          <w:tcPr>
            <w:tcW w:type="dxa" w:w="935"/>
            <w:shd w:fill="1F3864" w:val="clear"/>
            <w:tcMar>
              <w:top w:type="dxa" w:w="80"/>
              <w:left w:type="dxa" w:w="100"/>
              <w:bottom w:type="dxa" w:w="80"/>
              <w:right w:type="dxa" w:w="100"/>
            </w:tcMar>
            <w:vAlign w:val="center"/>
          </w:tcPr>
          <w:p>
            <w:r>
              <w:rPr>
                <w:b/>
                <w:bCs/>
                <w:color w:val="FFFFFF"/>
                <w:sz w:val="19"/>
                <w:szCs w:val="19"/>
              </w:rPr>
              <w:t xml:space="preserve">Case</w:t>
            </w:r>
          </w:p>
        </w:tc>
        <w:tc>
          <w:tcPr>
            <w:tcW w:type="dxa" w:w="4208"/>
            <w:shd w:fill="1F3864" w:val="clear"/>
            <w:tcMar>
              <w:top w:type="dxa" w:w="80"/>
              <w:left w:type="dxa" w:w="100"/>
              <w:bottom w:type="dxa" w:w="80"/>
              <w:right w:type="dxa" w:w="100"/>
            </w:tcMar>
            <w:vAlign w:val="center"/>
          </w:tcPr>
          <w:p>
            <w:r>
              <w:rPr>
                <w:b/>
                <w:bCs/>
                <w:color w:val="FFFFFF"/>
                <w:sz w:val="19"/>
                <w:szCs w:val="19"/>
              </w:rPr>
              <w:t xml:space="preserve">Scenario</w:t>
            </w:r>
          </w:p>
        </w:tc>
        <w:tc>
          <w:tcPr>
            <w:tcW w:type="dxa" w:w="4208"/>
            <w:shd w:fill="1F3864" w:val="clear"/>
            <w:tcMar>
              <w:top w:type="dxa" w:w="80"/>
              <w:left w:type="dxa" w:w="100"/>
              <w:bottom w:type="dxa" w:w="80"/>
              <w:right w:type="dxa" w:w="100"/>
            </w:tcMar>
            <w:vAlign w:val="center"/>
          </w:tcPr>
          <w:p>
            <w:r>
              <w:rPr>
                <w:b/>
                <w:bCs/>
                <w:color w:val="FFFFFF"/>
                <w:sz w:val="19"/>
                <w:szCs w:val="19"/>
              </w:rPr>
              <w:t xml:space="preserve">Expected Result</w:t>
            </w:r>
          </w:p>
        </w:tc>
      </w:tr>
      <w:tr>
        <w:tc>
          <w:tcPr>
            <w:tcW w:type="dxa" w:w="935"/>
            <w:shd w:fill="FFFFFF" w:val="clear"/>
            <w:tcMar>
              <w:top w:type="dxa" w:w="80"/>
              <w:left w:type="dxa" w:w="100"/>
              <w:bottom w:type="dxa" w:w="80"/>
              <w:right w:type="dxa" w:w="100"/>
            </w:tcMar>
            <w:vAlign w:val="center"/>
          </w:tcPr>
          <w:p>
            <w:r>
              <w:rPr>
                <w:sz w:val="19"/>
                <w:szCs w:val="19"/>
              </w:rPr>
              <w:t xml:space="preserve">1</w:t>
            </w:r>
          </w:p>
        </w:tc>
        <w:tc>
          <w:tcPr>
            <w:tcW w:type="dxa" w:w="4208"/>
            <w:shd w:fill="FFFFFF" w:val="clear"/>
            <w:tcMar>
              <w:top w:type="dxa" w:w="80"/>
              <w:left w:type="dxa" w:w="100"/>
              <w:bottom w:type="dxa" w:w="80"/>
              <w:right w:type="dxa" w:w="100"/>
            </w:tcMar>
            <w:vAlign w:val="center"/>
          </w:tcPr>
          <w:p>
            <w:r>
              <w:rPr>
                <w:sz w:val="19"/>
                <w:szCs w:val="19"/>
              </w:rPr>
              <w:t xml:space="preserve">Clean statements</w:t>
            </w:r>
          </w:p>
        </w:tc>
        <w:tc>
          <w:tcPr>
            <w:tcW w:type="dxa" w:w="4208"/>
            <w:shd w:fill="FFFFFF" w:val="clear"/>
            <w:tcMar>
              <w:top w:type="dxa" w:w="80"/>
              <w:left w:type="dxa" w:w="100"/>
              <w:bottom w:type="dxa" w:w="80"/>
              <w:right w:type="dxa" w:w="100"/>
            </w:tcMar>
            <w:vAlign w:val="center"/>
          </w:tcPr>
          <w:p>
            <w:r>
              <w:rPr>
                <w:sz w:val="19"/>
                <w:szCs w:val="19"/>
              </w:rPr>
              <w:t xml:space="preserve">Core checks pass</w:t>
            </w:r>
          </w:p>
        </w:tc>
      </w:tr>
      <w:tr>
        <w:tc>
          <w:tcPr>
            <w:tcW w:type="dxa" w:w="935"/>
            <w:shd w:fill="F2F5FA" w:val="clear"/>
            <w:tcMar>
              <w:top w:type="dxa" w:w="80"/>
              <w:left w:type="dxa" w:w="100"/>
              <w:bottom w:type="dxa" w:w="80"/>
              <w:right w:type="dxa" w:w="100"/>
            </w:tcMar>
            <w:vAlign w:val="center"/>
          </w:tcPr>
          <w:p>
            <w:r>
              <w:rPr>
                <w:sz w:val="19"/>
                <w:szCs w:val="19"/>
              </w:rPr>
              <w:t xml:space="preserve">2</w:t>
            </w:r>
          </w:p>
        </w:tc>
        <w:tc>
          <w:tcPr>
            <w:tcW w:type="dxa" w:w="4208"/>
            <w:shd w:fill="F2F5FA" w:val="clear"/>
            <w:tcMar>
              <w:top w:type="dxa" w:w="80"/>
              <w:left w:type="dxa" w:w="100"/>
              <w:bottom w:type="dxa" w:w="80"/>
              <w:right w:type="dxa" w:w="100"/>
            </w:tcMar>
            <w:vAlign w:val="center"/>
          </w:tcPr>
          <w:p>
            <w:r>
              <w:rPr>
                <w:sz w:val="19"/>
                <w:szCs w:val="19"/>
              </w:rPr>
              <w:t xml:space="preserve">Balance Sheet math error</w:t>
            </w:r>
          </w:p>
        </w:tc>
        <w:tc>
          <w:tcPr>
            <w:tcW w:type="dxa" w:w="4208"/>
            <w:shd w:fill="F2F5FA" w:val="clear"/>
            <w:tcMar>
              <w:top w:type="dxa" w:w="80"/>
              <w:left w:type="dxa" w:w="100"/>
              <w:bottom w:type="dxa" w:w="80"/>
              <w:right w:type="dxa" w:w="100"/>
            </w:tcMar>
            <w:vAlign w:val="center"/>
          </w:tcPr>
          <w:p>
            <w:r>
              <w:rPr>
                <w:sz w:val="19"/>
                <w:szCs w:val="19"/>
              </w:rPr>
              <w:t xml:space="preserve">Math engine identifies mismatch and amount</w:t>
            </w:r>
          </w:p>
        </w:tc>
      </w:tr>
      <w:tr>
        <w:tc>
          <w:tcPr>
            <w:tcW w:type="dxa" w:w="935"/>
            <w:shd w:fill="FFFFFF" w:val="clear"/>
            <w:tcMar>
              <w:top w:type="dxa" w:w="80"/>
              <w:left w:type="dxa" w:w="100"/>
              <w:bottom w:type="dxa" w:w="80"/>
              <w:right w:type="dxa" w:w="100"/>
            </w:tcMar>
            <w:vAlign w:val="center"/>
          </w:tcPr>
          <w:p>
            <w:r>
              <w:rPr>
                <w:sz w:val="19"/>
                <w:szCs w:val="19"/>
              </w:rPr>
              <w:t xml:space="preserve">3</w:t>
            </w:r>
          </w:p>
        </w:tc>
        <w:tc>
          <w:tcPr>
            <w:tcW w:type="dxa" w:w="4208"/>
            <w:shd w:fill="FFFFFF" w:val="clear"/>
            <w:tcMar>
              <w:top w:type="dxa" w:w="80"/>
              <w:left w:type="dxa" w:w="100"/>
              <w:bottom w:type="dxa" w:w="80"/>
              <w:right w:type="dxa" w:w="100"/>
            </w:tcMar>
            <w:vAlign w:val="center"/>
          </w:tcPr>
          <w:p>
            <w:r>
              <w:rPr>
                <w:sz w:val="19"/>
                <w:szCs w:val="19"/>
              </w:rPr>
              <w:t xml:space="preserve">P&amp;L / Cash Flow calculation error</w:t>
            </w:r>
          </w:p>
        </w:tc>
        <w:tc>
          <w:tcPr>
            <w:tcW w:type="dxa" w:w="4208"/>
            <w:shd w:fill="FFFFFF" w:val="clear"/>
            <w:tcMar>
              <w:top w:type="dxa" w:w="80"/>
              <w:left w:type="dxa" w:w="100"/>
              <w:bottom w:type="dxa" w:w="80"/>
              <w:right w:type="dxa" w:w="100"/>
            </w:tcMar>
            <w:vAlign w:val="center"/>
          </w:tcPr>
          <w:p>
            <w:r>
              <w:rPr>
                <w:sz w:val="19"/>
                <w:szCs w:val="19"/>
              </w:rPr>
              <w:t xml:space="preserve">Relevant check fails</w:t>
            </w:r>
          </w:p>
        </w:tc>
      </w:tr>
      <w:tr>
        <w:tc>
          <w:tcPr>
            <w:tcW w:type="dxa" w:w="935"/>
            <w:shd w:fill="F2F5FA" w:val="clear"/>
            <w:tcMar>
              <w:top w:type="dxa" w:w="80"/>
              <w:left w:type="dxa" w:w="100"/>
              <w:bottom w:type="dxa" w:w="80"/>
              <w:right w:type="dxa" w:w="100"/>
            </w:tcMar>
            <w:vAlign w:val="center"/>
          </w:tcPr>
          <w:p>
            <w:r>
              <w:rPr>
                <w:sz w:val="19"/>
                <w:szCs w:val="19"/>
              </w:rPr>
              <w:t xml:space="preserve">4</w:t>
            </w:r>
          </w:p>
        </w:tc>
        <w:tc>
          <w:tcPr>
            <w:tcW w:type="dxa" w:w="4208"/>
            <w:shd w:fill="F2F5FA" w:val="clear"/>
            <w:tcMar>
              <w:top w:type="dxa" w:w="80"/>
              <w:left w:type="dxa" w:w="100"/>
              <w:bottom w:type="dxa" w:w="80"/>
              <w:right w:type="dxa" w:w="100"/>
            </w:tcMar>
            <w:vAlign w:val="center"/>
          </w:tcPr>
          <w:p>
            <w:r>
              <w:rPr>
                <w:sz w:val="19"/>
                <w:szCs w:val="19"/>
              </w:rPr>
              <w:t xml:space="preserve">Prior-year mismatch</w:t>
            </w:r>
          </w:p>
        </w:tc>
        <w:tc>
          <w:tcPr>
            <w:tcW w:type="dxa" w:w="4208"/>
            <w:shd w:fill="F2F5FA" w:val="clear"/>
            <w:tcMar>
              <w:top w:type="dxa" w:w="80"/>
              <w:left w:type="dxa" w:w="100"/>
              <w:bottom w:type="dxa" w:w="80"/>
              <w:right w:type="dxa" w:w="100"/>
            </w:tcMar>
            <w:vAlign w:val="center"/>
          </w:tcPr>
          <w:p>
            <w:r>
              <w:rPr>
                <w:sz w:val="19"/>
                <w:szCs w:val="19"/>
              </w:rPr>
              <w:t xml:space="preserve">PY difference identified</w:t>
            </w:r>
          </w:p>
        </w:tc>
      </w:tr>
      <w:tr>
        <w:tc>
          <w:tcPr>
            <w:tcW w:type="dxa" w:w="935"/>
            <w:shd w:fill="FFFFFF" w:val="clear"/>
            <w:tcMar>
              <w:top w:type="dxa" w:w="80"/>
              <w:left w:type="dxa" w:w="100"/>
              <w:bottom w:type="dxa" w:w="80"/>
              <w:right w:type="dxa" w:w="100"/>
            </w:tcMar>
            <w:vAlign w:val="center"/>
          </w:tcPr>
          <w:p>
            <w:r>
              <w:rPr>
                <w:sz w:val="19"/>
                <w:szCs w:val="19"/>
              </w:rPr>
              <w:t xml:space="preserve">5</w:t>
            </w:r>
          </w:p>
        </w:tc>
        <w:tc>
          <w:tcPr>
            <w:tcW w:type="dxa" w:w="4208"/>
            <w:shd w:fill="FFFFFF" w:val="clear"/>
            <w:tcMar>
              <w:top w:type="dxa" w:w="80"/>
              <w:left w:type="dxa" w:w="100"/>
              <w:bottom w:type="dxa" w:w="80"/>
              <w:right w:type="dxa" w:w="100"/>
            </w:tcMar>
            <w:vAlign w:val="center"/>
          </w:tcPr>
          <w:p>
            <w:r>
              <w:rPr>
                <w:sz w:val="19"/>
                <w:szCs w:val="19"/>
              </w:rPr>
              <w:t xml:space="preserve">Statement vs note mismatch</w:t>
            </w:r>
          </w:p>
        </w:tc>
        <w:tc>
          <w:tcPr>
            <w:tcW w:type="dxa" w:w="4208"/>
            <w:shd w:fill="FFFFFF" w:val="clear"/>
            <w:tcMar>
              <w:top w:type="dxa" w:w="80"/>
              <w:left w:type="dxa" w:w="100"/>
              <w:bottom w:type="dxa" w:w="80"/>
              <w:right w:type="dxa" w:w="100"/>
            </w:tcMar>
            <w:vAlign w:val="center"/>
          </w:tcPr>
          <w:p>
            <w:r>
              <w:rPr>
                <w:sz w:val="19"/>
                <w:szCs w:val="19"/>
              </w:rPr>
              <w:t xml:space="preserve">Consistency issue flagged with evidence</w:t>
            </w:r>
          </w:p>
        </w:tc>
      </w:tr>
      <w:tr>
        <w:tc>
          <w:tcPr>
            <w:tcW w:type="dxa" w:w="935"/>
            <w:shd w:fill="F2F5FA" w:val="clear"/>
            <w:tcMar>
              <w:top w:type="dxa" w:w="80"/>
              <w:left w:type="dxa" w:w="100"/>
              <w:bottom w:type="dxa" w:w="80"/>
              <w:right w:type="dxa" w:w="100"/>
            </w:tcMar>
            <w:vAlign w:val="center"/>
          </w:tcPr>
          <w:p>
            <w:r>
              <w:rPr>
                <w:sz w:val="19"/>
                <w:szCs w:val="19"/>
              </w:rPr>
              <w:t xml:space="preserve">6</w:t>
            </w:r>
          </w:p>
        </w:tc>
        <w:tc>
          <w:tcPr>
            <w:tcW w:type="dxa" w:w="4208"/>
            <w:shd w:fill="F2F5FA" w:val="clear"/>
            <w:tcMar>
              <w:top w:type="dxa" w:w="80"/>
              <w:left w:type="dxa" w:w="100"/>
              <w:bottom w:type="dxa" w:w="80"/>
              <w:right w:type="dxa" w:w="100"/>
            </w:tcMar>
            <w:vAlign w:val="center"/>
          </w:tcPr>
          <w:p>
            <w:r>
              <w:rPr>
                <w:sz w:val="19"/>
                <w:szCs w:val="19"/>
              </w:rPr>
              <w:t xml:space="preserve">Large unusual movement</w:t>
            </w:r>
          </w:p>
        </w:tc>
        <w:tc>
          <w:tcPr>
            <w:tcW w:type="dxa" w:w="4208"/>
            <w:shd w:fill="F2F5FA" w:val="clear"/>
            <w:tcMar>
              <w:top w:type="dxa" w:w="80"/>
              <w:left w:type="dxa" w:w="100"/>
              <w:bottom w:type="dxa" w:w="80"/>
              <w:right w:type="dxa" w:w="100"/>
            </w:tcMar>
            <w:vAlign w:val="center"/>
          </w:tcPr>
          <w:p>
            <w:r>
              <w:rPr>
                <w:sz w:val="19"/>
                <w:szCs w:val="19"/>
              </w:rPr>
              <w:t xml:space="preserve">Analytics flags it; AI explains it</w:t>
            </w:r>
          </w:p>
        </w:tc>
      </w:tr>
      <w:tr>
        <w:tc>
          <w:tcPr>
            <w:tcW w:type="dxa" w:w="935"/>
            <w:shd w:fill="FFFFFF" w:val="clear"/>
            <w:tcMar>
              <w:top w:type="dxa" w:w="80"/>
              <w:left w:type="dxa" w:w="100"/>
              <w:bottom w:type="dxa" w:w="80"/>
              <w:right w:type="dxa" w:w="100"/>
            </w:tcMar>
            <w:vAlign w:val="center"/>
          </w:tcPr>
          <w:p>
            <w:r>
              <w:rPr>
                <w:sz w:val="19"/>
                <w:szCs w:val="19"/>
              </w:rPr>
              <w:t xml:space="preserve">7</w:t>
            </w:r>
          </w:p>
        </w:tc>
        <w:tc>
          <w:tcPr>
            <w:tcW w:type="dxa" w:w="4208"/>
            <w:shd w:fill="FFFFFF" w:val="clear"/>
            <w:tcMar>
              <w:top w:type="dxa" w:w="80"/>
              <w:left w:type="dxa" w:w="100"/>
              <w:bottom w:type="dxa" w:w="80"/>
              <w:right w:type="dxa" w:w="100"/>
            </w:tcMar>
            <w:vAlign w:val="center"/>
          </w:tcPr>
          <w:p>
            <w:r>
              <w:rPr>
                <w:sz w:val="19"/>
                <w:szCs w:val="19"/>
              </w:rPr>
              <w:t xml:space="preserve">Spelling/grammar issues</w:t>
            </w:r>
          </w:p>
        </w:tc>
        <w:tc>
          <w:tcPr>
            <w:tcW w:type="dxa" w:w="4208"/>
            <w:shd w:fill="FFFFFF" w:val="clear"/>
            <w:tcMar>
              <w:top w:type="dxa" w:w="80"/>
              <w:left w:type="dxa" w:w="100"/>
              <w:bottom w:type="dxa" w:w="80"/>
              <w:right w:type="dxa" w:w="100"/>
            </w:tcMar>
            <w:vAlign w:val="center"/>
          </w:tcPr>
          <w:p>
            <w:r>
              <w:rPr>
                <w:sz w:val="19"/>
                <w:szCs w:val="19"/>
              </w:rPr>
              <w:t xml:space="preserve">Language engine suggests corrections</w:t>
            </w:r>
          </w:p>
        </w:tc>
      </w:tr>
      <w:tr>
        <w:tc>
          <w:tcPr>
            <w:tcW w:type="dxa" w:w="935"/>
            <w:shd w:fill="F2F5FA" w:val="clear"/>
            <w:tcMar>
              <w:top w:type="dxa" w:w="80"/>
              <w:left w:type="dxa" w:w="100"/>
              <w:bottom w:type="dxa" w:w="80"/>
              <w:right w:type="dxa" w:w="100"/>
            </w:tcMar>
            <w:vAlign w:val="center"/>
          </w:tcPr>
          <w:p>
            <w:r>
              <w:rPr>
                <w:sz w:val="19"/>
                <w:szCs w:val="19"/>
              </w:rPr>
              <w:t xml:space="preserve">8</w:t>
            </w:r>
          </w:p>
        </w:tc>
        <w:tc>
          <w:tcPr>
            <w:tcW w:type="dxa" w:w="4208"/>
            <w:shd w:fill="F2F5FA" w:val="clear"/>
            <w:tcMar>
              <w:top w:type="dxa" w:w="80"/>
              <w:left w:type="dxa" w:w="100"/>
              <w:bottom w:type="dxa" w:w="80"/>
              <w:right w:type="dxa" w:w="100"/>
            </w:tcMar>
            <w:vAlign w:val="center"/>
          </w:tcPr>
          <w:p>
            <w:r>
              <w:rPr>
                <w:sz w:val="19"/>
                <w:szCs w:val="19"/>
              </w:rPr>
              <w:t xml:space="preserve">Missing/inconsistent disclosure</w:t>
            </w:r>
          </w:p>
        </w:tc>
        <w:tc>
          <w:tcPr>
            <w:tcW w:type="dxa" w:w="4208"/>
            <w:shd w:fill="F2F5FA" w:val="clear"/>
            <w:tcMar>
              <w:top w:type="dxa" w:w="80"/>
              <w:left w:type="dxa" w:w="100"/>
              <w:bottom w:type="dxa" w:w="80"/>
              <w:right w:type="dxa" w:w="100"/>
            </w:tcMar>
            <w:vAlign w:val="center"/>
          </w:tcPr>
          <w:p>
            <w:r>
              <w:rPr>
                <w:sz w:val="19"/>
                <w:szCs w:val="19"/>
              </w:rPr>
              <w:t xml:space="preserve">Disclosure/WP-514 review flags it where supported</w:t>
            </w:r>
          </w:p>
        </w:tc>
      </w:tr>
      <w:tr>
        <w:tc>
          <w:tcPr>
            <w:tcW w:type="dxa" w:w="935"/>
            <w:shd w:fill="FFFFFF" w:val="clear"/>
            <w:tcMar>
              <w:top w:type="dxa" w:w="80"/>
              <w:left w:type="dxa" w:w="100"/>
              <w:bottom w:type="dxa" w:w="80"/>
              <w:right w:type="dxa" w:w="100"/>
            </w:tcMar>
            <w:vAlign w:val="center"/>
          </w:tcPr>
          <w:p>
            <w:r>
              <w:rPr>
                <w:sz w:val="19"/>
                <w:szCs w:val="19"/>
              </w:rPr>
              <w:t xml:space="preserve">9</w:t>
            </w:r>
          </w:p>
        </w:tc>
        <w:tc>
          <w:tcPr>
            <w:tcW w:type="dxa" w:w="4208"/>
            <w:shd w:fill="FFFFFF" w:val="clear"/>
            <w:tcMar>
              <w:top w:type="dxa" w:w="80"/>
              <w:left w:type="dxa" w:w="100"/>
              <w:bottom w:type="dxa" w:w="80"/>
              <w:right w:type="dxa" w:w="100"/>
            </w:tcMar>
            <w:vAlign w:val="center"/>
          </w:tcPr>
          <w:p>
            <w:r>
              <w:rPr>
                <w:sz w:val="19"/>
                <w:szCs w:val="19"/>
              </w:rPr>
              <w:t xml:space="preserve">Multiple issues in one bank</w:t>
            </w:r>
          </w:p>
        </w:tc>
        <w:tc>
          <w:tcPr>
            <w:tcW w:type="dxa" w:w="4208"/>
            <w:shd w:fill="FFFFFF" w:val="clear"/>
            <w:tcMar>
              <w:top w:type="dxa" w:w="80"/>
              <w:left w:type="dxa" w:w="100"/>
              <w:bottom w:type="dxa" w:w="80"/>
              <w:right w:type="dxa" w:w="100"/>
            </w:tcMar>
            <w:vAlign w:val="center"/>
          </w:tcPr>
          <w:p>
            <w:r>
              <w:rPr>
                <w:sz w:val="19"/>
                <w:szCs w:val="19"/>
              </w:rPr>
              <w:t xml:space="preserve">Dashboard consolidates all findings (see §7 walkthrough)</w:t>
            </w:r>
          </w:p>
        </w:tc>
      </w:tr>
    </w:tbl>
    <w:p>
      <w:pPr>
        <w:pStyle w:val="Heading1"/>
        <w:pBdr>
          <w:bottom w:val="single" w:color="1F3864" w:sz="6" w:space="4"/>
        </w:pBdr>
        <w:spacing w:after="200" w:before="400"/>
      </w:pPr>
      <w:r>
        <w:rPr>
          <w:b/>
          <w:bCs/>
          <w:color w:val="1F3864"/>
          <w:sz w:val="30"/>
          <w:szCs w:val="30"/>
        </w:rPr>
        <w:t xml:space="preserve">Appendix B — One-Line Demo Goal</w:t>
      </w:r>
    </w:p>
    <w:p>
      <w:pPr>
        <w:spacing w:after="140" w:line="300"/>
      </w:pPr>
      <w:r>
        <w:rPr>
          <w:sz w:val="21"/>
          <w:szCs w:val="21"/>
        </w:rPr>
        <w:t xml:space="preserve">Upload a fictional bank's financial statements → automatically detect planted review issues → show source evidence → explain the issues → populate the applicable WP-514 output — all in a single, judge-facing, end-to-end run.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Banking FS Review Automation — Advanced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2026-08-15T10:26:13.691Z</dcterms:created>
  <dcterms:modified xsi:type="dcterms:W3CDTF">2026-08-15T10:26:13.704Z</dcterms:modified>
</cp:coreProperties>
</file>

<file path=docProps/custom.xml><?xml version="1.0" encoding="utf-8"?>
<Properties xmlns="http://schemas.openxmlformats.org/officeDocument/2006/custom-properties" xmlns:vt="http://schemas.openxmlformats.org/officeDocument/2006/docPropsVTypes"/>
</file>