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2"/>
          <w:szCs w:val="52"/>
        </w:rPr>
        <w:t xml:space="preserve">Holonomy Type Theory</w:t>
      </w:r>
    </w:p>
    <w:p>
      <w:pPr>
        <w:spacing w:after="80" w:before="0"/>
        <w:jc w:val="center"/>
      </w:pPr>
      <w:r>
        <w:rPr>
          <w:rFonts w:ascii="Arial" w:cs="Arial" w:eastAsia="Arial" w:hAnsi="Arial"/>
          <w:i/>
          <w:iCs/>
          <w:color w:val="0f3460"/>
          <w:sz w:val="28"/>
          <w:szCs w:val="28"/>
        </w:rPr>
        <w:t xml:space="preserve">A Conjecture on the Pythagorean Structure of the Holonomy Group</w:t>
      </w:r>
    </w:p>
    <w:p>
      <w:pPr>
        <w:spacing w:after="480" w:before="80"/>
        <w:jc w:val="center"/>
      </w:pPr>
      <w:r>
        <w:rPr>
          <w:rFonts w:ascii="Arial" w:cs="Arial" w:eastAsia="Arial" w:hAnsi="Arial"/>
          <w:color w:val="888888"/>
          <w:sz w:val="20"/>
          <w:szCs w:val="20"/>
        </w:rPr>
        <w:t xml:space="preserve">Draft — April 2026</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Abstract</w:t>
      </w:r>
    </w:p>
    <w:p>
      <w:pPr>
        <w:spacing w:after="100" w:before="100" w:line="320"/>
      </w:pPr>
      <w:r>
        <w:rPr>
          <w:rFonts w:ascii="Arial" w:cs="Arial" w:eastAsia="Arial" w:hAnsi="Arial"/>
          <w:sz w:val="22"/>
          <w:szCs w:val="22"/>
        </w:rPr>
        <w:t xml:space="preserve">We present a conjecture in holonomy type theory asserting that the holonomy group G, defined as the endomorphism algebra Hom(g, g) of a Lie algebra g, admits a Pythagorean metric invariant structure arising from a homotopy-orthogonal decomposition of the categories of vector spaces (Vect) and Lie algebras (Lie). The ∞-groupoids occupy the diagonal of this decomposition, transport fibers are orthogonal to the ∞-groupoids, and curvature is identified as a gap operator whose limit at infinity is a circle S¹. The fundamental invariant of the theory is the winding number n ∈ Z = π₁(S¹), with n = 1 serving as the normalization condition. The conjecture G = Hom(g, g) = Vect² + Lie² is the holonomy analogue of the Pythagorean theorem, holding as a metric invariant relationship.</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1. Geometric Setup</w:t>
      </w:r>
    </w:p>
    <w:p>
      <w:pPr>
        <w:pStyle w:val="Heading2"/>
        <w:spacing w:after="160" w:before="300"/>
      </w:pPr>
      <w:r>
        <w:rPr>
          <w:rFonts w:ascii="Arial" w:cs="Arial" w:eastAsia="Arial" w:hAnsi="Arial"/>
          <w:b/>
          <w:bCs/>
          <w:color w:val="16213e"/>
          <w:sz w:val="26"/>
          <w:szCs w:val="26"/>
        </w:rPr>
        <w:t xml:space="preserve">1.1 The Homotopy-Orthogonal Decomposition</w:t>
      </w:r>
    </w:p>
    <w:p>
      <w:pPr>
        <w:spacing w:after="100" w:before="100" w:line="320"/>
      </w:pPr>
      <w:r>
        <w:rPr>
          <w:rFonts w:ascii="Arial" w:cs="Arial" w:eastAsia="Arial" w:hAnsi="Arial"/>
          <w:sz w:val="22"/>
          <w:szCs w:val="22"/>
        </w:rPr>
        <w:t xml:space="preserve">Let Vect denote the ∞-category of vector spaces and Lie the ∞-category of Lie algebras. We define homotopy orthogonality between these two categories by the condition:</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Map(Vect, Lie) ≃ *     and     Map(Lie, Vect) ≃ *</w:t>
      </w:r>
    </w:p>
    <w:p>
      <w:pPr>
        <w:spacing w:after="100" w:before="100" w:line="320"/>
      </w:pPr>
      <w:r>
        <w:rPr>
          <w:rFonts w:ascii="Arial" w:cs="Arial" w:eastAsia="Arial" w:hAnsi="Arial"/>
          <w:sz w:val="22"/>
          <w:szCs w:val="22"/>
        </w:rPr>
        <w:t xml:space="preserve">That is, the mapping spaces between the two categories are contractible — there is essentially a unique map between them up to contractible choice. This is homotopy orthogonality in the ∞-categorical sense.</w:t>
      </w:r>
    </w:p>
    <w:p>
      <w:pPr>
        <w:pStyle w:val="Heading2"/>
        <w:spacing w:after="160" w:before="300"/>
      </w:pPr>
      <w:r>
        <w:rPr>
          <w:rFonts w:ascii="Arial" w:cs="Arial" w:eastAsia="Arial" w:hAnsi="Arial"/>
          <w:b/>
          <w:bCs/>
          <w:color w:val="16213e"/>
          <w:sz w:val="26"/>
          <w:szCs w:val="26"/>
        </w:rPr>
        <w:t xml:space="preserve">1.2 The Square and Two Right Triangles</w:t>
      </w:r>
    </w:p>
    <w:p>
      <w:pPr>
        <w:spacing w:after="100" w:before="100" w:line="320"/>
      </w:pPr>
      <w:r>
        <w:rPr>
          <w:rFonts w:ascii="Arial" w:cs="Arial" w:eastAsia="Arial" w:hAnsi="Arial"/>
          <w:sz w:val="22"/>
          <w:szCs w:val="22"/>
        </w:rPr>
        <w:t xml:space="preserve">The homotopy-orthogonal decomposition gives rise to a geometric square with four distinguished corners: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Corner</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Top-left</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Lie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Bracket structure (vertical 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Top-right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∞-Groupoids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Diagonal — shared hypotenuse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Bottom-left</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Transport</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Origin, orthogonal 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Bottom-right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Linear structure (horizontal axis)</w:t>
            </w:r>
          </w:p>
        </w:tc>
      </w:tr>
    </w:tbl>
    <w:p>
      <w:pPr>
        <w:spacing w:after="160" w:before="160"/>
      </w:pPr>
    </w:p>
    <w:p>
      <w:pPr>
        <w:spacing w:after="100" w:before="100" w:line="320"/>
      </w:pPr>
      <w:r>
        <w:rPr>
          <w:rFonts w:ascii="Arial" w:cs="Arial" w:eastAsia="Arial" w:hAnsi="Arial"/>
          <w:sz w:val="22"/>
          <w:szCs w:val="22"/>
        </w:rPr>
        <w:t xml:space="preserve">This square decomposes simultaneously into two right triangles sharing the ∞-groupoid diagonal as hypotenuse:</w:t>
      </w:r>
    </w:p>
    <w:p>
      <w:pPr>
        <w:spacing w:after="120" w:before="120" w:line="300"/>
        <w:ind w:left="480"/>
      </w:pPr>
      <w:r>
        <w:rPr>
          <w:rFonts w:ascii="Arial" w:cs="Arial" w:eastAsia="Arial" w:hAnsi="Arial"/>
          <w:i/>
          <w:iCs/>
          <w:color w:val="444444"/>
          <w:sz w:val="21"/>
          <w:szCs w:val="21"/>
        </w:rPr>
        <w:t xml:space="preserve">Upper triangle: Lie → ∞-Gpd → witness</w:t>
      </w:r>
    </w:p>
    <w:p>
      <w:pPr>
        <w:spacing w:after="120" w:before="120" w:line="300"/>
        <w:ind w:left="480"/>
      </w:pPr>
      <w:r>
        <w:rPr>
          <w:rFonts w:ascii="Arial" w:cs="Arial" w:eastAsia="Arial" w:hAnsi="Arial"/>
          <w:i/>
          <w:iCs/>
          <w:color w:val="444444"/>
          <w:sz w:val="21"/>
          <w:szCs w:val="21"/>
        </w:rPr>
        <w:t xml:space="preserve">Lower triangle: Transport → Vect → witness</w:t>
      </w:r>
    </w:p>
    <w:p>
      <w:pPr>
        <w:spacing w:after="100" w:before="100" w:line="320"/>
      </w:pPr>
      <w:r>
        <w:rPr>
          <w:rFonts w:ascii="Arial" w:cs="Arial" w:eastAsia="Arial" w:hAnsi="Arial"/>
          <w:sz w:val="22"/>
          <w:szCs w:val="22"/>
        </w:rPr>
        <w:t xml:space="preserve">Every corner is homotopy-orthogonal to its diagonal opposite. Transport and Lie are maximally orthogonal — opposite corners of the square.</w:t>
      </w:r>
    </w:p>
    <w:p>
      <w:pPr>
        <w:pStyle w:val="Heading2"/>
        <w:spacing w:after="160" w:before="300"/>
      </w:pPr>
      <w:r>
        <w:rPr>
          <w:rFonts w:ascii="Arial" w:cs="Arial" w:eastAsia="Arial" w:hAnsi="Arial"/>
          <w:b/>
          <w:bCs/>
          <w:color w:val="16213e"/>
          <w:sz w:val="26"/>
          <w:szCs w:val="26"/>
        </w:rPr>
        <w:t xml:space="preserve">1.3 The Witness</w:t>
      </w:r>
    </w:p>
    <w:p>
      <w:pPr>
        <w:spacing w:after="100" w:before="100" w:line="320"/>
      </w:pPr>
      <w:r>
        <w:rPr>
          <w:rFonts w:ascii="Arial" w:cs="Arial" w:eastAsia="Arial" w:hAnsi="Arial"/>
          <w:sz w:val="22"/>
          <w:szCs w:val="22"/>
        </w:rPr>
        <w:t xml:space="preserve">The first Hom in the theory is the witness map:</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witness = Hom(Lie, Vect)</w:t>
      </w:r>
    </w:p>
    <w:p>
      <w:pPr>
        <w:spacing w:after="100" w:before="100" w:line="320"/>
      </w:pPr>
      <w:r>
        <w:rPr>
          <w:rFonts w:ascii="Arial" w:cs="Arial" w:eastAsia="Arial" w:hAnsi="Arial"/>
          <w:sz w:val="22"/>
          <w:szCs w:val="22"/>
        </w:rPr>
        <w:t xml:space="preserve">The witness is the corner where both triangles meet. Under homotopy orthogonality, Map(Lie, Vect) ≃ *, so the witness does not carry data — it is the proof of orthogonality itself. It is the unique map crossing between the two orthogonal directions, and it is the invariant corner shared by both triangulations of the square.</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2. Transport Fibers</w:t>
      </w:r>
    </w:p>
    <w:p>
      <w:pPr>
        <w:pStyle w:val="Heading2"/>
        <w:spacing w:after="160" w:before="300"/>
      </w:pPr>
      <w:r>
        <w:rPr>
          <w:rFonts w:ascii="Arial" w:cs="Arial" w:eastAsia="Arial" w:hAnsi="Arial"/>
          <w:b/>
          <w:bCs/>
          <w:color w:val="16213e"/>
          <w:sz w:val="26"/>
          <w:szCs w:val="26"/>
        </w:rPr>
        <w:t xml:space="preserve">2.1 Position of Transport</w:t>
      </w:r>
    </w:p>
    <w:p>
      <w:pPr>
        <w:spacing w:after="100" w:before="100" w:line="320"/>
      </w:pPr>
      <w:r>
        <w:rPr>
          <w:rFonts w:ascii="Arial" w:cs="Arial" w:eastAsia="Arial" w:hAnsi="Arial"/>
          <w:sz w:val="22"/>
          <w:szCs w:val="22"/>
        </w:rPr>
        <w:t xml:space="preserve">Transport fibers are orthogonal to the ∞-groupoids:</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Map(TransportFiber, g) ≃ *     for all g ∈ ∞-Gpd</w:t>
      </w:r>
    </w:p>
    <w:p>
      <w:pPr>
        <w:spacing w:after="100" w:before="100" w:line="320"/>
      </w:pPr>
      <w:r>
        <w:rPr>
          <w:rFonts w:ascii="Arial" w:cs="Arial" w:eastAsia="Arial" w:hAnsi="Arial"/>
          <w:sz w:val="22"/>
          <w:szCs w:val="22"/>
        </w:rPr>
        <w:t xml:space="preserve">Transport sits at the origin on the orthogonal side of the ∞-groupoid diagonal. This means transport is prior to both Vect and Lie — it is invisible to both linear structure and bracket structure simultaneously. Transport is not trivial; it is pre-geometric, the primitive datum from which holonomy is constructed.</w:t>
      </w:r>
    </w:p>
    <w:p>
      <w:pPr>
        <w:pStyle w:val="Heading2"/>
        <w:spacing w:after="160" w:before="300"/>
      </w:pPr>
      <w:r>
        <w:rPr>
          <w:rFonts w:ascii="Arial" w:cs="Arial" w:eastAsia="Arial" w:hAnsi="Arial"/>
          <w:b/>
          <w:bCs/>
          <w:color w:val="16213e"/>
          <w:sz w:val="26"/>
          <w:szCs w:val="26"/>
        </w:rPr>
        <w:t xml:space="preserve">2.2 Transport as Universal Basepoint</w:t>
      </w:r>
    </w:p>
    <w:p>
      <w:pPr>
        <w:spacing w:after="100" w:before="100" w:line="320"/>
      </w:pPr>
      <w:r>
        <w:rPr>
          <w:rFonts w:ascii="Arial" w:cs="Arial" w:eastAsia="Arial" w:hAnsi="Arial"/>
          <w:sz w:val="22"/>
          <w:szCs w:val="22"/>
        </w:rPr>
        <w:t xml:space="preserve">Being at the origin on the orthogonal side, transport is the unique object satisfying:</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Map(Vect, Transport) ≃ *     and     Map(Lie, Transport) ≃ *</w:t>
      </w:r>
    </w:p>
    <w:p>
      <w:pPr>
        <w:spacing w:after="100" w:before="100" w:line="320"/>
      </w:pPr>
      <w:r>
        <w:rPr>
          <w:rFonts w:ascii="Arial" w:cs="Arial" w:eastAsia="Arial" w:hAnsi="Arial"/>
          <w:sz w:val="22"/>
          <w:szCs w:val="22"/>
        </w:rPr>
        <w:t xml:space="preserve">It is the homotopy limit over all diagonal objects. The ∞-groupoids on the diagonal are not transport itself, but what transport generates when projected through the orthogonal structure of Vect and Lie. Transport is the seed; the ∞-groupoids are its unfolding.</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3. The Main Conjecture</w:t>
      </w:r>
    </w:p>
    <w:p>
      <w:pPr>
        <w:pStyle w:val="Heading2"/>
        <w:spacing w:after="160" w:before="300"/>
      </w:pPr>
      <w:r>
        <w:rPr>
          <w:rFonts w:ascii="Arial" w:cs="Arial" w:eastAsia="Arial" w:hAnsi="Arial"/>
          <w:b/>
          <w:bCs/>
          <w:color w:val="16213e"/>
          <w:sz w:val="26"/>
          <w:szCs w:val="26"/>
        </w:rPr>
        <w:t xml:space="preserve">3.1 G = Hom(g, g) as Pythagorean Metric Invariant</w:t>
      </w:r>
    </w:p>
    <w:p>
      <w:pPr>
        <w:spacing w:after="100" w:before="100" w:line="320"/>
      </w:pPr>
      <w:r>
        <w:rPr>
          <w:rFonts w:ascii="Arial" w:cs="Arial" w:eastAsia="Arial" w:hAnsi="Arial"/>
          <w:sz w:val="22"/>
          <w:szCs w:val="22"/>
        </w:rPr>
        <w:t xml:space="preserve">Let G denote the holonomy group and g a Lie algebra. The central conjecture of this theory is:</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G = Hom(g, g) = Vect² + Lie²</w:t>
      </w:r>
    </w:p>
    <w:p>
      <w:pPr>
        <w:spacing w:after="100" w:before="100" w:line="320"/>
      </w:pPr>
      <w:r>
        <w:rPr>
          <w:rFonts w:ascii="Arial" w:cs="Arial" w:eastAsia="Arial" w:hAnsi="Arial"/>
          <w:sz w:val="22"/>
          <w:szCs w:val="22"/>
        </w:rPr>
        <w:t xml:space="preserve">This is the Pythagorean theorem in the homotopy-orthogonal geometry. G is the area of the square — the metric invariant that does not change regardless of which triangulation is used to compute it. The two triangulations give the same G:</w:t>
      </w:r>
    </w:p>
    <w:p>
      <w:pPr>
        <w:spacing w:after="120" w:before="120" w:line="300"/>
        <w:ind w:left="480"/>
      </w:pPr>
      <w:r>
        <w:rPr>
          <w:rFonts w:ascii="Arial" w:cs="Arial" w:eastAsia="Arial" w:hAnsi="Arial"/>
          <w:i/>
          <w:iCs/>
          <w:color w:val="444444"/>
          <w:sz w:val="21"/>
          <w:szCs w:val="21"/>
        </w:rPr>
        <w:t xml:space="preserve">Upper triangle: G = witness ∘ Hom(Lie, ∞-Gpd)</w:t>
      </w:r>
    </w:p>
    <w:p>
      <w:pPr>
        <w:spacing w:after="120" w:before="120" w:line="300"/>
        <w:ind w:left="480"/>
      </w:pPr>
      <w:r>
        <w:rPr>
          <w:rFonts w:ascii="Arial" w:cs="Arial" w:eastAsia="Arial" w:hAnsi="Arial"/>
          <w:i/>
          <w:iCs/>
          <w:color w:val="444444"/>
          <w:sz w:val="21"/>
          <w:szCs w:val="21"/>
        </w:rPr>
        <w:t xml:space="preserve">Lower triangle: G = Hom(Transport, Vect) ∘ witness</w:t>
      </w:r>
    </w:p>
    <w:p>
      <w:pPr>
        <w:spacing w:after="100" w:before="100" w:line="320"/>
      </w:pPr>
      <w:r>
        <w:rPr>
          <w:rFonts w:ascii="Arial" w:cs="Arial" w:eastAsia="Arial" w:hAnsi="Arial"/>
          <w:sz w:val="22"/>
          <w:szCs w:val="22"/>
        </w:rPr>
        <w:t xml:space="preserve">Both composites are equal. This agreement is the flatness condition. The failure of agreement is the curvature.</w:t>
      </w:r>
    </w:p>
    <w:p>
      <w:pPr>
        <w:pStyle w:val="Heading2"/>
        <w:spacing w:after="160" w:before="300"/>
      </w:pPr>
      <w:r>
        <w:rPr>
          <w:rFonts w:ascii="Arial" w:cs="Arial" w:eastAsia="Arial" w:hAnsi="Arial"/>
          <w:b/>
          <w:bCs/>
          <w:color w:val="16213e"/>
          <w:sz w:val="26"/>
          <w:szCs w:val="26"/>
        </w:rPr>
        <w:t xml:space="preserve">3.2 The ∞-Groupoids on the Diagonal</w:t>
      </w:r>
    </w:p>
    <w:p>
      <w:pPr>
        <w:spacing w:after="100" w:before="100" w:line="320"/>
      </w:pPr>
      <w:r>
        <w:rPr>
          <w:rFonts w:ascii="Arial" w:cs="Arial" w:eastAsia="Arial" w:hAnsi="Arial"/>
          <w:sz w:val="22"/>
          <w:szCs w:val="22"/>
        </w:rPr>
        <w:t xml:space="preserve">An object g lies on the diagonal — among the ∞-groupoids — if and only if it satisfies:</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g ≃ Map(g, g)</w:t>
      </w:r>
    </w:p>
    <w:p>
      <w:pPr>
        <w:spacing w:after="100" w:before="100" w:line="320"/>
      </w:pPr>
      <w:r>
        <w:rPr>
          <w:rFonts w:ascii="Arial" w:cs="Arial" w:eastAsia="Arial" w:hAnsi="Arial"/>
          <w:sz w:val="22"/>
          <w:szCs w:val="22"/>
        </w:rPr>
        <w:t xml:space="preserve">This is not a set bijection but a homotopy equivalence of mapping spaces. The diagonal condition stratifies as follows: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Level n</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Diagonal condition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n = 0</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Discrete sets / 0-types</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Map(g, g) is a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 =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Groupoids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Map(G, G) ≃ G via conjugation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n = ∞</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Full ∞-groupoids</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Coherent self-maps all the way up</w:t>
            </w:r>
          </w:p>
        </w:tc>
      </w:tr>
    </w:tbl>
    <w:p>
      <w:pPr>
        <w:spacing w:after="160" w:before="160"/>
      </w:pPr>
    </w:p>
    <w:p>
      <w:pPr>
        <w:spacing w:after="100" w:before="100" w:line="320"/>
      </w:pPr>
      <w:r>
        <w:rPr>
          <w:rFonts w:ascii="Arial" w:cs="Arial" w:eastAsia="Arial" w:hAnsi="Arial"/>
          <w:sz w:val="22"/>
          <w:szCs w:val="22"/>
        </w:rPr>
        <w:t xml:space="preserve">At the ∞-level the condition g ≃ Map(g, g) becomes a coherence condition: every self-map has a self-map of itself, witnessed coherently to all orders.</w:t>
      </w:r>
    </w:p>
    <w:p>
      <w:pPr>
        <w:pStyle w:val="Heading2"/>
        <w:spacing w:after="160" w:before="300"/>
      </w:pPr>
      <w:r>
        <w:rPr>
          <w:rFonts w:ascii="Arial" w:cs="Arial" w:eastAsia="Arial" w:hAnsi="Arial"/>
          <w:b/>
          <w:bCs/>
          <w:color w:val="16213e"/>
          <w:sz w:val="26"/>
          <w:szCs w:val="26"/>
        </w:rPr>
        <w:t xml:space="preserve">3.3 Precise Statement</w:t>
      </w:r>
    </w:p>
    <w:p>
      <w:pPr>
        <w:spacing w:after="100" w:before="100" w:line="320"/>
      </w:pPr>
      <w:r>
        <w:rPr>
          <w:rFonts w:ascii="Arial" w:cs="Arial" w:eastAsia="Arial" w:hAnsi="Arial"/>
          <w:sz w:val="22"/>
          <w:szCs w:val="22"/>
        </w:rPr>
        <w:t xml:space="preserve">The conjecture asserts:</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g ≃ Hom(g, g)   ⟺   g ∈ Vect^{⊥h} ∩ Lie^{⊥h}</w:t>
      </w:r>
    </w:p>
    <w:p>
      <w:pPr>
        <w:spacing w:after="100" w:before="100" w:line="320"/>
      </w:pPr>
      <w:r>
        <w:rPr>
          <w:rFonts w:ascii="Arial" w:cs="Arial" w:eastAsia="Arial" w:hAnsi="Arial"/>
          <w:sz w:val="22"/>
          <w:szCs w:val="22"/>
        </w:rPr>
        <w:t xml:space="preserve">The intersection of the homotopy-orthogonal complements of Vect and Lie is exactly the diagonal — the ∞-groupoids. The conjecture G = Hom(g, g) holds if and only if g is an ∞-groupoid in this sense.</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4. Curvature as Gap Operator</w:t>
      </w:r>
    </w:p>
    <w:p>
      <w:pPr>
        <w:pStyle w:val="Heading2"/>
        <w:spacing w:after="160" w:before="300"/>
      </w:pPr>
      <w:r>
        <w:rPr>
          <w:rFonts w:ascii="Arial" w:cs="Arial" w:eastAsia="Arial" w:hAnsi="Arial"/>
          <w:b/>
          <w:bCs/>
          <w:color w:val="16213e"/>
          <w:sz w:val="26"/>
          <w:szCs w:val="26"/>
        </w:rPr>
        <w:t xml:space="preserve">4.1 The Gap Operator</w:t>
      </w:r>
    </w:p>
    <w:p>
      <w:pPr>
        <w:spacing w:after="100" w:before="100" w:line="320"/>
      </w:pPr>
      <w:r>
        <w:rPr>
          <w:rFonts w:ascii="Arial" w:cs="Arial" w:eastAsia="Arial" w:hAnsi="Arial"/>
          <w:sz w:val="22"/>
          <w:szCs w:val="22"/>
        </w:rPr>
        <w:t xml:space="preserve">Curvature is defined as the gap between the two triangulations of the square:</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κ = Hom(Lie, ∞-Gpd) − Hom(Transport, Vect)</w:t>
      </w:r>
    </w:p>
    <w:p>
      <w:pPr>
        <w:spacing w:after="100" w:before="100" w:line="320"/>
      </w:pPr>
      <w:r>
        <w:rPr>
          <w:rFonts w:ascii="Arial" w:cs="Arial" w:eastAsia="Arial" w:hAnsi="Arial"/>
          <w:sz w:val="22"/>
          <w:szCs w:val="22"/>
        </w:rPr>
        <w:t xml:space="preserve">The gap operator κ measures the failure of the square to close exactly. When κ = 0 the geometry is flat — the square closes and both triangulations agree. When κ is nonzero the geometry is curved — the two triangles are distinct.</w:t>
      </w:r>
    </w:p>
    <w:p>
      <w:pPr>
        <w:pStyle w:val="Heading2"/>
        <w:spacing w:after="160" w:before="300"/>
      </w:pPr>
      <w:r>
        <w:rPr>
          <w:rFonts w:ascii="Arial" w:cs="Arial" w:eastAsia="Arial" w:hAnsi="Arial"/>
          <w:b/>
          <w:bCs/>
          <w:color w:val="16213e"/>
          <w:sz w:val="26"/>
          <w:szCs w:val="26"/>
        </w:rPr>
        <w:t xml:space="preserve">4.2 The Spectrum of Curvature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Gap size</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Geometry</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κ = 0</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Flat</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Square closes exactly; both triangulations agree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 &lt; κ &lt;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Two distinct triangulations; curvature data</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κ → ∞</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Circular</w:t>
            </w:r>
          </w:p>
        </w:tc>
        <w:tc>
          <w:tcPr>
            <w:tcW w:type="dxa" w:w="312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Square deforms to S¹; all triangulations equivalent</w:t>
            </w:r>
          </w:p>
        </w:tc>
      </w:tr>
    </w:tbl>
    <w:p>
      <w:pPr>
        <w:spacing w:after="160" w:before="160"/>
      </w:pPr>
    </w:p>
    <w:p>
      <w:pPr>
        <w:pStyle w:val="Heading2"/>
        <w:spacing w:after="160" w:before="300"/>
      </w:pPr>
      <w:r>
        <w:rPr>
          <w:rFonts w:ascii="Arial" w:cs="Arial" w:eastAsia="Arial" w:hAnsi="Arial"/>
          <w:b/>
          <w:bCs/>
          <w:color w:val="16213e"/>
          <w:sz w:val="26"/>
          <w:szCs w:val="26"/>
        </w:rPr>
        <w:t xml:space="preserve">4.3 The Circle at Infinity</w:t>
      </w:r>
    </w:p>
    <w:p>
      <w:pPr>
        <w:spacing w:after="100" w:before="100" w:line="320"/>
      </w:pPr>
      <w:r>
        <w:rPr>
          <w:rFonts w:ascii="Arial" w:cs="Arial" w:eastAsia="Arial" w:hAnsi="Arial"/>
          <w:sz w:val="22"/>
          <w:szCs w:val="22"/>
        </w:rPr>
        <w:t xml:space="preserve">As the gap operator is taken to its limit, the square deforms into a circle:</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κ → ∞   ⟹   G|_∞ ≃ S¹</w:t>
      </w:r>
    </w:p>
    <w:p>
      <w:pPr>
        <w:spacing w:after="100" w:before="100" w:line="320"/>
      </w:pPr>
      <w:r>
        <w:rPr>
          <w:rFonts w:ascii="Arial" w:cs="Arial" w:eastAsia="Arial" w:hAnsi="Arial"/>
          <w:sz w:val="22"/>
          <w:szCs w:val="22"/>
        </w:rPr>
        <w:t xml:space="preserve">The four corners of the square — Lie, ∞-Gpd, Vect, Transport — become four equally spaced points on the circle. The Pythagorean metric invariant becomes a rotational invariant:</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G = Vect² + Lie² = r²</w:t>
      </w:r>
    </w:p>
    <w:p>
      <w:pPr>
        <w:spacing w:after="100" w:before="100" w:line="320"/>
      </w:pPr>
      <w:r>
        <w:rPr>
          <w:rFonts w:ascii="Arial" w:cs="Arial" w:eastAsia="Arial" w:hAnsi="Arial"/>
          <w:sz w:val="22"/>
          <w:szCs w:val="22"/>
        </w:rPr>
        <w:t xml:space="preserve">The holonomy group G is the radius squared. At infinity the circle has no preferred triangulation — both triangles have dissolved into continuous rotation. The witness Hom(Lie, Vect) becomes the full rotation: every point on the circle is simultaneously a witness.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5. The Winding Number</w:t>
      </w:r>
    </w:p>
    <w:p>
      <w:pPr>
        <w:pStyle w:val="Heading2"/>
        <w:spacing w:after="160" w:before="300"/>
      </w:pPr>
      <w:r>
        <w:rPr>
          <w:rFonts w:ascii="Arial" w:cs="Arial" w:eastAsia="Arial" w:hAnsi="Arial"/>
          <w:b/>
          <w:bCs/>
          <w:color w:val="16213e"/>
          <w:sz w:val="26"/>
          <w:szCs w:val="26"/>
        </w:rPr>
        <w:t xml:space="preserve">5.1 The Fundamental Invariant</w:t>
      </w:r>
    </w:p>
    <w:p>
      <w:pPr>
        <w:spacing w:after="100" w:before="100" w:line="320"/>
      </w:pPr>
      <w:r>
        <w:rPr>
          <w:rFonts w:ascii="Arial" w:cs="Arial" w:eastAsia="Arial" w:hAnsi="Arial"/>
          <w:sz w:val="22"/>
          <w:szCs w:val="22"/>
        </w:rPr>
        <w:t xml:space="preserve">The fundamental group of the boundary circle is:</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π₁(S¹) = Z</w:t>
      </w:r>
    </w:p>
    <w:p>
      <w:pPr>
        <w:spacing w:after="100" w:before="100" w:line="320"/>
      </w:pPr>
      <w:r>
        <w:rPr>
          <w:rFonts w:ascii="Arial" w:cs="Arial" w:eastAsia="Arial" w:hAnsi="Arial"/>
          <w:sz w:val="22"/>
          <w:szCs w:val="22"/>
        </w:rPr>
        <w:t xml:space="preserve">The integers arise as the winding number — the discrete count of how many times holonomy winds around the circle at infinity. This is the only invariant that survives the full limit. Everything else — the square, the triangles, the gap operator — dissolves into the circle, but the winding number is discrete and invariant.</w:t>
      </w:r>
    </w:p>
    <w:p>
      <w:pPr>
        <w:pStyle w:val="Heading2"/>
        <w:spacing w:after="160" w:before="300"/>
      </w:pPr>
      <w:r>
        <w:rPr>
          <w:rFonts w:ascii="Arial" w:cs="Arial" w:eastAsia="Arial" w:hAnsi="Arial"/>
          <w:b/>
          <w:bCs/>
          <w:color w:val="16213e"/>
          <w:sz w:val="26"/>
          <w:szCs w:val="26"/>
        </w:rPr>
        <w:t xml:space="preserve">5.2 Quantization of the Gap Operator</w:t>
      </w:r>
    </w:p>
    <w:p>
      <w:pPr>
        <w:spacing w:after="100" w:before="100" w:line="320"/>
      </w:pPr>
      <w:r>
        <w:rPr>
          <w:rFonts w:ascii="Arial" w:cs="Arial" w:eastAsia="Arial" w:hAnsi="Arial"/>
          <w:sz w:val="22"/>
          <w:szCs w:val="22"/>
        </w:rPr>
        <w:t xml:space="preserve">The winding number n ∈ Z is the quantization of the gap operator κ. The full tower of the theory collapses to:</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Transport → G → S¹ → Z</w:t>
      </w:r>
    </w:p>
    <w:p>
      <w:pPr>
        <w:spacing w:after="100" w:before="100" w:line="320"/>
      </w:pPr>
      <w:r>
        <w:rPr>
          <w:rFonts w:ascii="Arial" w:cs="Arial" w:eastAsia="Arial" w:hAnsi="Arial"/>
          <w:sz w:val="22"/>
          <w:szCs w:val="22"/>
        </w:rPr>
        <w:t xml:space="preserve">This is a fiber sequence where each arrow forgets structure until only the integer remains. Two holonomy configurations are equivalent if and only if they have the same winding number. The integer is the complete invariant of the theory.</w:t>
      </w:r>
    </w:p>
    <w:p>
      <w:pPr>
        <w:pStyle w:val="Heading2"/>
        <w:spacing w:after="160" w:before="300"/>
      </w:pPr>
      <w:r>
        <w:rPr>
          <w:rFonts w:ascii="Arial" w:cs="Arial" w:eastAsia="Arial" w:hAnsi="Arial"/>
          <w:b/>
          <w:bCs/>
          <w:color w:val="16213e"/>
          <w:sz w:val="26"/>
          <w:szCs w:val="26"/>
        </w:rPr>
        <w:t xml:space="preserve">5.3 The Normalization Condition</w:t>
      </w:r>
    </w:p>
    <w:p>
      <w:pPr>
        <w:spacing w:after="100" w:before="100" w:line="320"/>
      </w:pPr>
      <w:r>
        <w:rPr>
          <w:rFonts w:ascii="Arial" w:cs="Arial" w:eastAsia="Arial" w:hAnsi="Arial"/>
          <w:sz w:val="22"/>
          <w:szCs w:val="22"/>
        </w:rPr>
        <w:t xml:space="preserve">The conjecture g ≃ Hom(g, g) holds at the boundary — on S¹ — because on the circle every point is its own endomorphism up to winding. The self-similarity of g is the statement that g winds exactly once:</w:t>
      </w:r>
    </w:p>
    <w:p>
      <w:pPr>
        <w:pBdr>
          <w:left w:val="thick" w:color="0f3460" w:sz="6" w:space="10"/>
        </w:pBdr>
        <w:spacing w:after="200" w:before="200"/>
        <w:ind w:left="720" w:right="720"/>
        <w:jc w:val="center"/>
      </w:pPr>
      <w:r>
        <w:rPr>
          <w:rFonts w:ascii="Courier New" w:cs="Courier New" w:eastAsia="Courier New" w:hAnsi="Courier New"/>
          <w:b/>
          <w:bCs/>
          <w:color w:val="0f3460"/>
          <w:sz w:val="24"/>
          <w:szCs w:val="24"/>
        </w:rPr>
        <w:t xml:space="preserve">n = 1</w:t>
      </w:r>
    </w:p>
    <w:p>
      <w:pPr>
        <w:spacing w:after="100" w:before="100" w:line="320"/>
      </w:pPr>
      <w:r>
        <w:rPr>
          <w:rFonts w:ascii="Arial" w:cs="Arial" w:eastAsia="Arial" w:hAnsi="Arial"/>
          <w:sz w:val="22"/>
          <w:szCs w:val="22"/>
        </w:rPr>
        <w:t xml:space="preserve">The unit winding n = 1 is the fixed point of the holonomy — the unique place where g and Hom(g, g) are genuinely, not just formally, the same. All other windings n ∈ Z are measured against this unit. It is the normalization condition of the entire theory.</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6. Summary of the Theory</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Geometry</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Vect</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Horizontal axis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Linear structure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Geometry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Vertical axis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Bracket structure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Diagonal</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∞-Groupoids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Hypotenuse</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Coherent self-maps; g ≃ Map(g,g)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Origin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Orthogonal side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Universal basepoint; prior to both axes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Invariant</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G = Hom(g,g)</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Area of square</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Pythagorean metric invariant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Boundary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S¹</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Infinity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Limit of gap operator</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Discrete</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n ∈ Z</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Winding number</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222222"/>
                <w:sz w:val="20"/>
                <w:szCs w:val="20"/>
              </w:rPr>
              <w:t xml:space="preserve">Complete invariant; n = 1 is unit</w:t>
            </w:r>
          </w:p>
        </w:tc>
      </w:tr>
    </w:tbl>
    <w:p>
      <w:pPr>
        <w:spacing w:after="200" w:before="200"/>
      </w:pPr>
    </w:p>
    <w:p>
      <w:pPr>
        <w:spacing w:after="100" w:before="100" w:line="320"/>
      </w:pPr>
      <w:r>
        <w:rPr>
          <w:rFonts w:ascii="Arial" w:cs="Arial" w:eastAsia="Arial" w:hAnsi="Arial"/>
          <w:sz w:val="22"/>
          <w:szCs w:val="22"/>
        </w:rPr>
        <w:t xml:space="preserve">The holonomy group G is the area of the square formed by the homotopy-orthogonal decomposition of Vect and Lie. The two right triangles sharing the ∞-groupoid diagonal as hypotenuse give two triangulations of G, and the Pythagorean relation G = Vect² + Lie² is a metric invariant — independent of triangulation. Curvature is the gap between triangulations; at infinity it becomes a circle whose fundamental group is Z. The winding number n = 1 is the normalization: the unit at which g and its own endomorphism algebra are genuinely identified.</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7. Open Questions</w:t>
      </w:r>
    </w:p>
    <w:p>
      <w:pPr>
        <w:spacing w:after="100" w:before="100" w:line="320"/>
      </w:pPr>
      <w:r>
        <w:rPr>
          <w:rFonts w:ascii="Arial" w:cs="Arial" w:eastAsia="Arial" w:hAnsi="Arial"/>
          <w:sz w:val="22"/>
          <w:szCs w:val="22"/>
        </w:rPr>
        <w:t xml:space="preserve">The following questions remain open:</w:t>
      </w:r>
    </w:p>
    <w:p>
      <w:pPr>
        <w:pStyle w:val="ListParagraph"/>
        <w:numPr>
          <w:ilvl w:val="0"/>
          <w:numId w:val="2"/>
        </w:numPr>
        <w:spacing w:after="80" w:before="120"/>
      </w:pPr>
      <w:r>
        <w:rPr>
          <w:rFonts w:ascii="Arial" w:cs="Arial" w:eastAsia="Arial" w:hAnsi="Arial"/>
          <w:sz w:val="22"/>
          <w:szCs w:val="22"/>
        </w:rPr>
        <w:t xml:space="preserve">Is the fiber sequence Transport → G → S¹ → Z a principal fibration? What is the classifying space?</w:t>
      </w:r>
    </w:p>
    <w:p>
      <w:pPr>
        <w:pStyle w:val="ListParagraph"/>
        <w:numPr>
          <w:ilvl w:val="0"/>
          <w:numId w:val="2"/>
        </w:numPr>
        <w:spacing w:after="80" w:before="80"/>
      </w:pPr>
      <w:r>
        <w:rPr>
          <w:rFonts w:ascii="Arial" w:cs="Arial" w:eastAsia="Arial" w:hAnsi="Arial"/>
          <w:sz w:val="22"/>
          <w:szCs w:val="22"/>
        </w:rPr>
        <w:t xml:space="preserve">Does the gap operator κ define a cohomology class? Is it related to characteristic classes of the underlying bundle?</w:t>
      </w:r>
    </w:p>
    <w:p>
      <w:pPr>
        <w:pStyle w:val="ListParagraph"/>
        <w:numPr>
          <w:ilvl w:val="0"/>
          <w:numId w:val="2"/>
        </w:numPr>
        <w:spacing w:after="80" w:before="80"/>
      </w:pPr>
      <w:r>
        <w:rPr>
          <w:rFonts w:ascii="Arial" w:cs="Arial" w:eastAsia="Arial" w:hAnsi="Arial"/>
          <w:sz w:val="22"/>
          <w:szCs w:val="22"/>
        </w:rPr>
        <w:t xml:space="preserve">What is the role of higher winding numbers n &gt; 1? Do they correspond to higher holonomy or higher-order curvature?</w:t>
      </w:r>
    </w:p>
    <w:p>
      <w:pPr>
        <w:pStyle w:val="ListParagraph"/>
        <w:numPr>
          <w:ilvl w:val="0"/>
          <w:numId w:val="2"/>
        </w:numPr>
        <w:spacing w:after="80" w:before="80"/>
      </w:pPr>
      <w:r>
        <w:rPr>
          <w:rFonts w:ascii="Arial" w:cs="Arial" w:eastAsia="Arial" w:hAnsi="Arial"/>
          <w:sz w:val="22"/>
          <w:szCs w:val="22"/>
        </w:rPr>
        <w:t xml:space="preserve">Can the Pythagorean metric invariant G = Vect² + Lie² be given a precise statement in the language of ∞-operads?</w:t>
      </w:r>
    </w:p>
    <w:p>
      <w:pPr>
        <w:pStyle w:val="ListParagraph"/>
        <w:numPr>
          <w:ilvl w:val="0"/>
          <w:numId w:val="2"/>
        </w:numPr>
        <w:spacing w:after="200" w:before="80"/>
      </w:pPr>
      <w:r>
        <w:rPr>
          <w:rFonts w:ascii="Arial" w:cs="Arial" w:eastAsia="Arial" w:hAnsi="Arial"/>
          <w:sz w:val="22"/>
          <w:szCs w:val="22"/>
        </w:rPr>
        <w:t xml:space="preserve">Is holonomy self-witnessing — does the fiber know its own transport — precisely when n =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2026-04-29T07:33:39.547Z</dcterms:created>
  <dcterms:modified xsi:type="dcterms:W3CDTF">2026-04-29T07:33:39.548Z</dcterms:modified>
</cp:coreProperties>
</file>

<file path=docProps/custom.xml><?xml version="1.0" encoding="utf-8"?>
<Properties xmlns="http://schemas.openxmlformats.org/officeDocument/2006/custom-properties" xmlns:vt="http://schemas.openxmlformats.org/officeDocument/2006/docPropsVTypes"/>
</file>