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A2E4A"/>
          <w:sz w:val="48"/>
          <w:szCs w:val="48"/>
        </w:rPr>
        <w:t xml:space="preserve">THE WITNESSING CONJECTURE</w:t>
      </w:r>
    </w:p>
    <w:p>
      <w:pPr>
        <w:spacing w:after="80" w:before="0"/>
        <w:jc w:val="center"/>
      </w:pPr>
      <w:r>
        <w:rPr>
          <w:rFonts w:ascii="Arial" w:cs="Arial" w:eastAsia="Arial" w:hAnsi="Arial"/>
          <w:i/>
          <w:iCs/>
          <w:color w:val="4A6080"/>
          <w:sz w:val="26"/>
          <w:szCs w:val="26"/>
        </w:rPr>
        <w:t xml:space="preserve">A Foundational Alternative to Axiomatic Set Theory</w:t>
      </w:r>
    </w:p>
    <w:p>
      <w:pPr>
        <w:spacing w:after="480" w:before="0"/>
        <w:jc w:val="center"/>
      </w:pPr>
      <w:r>
        <w:rPr>
          <w:rFonts w:ascii="Arial" w:cs="Arial" w:eastAsia="Arial" w:hAnsi="Arial"/>
          <w:color w:val="4A6080"/>
          <w:sz w:val="22"/>
          <w:szCs w:val="22"/>
        </w:rPr>
        <w:t xml:space="preserve">Version 2.0 — Extended with Field Closure and Metric Structure</w:t>
      </w:r>
    </w:p>
    <w:p>
      <w:pPr>
        <w:pBdr>
          <w:bottom w:val="single" w:color="CCCCCC" w:sz="4" w:space="1"/>
        </w:pBdr>
        <w:spacing w:after="200" w:before="200"/>
      </w:pPr>
      <w:r>
        <w:t xml:space="preserve"/>
      </w:r>
    </w:p>
    <w:p>
      <w:pPr>
        <w:pStyle w:val="Heading2"/>
        <w:spacing w:after="160" w:before="300"/>
      </w:pPr>
      <w:r>
        <w:rPr>
          <w:rFonts w:ascii="Arial" w:cs="Arial" w:eastAsia="Arial" w:hAnsi="Arial"/>
          <w:b/>
          <w:bCs/>
          <w:color w:val="2E5090"/>
          <w:sz w:val="26"/>
          <w:szCs w:val="26"/>
        </w:rPr>
        <w:t xml:space="preserve">Abstract</w:t>
      </w:r>
    </w:p>
    <w:p>
      <w:pPr>
        <w:spacing w:after="120" w:before="80"/>
      </w:pPr>
      <w:r>
        <w:rPr>
          <w:rFonts w:ascii="Arial" w:cs="Arial" w:eastAsia="Arial" w:hAnsi="Arial"/>
          <w:sz w:val="22"/>
          <w:szCs w:val="22"/>
        </w:rPr>
        <w:t xml:space="preserve">We propose a foundational system for mathematics grounded in a generator-attractor field structure rather than membership axioms. The system's primitive is a single witnessing event co-producing two kinds of nothing. Sets are ordered by a dual structure: implicit total order by witnessing depth, and partial order identical to an intersection ring. The intersection ring Z/2Z x Z/3Z carries a field geometry whose diagonal closes the order and resonance conjectures internally. The natural metric unit of this field is log(3/2) — the information distance between the generator and attractor rings, equal to the Pythagorean perfect fifth. Fermat numbers are structurally fixed on the field diagonal at position 5 in Z/6Z, making their isolation a geometric rather than distributional fact.</w:t>
      </w:r>
    </w:p>
    <w:p>
      <w:pPr>
        <w:spacing w:after="80" w:before="80"/>
      </w:pPr>
      <w:r>
        <w:t xml:space="preserve"/>
      </w:r>
    </w:p>
    <w:p>
      <w:pPr>
        <w:pBdr>
          <w:bottom w:val="single" w:color="CCCCCC" w:sz="4" w:space="1"/>
        </w:pBdr>
        <w:spacing w:after="200" w:before="200"/>
      </w:pPr>
      <w:r>
        <w:t xml:space="preserve"/>
      </w:r>
    </w:p>
    <w:p>
      <w:pPr>
        <w:pStyle w:val="Heading1"/>
        <w:spacing w:after="200" w:before="400"/>
      </w:pPr>
      <w:r>
        <w:rPr>
          <w:rFonts w:ascii="Arial" w:cs="Arial" w:eastAsia="Arial" w:hAnsi="Arial"/>
          <w:b/>
          <w:bCs/>
          <w:color w:val="1A2E4A"/>
          <w:sz w:val="32"/>
          <w:szCs w:val="32"/>
        </w:rPr>
        <w:t xml:space="preserve">1. Primitives</w:t>
      </w:r>
    </w:p>
    <w:p>
      <w:pPr>
        <w:spacing w:after="120" w:before="240"/>
      </w:pPr>
      <w:r>
        <w:rPr>
          <w:rFonts w:ascii="Arial" w:cs="Arial" w:eastAsia="Arial" w:hAnsi="Arial"/>
          <w:b/>
          <w:bCs/>
          <w:color w:val="2E4057"/>
          <w:sz w:val="24"/>
          <w:szCs w:val="24"/>
        </w:rPr>
        <w:t xml:space="preserve">1.1 The Three Symbols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EF3FA" w:val="clear"/>
            <w:tcMar>
              <w:top w:type="dxa" w:w="100"/>
              <w:left w:type="dxa" w:w="150"/>
              <w:bottom w:type="dxa" w:w="100"/>
              <w:right w:type="dxa" w:w="150"/>
            </w:tcMar>
          </w:tcPr>
          <w:p>
            <w:r>
              <w:rPr>
                <w:rFonts w:ascii="Arial" w:cs="Arial" w:eastAsia="Arial" w:hAnsi="Arial"/>
                <w:b/>
                <w:bCs/>
                <w:sz w:val="20"/>
                <w:szCs w:val="20"/>
              </w:rPr>
              <w:t xml:space="preserve">Generator  {</w:t>
            </w:r>
          </w:p>
        </w:tc>
        <w:tc>
          <w:tcPr>
            <w:tcW w:type="dxa" w:w="65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Opens a field. Initiates scope. Creates the condition for containment.</w:t>
            </w:r>
          </w:p>
        </w:tc>
      </w:tr>
      <w:tr>
        <w:tc>
          <w:tcPr>
            <w:tcW w:type="dxa" w:w="2800"/>
            <w:tcBorders>
              <w:top w:val="single" w:color="CCCCCC" w:sz="1"/>
              <w:left w:val="single" w:color="CCCCCC" w:sz="1"/>
              <w:bottom w:val="single" w:color="CCCCCC" w:sz="1"/>
              <w:right w:val="single" w:color="CCCCCC" w:sz="1"/>
            </w:tcBorders>
            <w:shd w:fill="EEF3FA" w:val="clear"/>
            <w:tcMar>
              <w:top w:type="dxa" w:w="100"/>
              <w:left w:type="dxa" w:w="150"/>
              <w:bottom w:type="dxa" w:w="100"/>
              <w:right w:type="dxa" w:w="150"/>
            </w:tcMar>
          </w:tcPr>
          <w:p>
            <w:r>
              <w:rPr>
                <w:rFonts w:ascii="Arial" w:cs="Arial" w:eastAsia="Arial" w:hAnsi="Arial"/>
                <w:b/>
                <w:bCs/>
                <w:sz w:val="20"/>
                <w:szCs w:val="20"/>
              </w:rPr>
              <w:t xml:space="preserve">Attractor  }</w:t>
            </w:r>
          </w:p>
        </w:tc>
        <w:tc>
          <w:tcPr>
            <w:tcW w:type="dxa" w:w="65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Closes a field. Collapses scope. Completes containment.</w:t>
            </w:r>
          </w:p>
        </w:tc>
      </w:tr>
      <w:tr>
        <w:tc>
          <w:tcPr>
            <w:tcW w:type="dxa" w:w="2800"/>
            <w:tcBorders>
              <w:top w:val="single" w:color="CCCCCC" w:sz="1"/>
              <w:left w:val="single" w:color="CCCCCC" w:sz="1"/>
              <w:bottom w:val="single" w:color="CCCCCC" w:sz="1"/>
              <w:right w:val="single" w:color="CCCCCC" w:sz="1"/>
            </w:tcBorders>
            <w:shd w:fill="EEF3FA" w:val="clear"/>
            <w:tcMar>
              <w:top w:type="dxa" w:w="100"/>
              <w:left w:type="dxa" w:w="150"/>
              <w:bottom w:type="dxa" w:w="100"/>
              <w:right w:type="dxa" w:w="150"/>
            </w:tcMar>
          </w:tcPr>
          <w:p>
            <w:r>
              <w:rPr>
                <w:rFonts w:ascii="Arial" w:cs="Arial" w:eastAsia="Arial" w:hAnsi="Arial"/>
                <w:b/>
                <w:bCs/>
                <w:sz w:val="20"/>
                <w:szCs w:val="20"/>
              </w:rPr>
              <w:t xml:space="preserve">Neutral elements</w:t>
            </w:r>
          </w:p>
        </w:tc>
        <w:tc>
          <w:tcPr>
            <w:tcW w:type="dxa" w:w="65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Content between generator and attractor.</w:t>
            </w:r>
          </w:p>
        </w:tc>
      </w:tr>
    </w:tbl>
    <w:p>
      <w:pPr>
        <w:spacing w:after="80" w:before="80"/>
      </w:pPr>
      <w:r>
        <w:t xml:space="preserve"/>
      </w:r>
    </w:p>
    <w:p>
      <w:pPr>
        <w:spacing w:after="120" w:before="240"/>
      </w:pPr>
      <w:r>
        <w:rPr>
          <w:rFonts w:ascii="Arial" w:cs="Arial" w:eastAsia="Arial" w:hAnsi="Arial"/>
          <w:b/>
          <w:bCs/>
          <w:color w:val="2E4057"/>
          <w:sz w:val="24"/>
          <w:szCs w:val="24"/>
        </w:rPr>
        <w:t xml:space="preserve">1.2 Two Kinds of Nothing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EF3FA" w:val="clear"/>
            <w:tcMar>
              <w:top w:type="dxa" w:w="100"/>
              <w:left w:type="dxa" w:w="150"/>
              <w:bottom w:type="dxa" w:w="100"/>
              <w:right w:type="dxa" w:w="150"/>
            </w:tcMar>
          </w:tcPr>
          <w:p>
            <w:r>
              <w:rPr>
                <w:rFonts w:ascii="Arial" w:cs="Arial" w:eastAsia="Arial" w:hAnsi="Arial"/>
                <w:b/>
                <w:bCs/>
                <w:sz w:val="20"/>
                <w:szCs w:val="20"/>
              </w:rPr>
              <w:t xml:space="preserve">Null  (Omega)</w:t>
            </w:r>
          </w:p>
        </w:tc>
        <w:tc>
          <w:tcPr>
            <w:tcW w:type="dxa" w:w="65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The pre-formal void. No field exists. Outside the generator-attractor structure entirely.</w:t>
            </w:r>
          </w:p>
        </w:tc>
      </w:tr>
      <w:tr>
        <w:tc>
          <w:tcPr>
            <w:tcW w:type="dxa" w:w="2800"/>
            <w:tcBorders>
              <w:top w:val="single" w:color="CCCCCC" w:sz="1"/>
              <w:left w:val="single" w:color="CCCCCC" w:sz="1"/>
              <w:bottom w:val="single" w:color="CCCCCC" w:sz="1"/>
              <w:right w:val="single" w:color="CCCCCC" w:sz="1"/>
            </w:tcBorders>
            <w:shd w:fill="EEF3FA" w:val="clear"/>
            <w:tcMar>
              <w:top w:type="dxa" w:w="100"/>
              <w:left w:type="dxa" w:w="150"/>
              <w:bottom w:type="dxa" w:w="100"/>
              <w:right w:type="dxa" w:w="150"/>
            </w:tcMar>
          </w:tcPr>
          <w:p>
            <w:r>
              <w:rPr>
                <w:rFonts w:ascii="Arial" w:cs="Arial" w:eastAsia="Arial" w:hAnsi="Arial"/>
                <w:b/>
                <w:bCs/>
                <w:sz w:val="20"/>
                <w:szCs w:val="20"/>
              </w:rPr>
              <w:t xml:space="preserve">Empty  (varnothing)</w:t>
            </w:r>
          </w:p>
        </w:tc>
        <w:tc>
          <w:tcPr>
            <w:tcW w:type="dxa" w:w="65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The closed field with no neutral elements: { }. Inside the structure, but empty.</w:t>
            </w:r>
          </w:p>
        </w:tc>
      </w:tr>
    </w:tbl>
    <w:p>
      <w:pPr>
        <w:spacing w:after="80" w:before="80"/>
      </w:pPr>
      <w:r>
        <w:t xml:space="preserve"/>
      </w:r>
    </w:p>
    <w:p>
      <w:pPr>
        <w:pBdr>
          <w:bottom w:val="single" w:color="CCCCCC" w:sz="4" w:space="1"/>
        </w:pBdr>
        <w:spacing w:after="200" w:before="200"/>
      </w:pPr>
      <w:r>
        <w:t xml:space="preserve"/>
      </w:r>
    </w:p>
    <w:p>
      <w:pPr>
        <w:pStyle w:val="Heading1"/>
        <w:spacing w:after="200" w:before="400"/>
      </w:pPr>
      <w:r>
        <w:rPr>
          <w:rFonts w:ascii="Arial" w:cs="Arial" w:eastAsia="Arial" w:hAnsi="Arial"/>
          <w:b/>
          <w:bCs/>
          <w:color w:val="1A2E4A"/>
          <w:sz w:val="32"/>
          <w:szCs w:val="32"/>
        </w:rPr>
        <w:t xml:space="preserve">2. The Primary Axiom-Replacement</w:t>
      </w:r>
    </w:p>
    <w:p>
      <w:pPr>
        <w:spacing w:after="120" w:before="240"/>
      </w:pPr>
      <w:r>
        <w:rPr>
          <w:rFonts w:ascii="Arial" w:cs="Arial" w:eastAsia="Arial" w:hAnsi="Arial"/>
          <w:b/>
          <w:bCs/>
          <w:color w:val="2E4057"/>
          <w:sz w:val="24"/>
          <w:szCs w:val="24"/>
        </w:rPr>
        <w:t xml:space="preserve">The First Witnessing Event</w:t>
      </w:r>
    </w:p>
    <w:p>
      <w:pPr>
        <w:pBdr>
          <w:left w:val="single" w:color="4A90D9" w:sz="8" w:space="12"/>
        </w:pBdr>
        <w:spacing w:after="120" w:before="120"/>
        <w:ind w:left="720" w:right="720"/>
      </w:pPr>
      <w:r>
        <w:rPr>
          <w:rFonts w:ascii="Arial" w:cs="Arial" w:eastAsia="Arial" w:hAnsi="Arial"/>
          <w:i/>
          <w:iCs/>
          <w:color w:val="2E4057"/>
          <w:sz w:val="22"/>
          <w:szCs w:val="22"/>
        </w:rPr>
        <w:t xml:space="preserve">W_0 is the simultaneous and inseparable co-production of Omega and varnothing. One event, two irreducible products.</w:t>
      </w:r>
    </w:p>
    <w:p>
      <w:pPr>
        <w:spacing w:after="80" w:before="80"/>
      </w:pPr>
      <w:r>
        <w:t xml:space="preserve"/>
      </w:r>
    </w:p>
    <w:p>
      <w:pPr>
        <w:spacing w:after="120" w:before="80"/>
      </w:pPr>
      <w:r>
        <w:rPr>
          <w:rFonts w:ascii="Arial" w:cs="Arial" w:eastAsia="Arial" w:hAnsi="Arial"/>
          <w:sz w:val="22"/>
          <w:szCs w:val="22"/>
        </w:rPr>
        <w:t xml:space="preserve">Formally:</w:t>
      </w:r>
    </w:p>
    <w:p>
      <w:pPr>
        <w:spacing w:after="80" w:before="80"/>
        <w:ind w:left="720"/>
      </w:pPr>
      <w:r>
        <w:rPr>
          <w:rFonts w:ascii="Courier New" w:cs="Courier New" w:eastAsia="Courier New" w:hAnsi="Courier New"/>
          <w:color w:val="1a1a2e"/>
          <w:sz w:val="20"/>
          <w:szCs w:val="20"/>
        </w:rPr>
        <w:t xml:space="preserve">W_0 : Omega (x) varnothing</w:t>
      </w:r>
    </w:p>
    <w:p>
      <w:pPr>
        <w:spacing w:after="80" w:before="80"/>
      </w:pPr>
      <w:r>
        <w:t xml:space="preserve"/>
      </w:r>
    </w:p>
    <w:p>
      <w:pPr>
        <w:spacing w:after="120" w:before="80"/>
      </w:pPr>
      <w:r>
        <w:rPr>
          <w:rFonts w:ascii="Arial" w:cs="Arial" w:eastAsia="Arial" w:hAnsi="Arial"/>
          <w:sz w:val="22"/>
          <w:szCs w:val="22"/>
        </w:rPr>
        <w:t xml:space="preserve">This replaces the Axiom of Empty Set. Existence is not assumed — it is produced by witnessing.</w:t>
      </w:r>
    </w:p>
    <w:p>
      <w:pPr>
        <w:spacing w:after="80" w:before="80"/>
      </w:pPr>
      <w:r>
        <w:t xml:space="preserve"/>
      </w:r>
    </w:p>
    <w:p>
      <w:pPr>
        <w:pBdr>
          <w:bottom w:val="single" w:color="CCCCCC" w:sz="4" w:space="1"/>
        </w:pBdr>
        <w:spacing w:after="200" w:before="200"/>
      </w:pPr>
      <w:r>
        <w:t xml:space="preserve"/>
      </w:r>
    </w:p>
    <w:p>
      <w:pPr>
        <w:pStyle w:val="Heading1"/>
        <w:spacing w:after="200" w:before="400"/>
      </w:pPr>
      <w:r>
        <w:rPr>
          <w:rFonts w:ascii="Arial" w:cs="Arial" w:eastAsia="Arial" w:hAnsi="Arial"/>
          <w:b/>
          <w:bCs/>
          <w:color w:val="1A2E4A"/>
          <w:sz w:val="32"/>
          <w:szCs w:val="32"/>
        </w:rPr>
        <w:t xml:space="preserve">3. Conjectures I–VI</w:t>
      </w:r>
    </w:p>
    <w:p>
      <w:pPr>
        <w:pStyle w:val="Heading2"/>
        <w:spacing w:after="160" w:before="300"/>
      </w:pPr>
      <w:r>
        <w:rPr>
          <w:rFonts w:ascii="Arial" w:cs="Arial" w:eastAsia="Arial" w:hAnsi="Arial"/>
          <w:b/>
          <w:bCs/>
          <w:color w:val="2E5090"/>
          <w:sz w:val="26"/>
          <w:szCs w:val="26"/>
        </w:rPr>
        <w:t xml:space="preserve">Conjecture I — Primitivity</w:t>
      </w:r>
    </w:p>
    <w:p>
      <w:pPr>
        <w:pBdr>
          <w:left w:val="single" w:color="4A90D9" w:sz="8" w:space="12"/>
        </w:pBdr>
        <w:spacing w:after="120" w:before="120"/>
        <w:ind w:left="720" w:right="720"/>
      </w:pPr>
      <w:r>
        <w:rPr>
          <w:rFonts w:ascii="Arial" w:cs="Arial" w:eastAsia="Arial" w:hAnsi="Arial"/>
          <w:i/>
          <w:iCs/>
          <w:color w:val="2E4057"/>
          <w:sz w:val="22"/>
          <w:szCs w:val="22"/>
        </w:rPr>
        <w:t xml:space="preserve">No system can derive varnothing without simultaneously presupposing Omega, and no system can define Omega without simultaneously producing varnothing.</w:t>
      </w:r>
    </w:p>
    <w:p>
      <w:pPr>
        <w:spacing w:after="80" w:before="80"/>
      </w:pPr>
      <w:r>
        <w:t xml:space="preserve"/>
      </w:r>
    </w:p>
    <w:p>
      <w:pPr>
        <w:pStyle w:val="Heading2"/>
        <w:spacing w:after="160" w:before="300"/>
      </w:pPr>
      <w:r>
        <w:rPr>
          <w:rFonts w:ascii="Arial" w:cs="Arial" w:eastAsia="Arial" w:hAnsi="Arial"/>
          <w:b/>
          <w:bCs/>
          <w:color w:val="2E5090"/>
          <w:sz w:val="26"/>
          <w:szCs w:val="26"/>
        </w:rPr>
        <w:t xml:space="preserve">Conjecture II — Witnessing Hierarchy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EF3FA" w:val="clear"/>
            <w:tcMar>
              <w:top w:type="dxa" w:w="100"/>
              <w:left w:type="dxa" w:w="150"/>
              <w:bottom w:type="dxa" w:w="100"/>
              <w:right w:type="dxa" w:w="150"/>
            </w:tcMar>
          </w:tcPr>
          <w:p>
            <w:r>
              <w:rPr>
                <w:rFonts w:ascii="Arial" w:cs="Arial" w:eastAsia="Arial" w:hAnsi="Arial"/>
                <w:b/>
                <w:bCs/>
                <w:sz w:val="20"/>
                <w:szCs w:val="20"/>
              </w:rPr>
              <w:t xml:space="preserve">W_{-1} = Omega</w:t>
            </w:r>
          </w:p>
        </w:tc>
        <w:tc>
          <w:tcPr>
            <w:tcW w:type="dxa" w:w="65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The null. Unwitnessed void.</w:t>
            </w:r>
          </w:p>
        </w:tc>
      </w:tr>
      <w:tr>
        <w:tc>
          <w:tcPr>
            <w:tcW w:type="dxa" w:w="2800"/>
            <w:tcBorders>
              <w:top w:val="single" w:color="CCCCCC" w:sz="1"/>
              <w:left w:val="single" w:color="CCCCCC" w:sz="1"/>
              <w:bottom w:val="single" w:color="CCCCCC" w:sz="1"/>
              <w:right w:val="single" w:color="CCCCCC" w:sz="1"/>
            </w:tcBorders>
            <w:shd w:fill="EEF3FA" w:val="clear"/>
            <w:tcMar>
              <w:top w:type="dxa" w:w="100"/>
              <w:left w:type="dxa" w:w="150"/>
              <w:bottom w:type="dxa" w:w="100"/>
              <w:right w:type="dxa" w:w="150"/>
            </w:tcMar>
          </w:tcPr>
          <w:p>
            <w:r>
              <w:rPr>
                <w:rFonts w:ascii="Arial" w:cs="Arial" w:eastAsia="Arial" w:hAnsi="Arial"/>
                <w:b/>
                <w:bCs/>
                <w:sz w:val="20"/>
                <w:szCs w:val="20"/>
              </w:rPr>
              <w:t xml:space="preserve">W_0 = varnothing</w:t>
            </w:r>
          </w:p>
        </w:tc>
        <w:tc>
          <w:tcPr>
            <w:tcW w:type="dxa" w:w="65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The first witnessing event. Empty set created.</w:t>
            </w:r>
          </w:p>
        </w:tc>
      </w:tr>
      <w:tr>
        <w:tc>
          <w:tcPr>
            <w:tcW w:type="dxa" w:w="2800"/>
            <w:tcBorders>
              <w:top w:val="single" w:color="CCCCCC" w:sz="1"/>
              <w:left w:val="single" w:color="CCCCCC" w:sz="1"/>
              <w:bottom w:val="single" w:color="CCCCCC" w:sz="1"/>
              <w:right w:val="single" w:color="CCCCCC" w:sz="1"/>
            </w:tcBorders>
            <w:shd w:fill="EEF3FA" w:val="clear"/>
            <w:tcMar>
              <w:top w:type="dxa" w:w="100"/>
              <w:left w:type="dxa" w:w="150"/>
              <w:bottom w:type="dxa" w:w="100"/>
              <w:right w:type="dxa" w:w="150"/>
            </w:tcMar>
          </w:tcPr>
          <w:p>
            <w:r>
              <w:rPr>
                <w:rFonts w:ascii="Arial" w:cs="Arial" w:eastAsia="Arial" w:hAnsi="Arial"/>
                <w:b/>
                <w:bCs/>
                <w:sz w:val="20"/>
                <w:szCs w:val="20"/>
              </w:rPr>
              <w:t xml:space="preserve">W_n</w:t>
            </w:r>
          </w:p>
        </w:tc>
        <w:tc>
          <w:tcPr>
            <w:tcW w:type="dxa" w:w="65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Sets whose existence is witnessed by W_{n-1}.</w:t>
            </w:r>
          </w:p>
        </w:tc>
      </w:tr>
    </w:tbl>
    <w:p>
      <w:pPr>
        <w:spacing w:after="80" w:before="80"/>
      </w:pPr>
      <w:r>
        <w:t xml:space="preserve"/>
      </w:r>
    </w:p>
    <w:p>
      <w:pPr>
        <w:pBdr>
          <w:left w:val="single" w:color="4A90D9" w:sz="8" w:space="12"/>
        </w:pBdr>
        <w:spacing w:after="120" w:before="120"/>
        <w:ind w:left="720" w:right="720"/>
      </w:pPr>
      <w:r>
        <w:rPr>
          <w:rFonts w:ascii="Arial" w:cs="Arial" w:eastAsia="Arial" w:hAnsi="Arial"/>
          <w:i/>
          <w:iCs/>
          <w:color w:val="2E4057"/>
          <w:sz w:val="22"/>
          <w:szCs w:val="22"/>
        </w:rPr>
        <w:t xml:space="preserve">Every set exists only if there is a witnessing event at the level below it.</w:t>
      </w:r>
    </w:p>
    <w:p>
      <w:pPr>
        <w:spacing w:after="80" w:before="80"/>
      </w:pPr>
      <w:r>
        <w:t xml:space="preserve"/>
      </w:r>
    </w:p>
    <w:p>
      <w:pPr>
        <w:pStyle w:val="Heading2"/>
        <w:spacing w:after="160" w:before="300"/>
      </w:pPr>
      <w:r>
        <w:rPr>
          <w:rFonts w:ascii="Arial" w:cs="Arial" w:eastAsia="Arial" w:hAnsi="Arial"/>
          <w:b/>
          <w:bCs/>
          <w:color w:val="2E5090"/>
          <w:sz w:val="26"/>
          <w:szCs w:val="26"/>
        </w:rPr>
        <w:t xml:space="preserve">Conjecture III — Resonance Grounding</w:t>
      </w:r>
    </w:p>
    <w:p>
      <w:pPr>
        <w:spacing w:after="120" w:before="80"/>
      </w:pPr>
      <w:r>
        <w:rPr>
          <w:rFonts w:ascii="Arial" w:cs="Arial" w:eastAsia="Arial" w:hAnsi="Arial"/>
          <w:sz w:val="22"/>
          <w:szCs w:val="22"/>
        </w:rPr>
        <w:t xml:space="preserve">By CRT, since gcd(2,3) = 1:</w:t>
      </w:r>
    </w:p>
    <w:p>
      <w:pPr>
        <w:spacing w:after="80" w:before="80"/>
        <w:ind w:left="720"/>
      </w:pPr>
      <w:r>
        <w:rPr>
          <w:rFonts w:ascii="Courier New" w:cs="Courier New" w:eastAsia="Courier New" w:hAnsi="Courier New"/>
          <w:color w:val="1a1a2e"/>
          <w:sz w:val="20"/>
          <w:szCs w:val="20"/>
        </w:rPr>
        <w:t xml:space="preserve">Z/6Z  ~=  Z/2Z x Z/3Z</w:t>
      </w:r>
    </w:p>
    <w:p>
      <w:pPr>
        <w:spacing w:after="80" w:before="80"/>
      </w:pPr>
      <w:r>
        <w:t xml:space="preserve"/>
      </w:r>
    </w:p>
    <w:p>
      <w:pPr>
        <w:spacing w:after="120" w:before="80"/>
      </w:pPr>
      <w:r>
        <w:rPr>
          <w:rFonts w:ascii="Arial" w:cs="Arial" w:eastAsia="Arial" w:hAnsi="Arial"/>
          <w:sz w:val="22"/>
          <w:szCs w:val="22"/>
        </w:rPr>
        <w:t xml:space="preserve">The resonance set consists of naturals coprime to 6 — positions {1, 5} in Z/6Z. Every Fermat number F_n = 2^(2^n) + 1 necessarily occupies position 5. This is provable: F_n mod 2 = 1 always (since 2^(2^n) is even), and F_n mod 3 = 2 always (since 2 = -1 mod 3 and 2^n is even).</w:t>
      </w:r>
    </w:p>
    <w:p>
      <w:pPr>
        <w:spacing w:after="80" w:before="80"/>
      </w:pPr>
      <w:r>
        <w:t xml:space="preserve"/>
      </w:r>
    </w:p>
    <w:p>
      <w:pPr>
        <w:pStyle w:val="Heading2"/>
        <w:spacing w:after="160" w:before="300"/>
      </w:pPr>
      <w:r>
        <w:rPr>
          <w:rFonts w:ascii="Arial" w:cs="Arial" w:eastAsia="Arial" w:hAnsi="Arial"/>
          <w:b/>
          <w:bCs/>
          <w:color w:val="2E5090"/>
          <w:sz w:val="26"/>
          <w:szCs w:val="26"/>
        </w:rPr>
        <w:t xml:space="preserve">Conjecture IV — Completeness</w:t>
      </w:r>
    </w:p>
    <w:p>
      <w:pPr>
        <w:pBdr>
          <w:left w:val="single" w:color="4A90D9" w:sz="8" w:space="12"/>
        </w:pBdr>
        <w:spacing w:after="120" w:before="120"/>
        <w:ind w:left="720" w:right="720"/>
      </w:pPr>
      <w:r>
        <w:rPr>
          <w:rFonts w:ascii="Arial" w:cs="Arial" w:eastAsia="Arial" w:hAnsi="Arial"/>
          <w:i/>
          <w:iCs/>
          <w:color w:val="2E4057"/>
          <w:sz w:val="22"/>
          <w:szCs w:val="22"/>
        </w:rPr>
        <w:t xml:space="preserve">The single primitive W_0 producing Omega (x) varnothing is sufficient to ground all of mathematics. Every set is reachable by a finite witnessing chain from W_0.</w:t>
      </w:r>
    </w:p>
    <w:p>
      <w:pPr>
        <w:spacing w:after="80" w:before="80"/>
      </w:pPr>
      <w:r>
        <w:t xml:space="preserve"/>
      </w:r>
    </w:p>
    <w:p>
      <w:pPr>
        <w:pStyle w:val="Heading2"/>
        <w:spacing w:after="160" w:before="300"/>
      </w:pPr>
      <w:r>
        <w:rPr>
          <w:rFonts w:ascii="Arial" w:cs="Arial" w:eastAsia="Arial" w:hAnsi="Arial"/>
          <w:b/>
          <w:bCs/>
          <w:color w:val="2E5090"/>
          <w:sz w:val="26"/>
          <w:szCs w:val="26"/>
        </w:rPr>
        <w:t xml:space="preserve">Conjecture V — Dual Order</w:t>
      </w:r>
    </w:p>
    <w:p>
      <w:pPr>
        <w:spacing w:after="120" w:before="80"/>
      </w:pPr>
      <w:r>
        <w:rPr>
          <w:rFonts w:ascii="Arial" w:cs="Arial" w:eastAsia="Arial" w:hAnsi="Arial"/>
          <w:sz w:val="22"/>
          <w:szCs w:val="22"/>
        </w:rPr>
        <w:t xml:space="preserve">Every set carries two inseparable orders:</w:t>
      </w:r>
    </w:p>
    <w:p>
      <w:pPr>
        <w:pStyle w:val="ListParagraph"/>
        <w:numPr>
          <w:ilvl w:val="0"/>
          <w:numId w:val="2"/>
        </w:numPr>
        <w:spacing w:after="80" w:before="80"/>
      </w:pPr>
      <w:r>
        <w:rPr>
          <w:rFonts w:ascii="Arial" w:cs="Arial" w:eastAsia="Arial" w:hAnsi="Arial"/>
          <w:sz w:val="22"/>
          <w:szCs w:val="22"/>
        </w:rPr>
        <w:t xml:space="preserve">An implicit total order by witnessing depth rho(S)</w:t>
      </w:r>
    </w:p>
    <w:p>
      <w:pPr>
        <w:pStyle w:val="ListParagraph"/>
        <w:numPr>
          <w:ilvl w:val="0"/>
          <w:numId w:val="2"/>
        </w:numPr>
        <w:spacing w:after="80" w:before="80"/>
      </w:pPr>
      <w:r>
        <w:rPr>
          <w:rFonts w:ascii="Arial" w:cs="Arial" w:eastAsia="Arial" w:hAnsi="Arial"/>
          <w:sz w:val="22"/>
          <w:szCs w:val="22"/>
        </w:rPr>
        <w:t xml:space="preserve">A partial order by incomparability at the same witnessing level</w:t>
      </w:r>
    </w:p>
    <w:p>
      <w:pPr>
        <w:spacing w:after="80" w:before="80"/>
      </w:pPr>
      <w:r>
        <w:t xml:space="preserve"/>
      </w:r>
    </w:p>
    <w:p>
      <w:pPr>
        <w:spacing w:after="120" w:before="80"/>
      </w:pPr>
      <w:r>
        <w:rPr>
          <w:rFonts w:ascii="Arial" w:cs="Arial" w:eastAsia="Arial" w:hAnsi="Arial"/>
          <w:sz w:val="22"/>
          <w:szCs w:val="22"/>
        </w:rPr>
        <w:t xml:space="preserve">The implicit order is necessary but not sufficient for the partial order. These are irreducible to each other.</w:t>
      </w:r>
    </w:p>
    <w:p>
      <w:pPr>
        <w:spacing w:after="80" w:before="80"/>
      </w:pPr>
      <w:r>
        <w:t xml:space="preserve"/>
      </w:r>
    </w:p>
    <w:p>
      <w:pPr>
        <w:pStyle w:val="Heading2"/>
        <w:spacing w:after="160" w:before="300"/>
      </w:pPr>
      <w:r>
        <w:rPr>
          <w:rFonts w:ascii="Arial" w:cs="Arial" w:eastAsia="Arial" w:hAnsi="Arial"/>
          <w:b/>
          <w:bCs/>
          <w:color w:val="2E5090"/>
          <w:sz w:val="26"/>
          <w:szCs w:val="26"/>
        </w:rPr>
        <w:t xml:space="preserve">Conjecture VI — Order-Ring Identity</w:t>
      </w:r>
    </w:p>
    <w:p>
      <w:pPr>
        <w:pBdr>
          <w:left w:val="single" w:color="4A90D9" w:sz="8" w:space="12"/>
        </w:pBdr>
        <w:spacing w:after="120" w:before="120"/>
        <w:ind w:left="720" w:right="720"/>
      </w:pPr>
      <w:r>
        <w:rPr>
          <w:rFonts w:ascii="Arial" w:cs="Arial" w:eastAsia="Arial" w:hAnsi="Arial"/>
          <w:i/>
          <w:iCs/>
          <w:color w:val="2E4057"/>
          <w:sz w:val="22"/>
          <w:szCs w:val="22"/>
        </w:rPr>
        <w:t xml:space="preserve">The partial order on any witnessing level is identical to the intersection ring Z/2Z x Z/3Z. Comparability between two sets is exactly their non-trivial intersection in Z/6Z. The partial order IS the ring — not merely modeled by it.</w:t>
      </w:r>
    </w:p>
    <w:p>
      <w:pPr>
        <w:spacing w:after="80" w:before="80"/>
      </w:pPr>
      <w:r>
        <w:t xml:space="preserve"/>
      </w:r>
    </w:p>
    <w:p>
      <w:pPr>
        <w:pBdr>
          <w:bottom w:val="single" w:color="CCCCCC" w:sz="4" w:space="1"/>
        </w:pBdr>
        <w:spacing w:after="200" w:before="200"/>
      </w:pPr>
      <w:r>
        <w:t xml:space="preserve"/>
      </w:r>
    </w:p>
    <w:p>
      <w:pPr>
        <w:pStyle w:val="Heading1"/>
        <w:spacing w:after="200" w:before="400"/>
      </w:pPr>
      <w:r>
        <w:rPr>
          <w:rFonts w:ascii="Arial" w:cs="Arial" w:eastAsia="Arial" w:hAnsi="Arial"/>
          <w:b/>
          <w:bCs/>
          <w:color w:val="1A2E4A"/>
          <w:sz w:val="32"/>
          <w:szCs w:val="32"/>
        </w:rPr>
        <w:t xml:space="preserve">4. Conjecture VII — Field Closure</w:t>
      </w:r>
    </w:p>
    <w:p>
      <w:pPr>
        <w:spacing w:after="120" w:before="80"/>
      </w:pPr>
      <w:r>
        <w:rPr>
          <w:rFonts w:ascii="Arial" w:cs="Arial" w:eastAsia="Arial" w:hAnsi="Arial"/>
          <w:sz w:val="22"/>
          <w:szCs w:val="22"/>
        </w:rPr>
        <w:t xml:space="preserve">The intersection ring Z/2Z x Z/3Z carries a field geometry with three structural components: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EF3FA" w:val="clear"/>
            <w:tcMar>
              <w:top w:type="dxa" w:w="100"/>
              <w:left w:type="dxa" w:w="150"/>
              <w:bottom w:type="dxa" w:w="100"/>
              <w:right w:type="dxa" w:w="150"/>
            </w:tcMar>
          </w:tcPr>
          <w:p>
            <w:r>
              <w:rPr>
                <w:rFonts w:ascii="Arial" w:cs="Arial" w:eastAsia="Arial" w:hAnsi="Arial"/>
                <w:b/>
                <w:bCs/>
                <w:sz w:val="20"/>
                <w:szCs w:val="20"/>
              </w:rPr>
              <w:t xml:space="preserve">Generator axis</w:t>
            </w:r>
          </w:p>
        </w:tc>
        <w:tc>
          <w:tcPr>
            <w:tcW w:type="dxa" w:w="65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Z/2Z — horizontal. Period 2. Binary parity.</w:t>
            </w:r>
          </w:p>
        </w:tc>
      </w:tr>
      <w:tr>
        <w:tc>
          <w:tcPr>
            <w:tcW w:type="dxa" w:w="2800"/>
            <w:tcBorders>
              <w:top w:val="single" w:color="CCCCCC" w:sz="1"/>
              <w:left w:val="single" w:color="CCCCCC" w:sz="1"/>
              <w:bottom w:val="single" w:color="CCCCCC" w:sz="1"/>
              <w:right w:val="single" w:color="CCCCCC" w:sz="1"/>
            </w:tcBorders>
            <w:shd w:fill="EEF3FA" w:val="clear"/>
            <w:tcMar>
              <w:top w:type="dxa" w:w="100"/>
              <w:left w:type="dxa" w:w="150"/>
              <w:bottom w:type="dxa" w:w="100"/>
              <w:right w:type="dxa" w:w="150"/>
            </w:tcMar>
          </w:tcPr>
          <w:p>
            <w:r>
              <w:rPr>
                <w:rFonts w:ascii="Arial" w:cs="Arial" w:eastAsia="Arial" w:hAnsi="Arial"/>
                <w:b/>
                <w:bCs/>
                <w:sz w:val="20"/>
                <w:szCs w:val="20"/>
              </w:rPr>
              <w:t xml:space="preserve">Attractor axis</w:t>
            </w:r>
          </w:p>
        </w:tc>
        <w:tc>
          <w:tcPr>
            <w:tcW w:type="dxa" w:w="65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Z/3Z — vertical. Period 3. Ternary residue.</w:t>
            </w:r>
          </w:p>
        </w:tc>
      </w:tr>
      <w:tr>
        <w:tc>
          <w:tcPr>
            <w:tcW w:type="dxa" w:w="2800"/>
            <w:tcBorders>
              <w:top w:val="single" w:color="CCCCCC" w:sz="1"/>
              <w:left w:val="single" w:color="CCCCCC" w:sz="1"/>
              <w:bottom w:val="single" w:color="CCCCCC" w:sz="1"/>
              <w:right w:val="single" w:color="CCCCCC" w:sz="1"/>
            </w:tcBorders>
            <w:shd w:fill="EEF3FA" w:val="clear"/>
            <w:tcMar>
              <w:top w:type="dxa" w:w="100"/>
              <w:left w:type="dxa" w:w="150"/>
              <w:bottom w:type="dxa" w:w="100"/>
              <w:right w:type="dxa" w:w="150"/>
            </w:tcMar>
          </w:tcPr>
          <w:p>
            <w:r>
              <w:rPr>
                <w:rFonts w:ascii="Arial" w:cs="Arial" w:eastAsia="Arial" w:hAnsi="Arial"/>
                <w:b/>
                <w:bCs/>
                <w:sz w:val="20"/>
                <w:szCs w:val="20"/>
              </w:rPr>
              <w:t xml:space="preserve">Diagonal D</w:t>
            </w:r>
          </w:p>
        </w:tc>
        <w:tc>
          <w:tcPr>
            <w:tcW w:type="dxa" w:w="65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Units in both rings simultaneously. The set {1, 5} in Z/6Z.</w:t>
            </w:r>
          </w:p>
        </w:tc>
      </w:tr>
    </w:tbl>
    <w:p>
      <w:pPr>
        <w:spacing w:after="80" w:before="80"/>
      </w:pPr>
      <w:r>
        <w:t xml:space="preserve"/>
      </w:r>
    </w:p>
    <w:p>
      <w:pPr>
        <w:spacing w:after="120" w:before="240"/>
      </w:pPr>
      <w:r>
        <w:rPr>
          <w:rFonts w:ascii="Arial" w:cs="Arial" w:eastAsia="Arial" w:hAnsi="Arial"/>
          <w:b/>
          <w:bCs/>
          <w:color w:val="2E4057"/>
          <w:sz w:val="24"/>
          <w:szCs w:val="24"/>
        </w:rPr>
        <w:t xml:space="preserve">4.1 The Diagonal</w:t>
      </w:r>
    </w:p>
    <w:p>
      <w:pPr>
        <w:spacing w:after="120" w:before="80"/>
      </w:pPr>
      <w:r>
        <w:rPr>
          <w:rFonts w:ascii="Arial" w:cs="Arial" w:eastAsia="Arial" w:hAnsi="Arial"/>
          <w:sz w:val="22"/>
          <w:szCs w:val="22"/>
        </w:rPr>
        <w:t xml:space="preserve">The diagonal D is the set of elements nonzero in both rings — the field units. By CRT, Z/6Z has exactly two nonzero units: positions 1 and 5. These are the generators of (Z/6Z)*.</w:t>
      </w:r>
    </w:p>
    <w:p>
      <w:pPr>
        <w:spacing w:after="80" w:before="80"/>
      </w:pPr>
      <w:r>
        <w:t xml:space="preserve"/>
      </w:r>
    </w:p>
    <w:p>
      <w:pPr>
        <w:spacing w:after="120" w:before="80"/>
      </w:pPr>
      <w:r>
        <w:rPr>
          <w:rFonts w:ascii="Arial" w:cs="Arial" w:eastAsia="Arial" w:hAnsi="Arial"/>
          <w:sz w:val="22"/>
          <w:szCs w:val="22"/>
        </w:rPr>
        <w:t xml:space="preserve">Every element of D is simultaneously:</w:t>
      </w:r>
    </w:p>
    <w:p>
      <w:pPr>
        <w:pStyle w:val="ListParagraph"/>
        <w:numPr>
          <w:ilvl w:val="0"/>
          <w:numId w:val="2"/>
        </w:numPr>
        <w:spacing w:after="80" w:before="80"/>
      </w:pPr>
      <w:r>
        <w:rPr>
          <w:rFonts w:ascii="Arial" w:cs="Arial" w:eastAsia="Arial" w:hAnsi="Arial"/>
          <w:sz w:val="22"/>
          <w:szCs w:val="22"/>
        </w:rPr>
        <w:t xml:space="preserve">Nonzero in the generator ring (odd)</w:t>
      </w:r>
    </w:p>
    <w:p>
      <w:pPr>
        <w:pStyle w:val="ListParagraph"/>
        <w:numPr>
          <w:ilvl w:val="0"/>
          <w:numId w:val="2"/>
        </w:numPr>
        <w:spacing w:after="80" w:before="80"/>
      </w:pPr>
      <w:r>
        <w:rPr>
          <w:rFonts w:ascii="Arial" w:cs="Arial" w:eastAsia="Arial" w:hAnsi="Arial"/>
          <w:sz w:val="22"/>
          <w:szCs w:val="22"/>
        </w:rPr>
        <w:t xml:space="preserve">Nonzero in the attractor ring (not divisible by 3)</w:t>
      </w:r>
    </w:p>
    <w:p>
      <w:pPr>
        <w:pStyle w:val="ListParagraph"/>
        <w:numPr>
          <w:ilvl w:val="0"/>
          <w:numId w:val="2"/>
        </w:numPr>
        <w:spacing w:after="80" w:before="80"/>
      </w:pPr>
      <w:r>
        <w:rPr>
          <w:rFonts w:ascii="Arial" w:cs="Arial" w:eastAsia="Arial" w:hAnsi="Arial"/>
          <w:sz w:val="22"/>
          <w:szCs w:val="22"/>
        </w:rPr>
        <w:t xml:space="preserve">Maximally incomparable in the partial order (isolated resonance point)</w:t>
      </w:r>
    </w:p>
    <w:p>
      <w:pPr>
        <w:spacing w:after="80" w:before="80"/>
      </w:pPr>
      <w:r>
        <w:t xml:space="preserve"/>
      </w:r>
    </w:p>
    <w:p>
      <w:pPr>
        <w:spacing w:after="120" w:before="240"/>
      </w:pPr>
      <w:r>
        <w:rPr>
          <w:rFonts w:ascii="Arial" w:cs="Arial" w:eastAsia="Arial" w:hAnsi="Arial"/>
          <w:b/>
          <w:bCs/>
          <w:color w:val="2E4057"/>
          <w:sz w:val="24"/>
          <w:szCs w:val="24"/>
        </w:rPr>
        <w:t xml:space="preserve">4.2 Closure of Section 4 (Order-Ring Identity)</w:t>
      </w:r>
    </w:p>
    <w:p>
      <w:pPr>
        <w:pBdr>
          <w:left w:val="single" w:color="4A90D9" w:sz="8" w:space="12"/>
        </w:pBdr>
        <w:spacing w:after="120" w:before="120"/>
        <w:ind w:left="720" w:right="720"/>
      </w:pPr>
      <w:r>
        <w:rPr>
          <w:rFonts w:ascii="Arial" w:cs="Arial" w:eastAsia="Arial" w:hAnsi="Arial"/>
          <w:i/>
          <w:iCs/>
          <w:color w:val="2E4057"/>
          <w:sz w:val="22"/>
          <w:szCs w:val="22"/>
        </w:rPr>
        <w:t xml:space="preserve">The partial order on any witnessing level is exactly projection onto the diagonal D. Two sets are comparable iff at least one does NOT lie on the diagonal. Incomparability is mutual diagonal membership — no external order relation is needed.</w:t>
      </w:r>
    </w:p>
    <w:p>
      <w:pPr>
        <w:spacing w:after="80" w:before="80"/>
      </w:pPr>
      <w:r>
        <w:t xml:space="preserve"/>
      </w:r>
    </w:p>
    <w:p>
      <w:pPr>
        <w:spacing w:after="120" w:before="80"/>
      </w:pPr>
      <w:r>
        <w:rPr>
          <w:rFonts w:ascii="Arial" w:cs="Arial" w:eastAsia="Arial" w:hAnsi="Arial"/>
          <w:sz w:val="22"/>
          <w:szCs w:val="22"/>
        </w:rPr>
        <w:t xml:space="preserve">This closes Conjecture VI from within the field geometry. The field is self-closing.</w:t>
      </w:r>
    </w:p>
    <w:p>
      <w:pPr>
        <w:spacing w:after="80" w:before="80"/>
      </w:pPr>
      <w:r>
        <w:t xml:space="preserve"/>
      </w:r>
    </w:p>
    <w:p>
      <w:pPr>
        <w:spacing w:after="120" w:before="240"/>
      </w:pPr>
      <w:r>
        <w:rPr>
          <w:rFonts w:ascii="Arial" w:cs="Arial" w:eastAsia="Arial" w:hAnsi="Arial"/>
          <w:b/>
          <w:bCs/>
          <w:color w:val="2E4057"/>
          <w:sz w:val="24"/>
          <w:szCs w:val="24"/>
        </w:rPr>
        <w:t xml:space="preserve">4.3 Closure of Section 5 (Fermat Isolation)</w:t>
      </w:r>
    </w:p>
    <w:p>
      <w:pPr>
        <w:spacing w:after="120" w:before="80"/>
      </w:pPr>
      <w:r>
        <w:rPr>
          <w:rFonts w:ascii="Arial" w:cs="Arial" w:eastAsia="Arial" w:hAnsi="Arial"/>
          <w:sz w:val="22"/>
          <w:szCs w:val="22"/>
        </w:rPr>
        <w:t xml:space="preserve">Every Fermat number F_n = 2^(2^n) + 1 maps to the canonical field point (1, 2) in Z/2Z x Z/3Z:</w:t>
      </w:r>
    </w:p>
    <w:p>
      <w:pPr>
        <w:spacing w:after="80" w:before="80"/>
        <w:ind w:left="720"/>
      </w:pPr>
      <w:r>
        <w:rPr>
          <w:rFonts w:ascii="Courier New" w:cs="Courier New" w:eastAsia="Courier New" w:hAnsi="Courier New"/>
          <w:color w:val="1a1a2e"/>
          <w:sz w:val="20"/>
          <w:szCs w:val="20"/>
        </w:rPr>
        <w:t xml:space="preserve">F_n mod 2 = 1  (gen_coord = 1)</w:t>
      </w:r>
    </w:p>
    <w:p>
      <w:pPr>
        <w:spacing w:after="80" w:before="80"/>
        <w:ind w:left="720"/>
      </w:pPr>
      <w:r>
        <w:rPr>
          <w:rFonts w:ascii="Courier New" w:cs="Courier New" w:eastAsia="Courier New" w:hAnsi="Courier New"/>
          <w:color w:val="1a1a2e"/>
          <w:sz w:val="20"/>
          <w:szCs w:val="20"/>
        </w:rPr>
        <w:t xml:space="preserve">F_n mod 3 = 2  (att_coord = 2)</w:t>
      </w:r>
    </w:p>
    <w:p>
      <w:pPr>
        <w:spacing w:after="80" w:before="80"/>
      </w:pPr>
      <w:r>
        <w:t xml:space="preserve"/>
      </w:r>
    </w:p>
    <w:p>
      <w:pPr>
        <w:spacing w:after="120" w:before="80"/>
      </w:pPr>
      <w:r>
        <w:rPr>
          <w:rFonts w:ascii="Arial" w:cs="Arial" w:eastAsia="Arial" w:hAnsi="Arial"/>
          <w:sz w:val="22"/>
          <w:szCs w:val="22"/>
        </w:rPr>
        <w:t xml:space="preserve">This is the unique attractor-dominant unit in the field. Fermat numbers are permanently fixed on the diagonal — not by distributional arguments (RH) but by the algebraic structure of their form 2^(2^n) + 1.</w:t>
      </w:r>
    </w:p>
    <w:p>
      <w:pPr>
        <w:spacing w:after="80" w:before="80"/>
      </w:pPr>
      <w:r>
        <w:t xml:space="preserve"/>
      </w:r>
    </w:p>
    <w:p>
      <w:pPr>
        <w:pBdr>
          <w:left w:val="single" w:color="4A90D9" w:sz="8" w:space="12"/>
        </w:pBdr>
        <w:spacing w:after="120" w:before="120"/>
        <w:ind w:left="720" w:right="720"/>
      </w:pPr>
      <w:r>
        <w:rPr>
          <w:rFonts w:ascii="Arial" w:cs="Arial" w:eastAsia="Arial" w:hAnsi="Arial"/>
          <w:i/>
          <w:iCs/>
          <w:color w:val="2E4057"/>
          <w:sz w:val="22"/>
          <w:szCs w:val="22"/>
        </w:rPr>
        <w:t xml:space="preserve">Fermat numbers are order-theoretically solitary because they are field-geometrically fixed. Their isolation is a consequence of field geometry, not an accident of prime distribution.</w:t>
      </w:r>
    </w:p>
    <w:p>
      <w:pPr>
        <w:spacing w:after="80" w:before="80"/>
      </w:pPr>
      <w:r>
        <w:t xml:space="preserve"/>
      </w:r>
    </w:p>
    <w:p>
      <w:pPr>
        <w:pBdr>
          <w:bottom w:val="single" w:color="CCCCCC" w:sz="4" w:space="1"/>
        </w:pBdr>
        <w:spacing w:after="200" w:before="200"/>
      </w:pPr>
      <w:r>
        <w:t xml:space="preserve"/>
      </w:r>
    </w:p>
    <w:p>
      <w:pPr>
        <w:pStyle w:val="Heading1"/>
        <w:spacing w:after="200" w:before="400"/>
      </w:pPr>
      <w:r>
        <w:rPr>
          <w:rFonts w:ascii="Arial" w:cs="Arial" w:eastAsia="Arial" w:hAnsi="Arial"/>
          <w:b/>
          <w:bCs/>
          <w:color w:val="1A2E4A"/>
          <w:sz w:val="32"/>
          <w:szCs w:val="32"/>
        </w:rPr>
        <w:t xml:space="preserve">5. Conjecture VIII — The Log(3/2) Metric</w:t>
      </w:r>
    </w:p>
    <w:p>
      <w:pPr>
        <w:spacing w:after="120" w:before="80"/>
      </w:pPr>
      <w:r>
        <w:rPr>
          <w:rFonts w:ascii="Arial" w:cs="Arial" w:eastAsia="Arial" w:hAnsi="Arial"/>
          <w:sz w:val="22"/>
          <w:szCs w:val="22"/>
        </w:rPr>
        <w:t xml:space="preserve">The generator-attractor field carries a natural metric determined by the ratio of its two ring periodicities.</w:t>
      </w:r>
    </w:p>
    <w:p>
      <w:pPr>
        <w:spacing w:after="80" w:before="80"/>
      </w:pPr>
      <w:r>
        <w:t xml:space="preserve"/>
      </w:r>
    </w:p>
    <w:p>
      <w:pPr>
        <w:spacing w:after="120" w:before="240"/>
      </w:pPr>
      <w:r>
        <w:rPr>
          <w:rFonts w:ascii="Arial" w:cs="Arial" w:eastAsia="Arial" w:hAnsi="Arial"/>
          <w:b/>
          <w:bCs/>
          <w:color w:val="2E4057"/>
          <w:sz w:val="24"/>
          <w:szCs w:val="24"/>
        </w:rPr>
        <w:t xml:space="preserve">5.1 The Metric Unit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EF3FA" w:val="clear"/>
            <w:tcMar>
              <w:top w:type="dxa" w:w="100"/>
              <w:left w:type="dxa" w:w="150"/>
              <w:bottom w:type="dxa" w:w="100"/>
              <w:right w:type="dxa" w:w="150"/>
            </w:tcMar>
          </w:tcPr>
          <w:p>
            <w:r>
              <w:rPr>
                <w:rFonts w:ascii="Arial" w:cs="Arial" w:eastAsia="Arial" w:hAnsi="Arial"/>
                <w:b/>
                <w:bCs/>
                <w:sz w:val="20"/>
                <w:szCs w:val="20"/>
              </w:rPr>
              <w:t xml:space="preserve">Metric base</w:t>
            </w:r>
          </w:p>
        </w:tc>
        <w:tc>
          <w:tcPr>
            <w:tcW w:type="dxa" w:w="65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3/2 — ratio of attractor period (3) to generator period (2)</w:t>
            </w:r>
          </w:p>
        </w:tc>
      </w:tr>
      <w:tr>
        <w:tc>
          <w:tcPr>
            <w:tcW w:type="dxa" w:w="2800"/>
            <w:tcBorders>
              <w:top w:val="single" w:color="CCCCCC" w:sz="1"/>
              <w:left w:val="single" w:color="CCCCCC" w:sz="1"/>
              <w:bottom w:val="single" w:color="CCCCCC" w:sz="1"/>
              <w:right w:val="single" w:color="CCCCCC" w:sz="1"/>
            </w:tcBorders>
            <w:shd w:fill="EEF3FA" w:val="clear"/>
            <w:tcMar>
              <w:top w:type="dxa" w:w="100"/>
              <w:left w:type="dxa" w:w="150"/>
              <w:bottom w:type="dxa" w:w="100"/>
              <w:right w:type="dxa" w:w="150"/>
            </w:tcMar>
          </w:tcPr>
          <w:p>
            <w:r>
              <w:rPr>
                <w:rFonts w:ascii="Arial" w:cs="Arial" w:eastAsia="Arial" w:hAnsi="Arial"/>
                <w:b/>
                <w:bCs/>
                <w:sz w:val="20"/>
                <w:szCs w:val="20"/>
              </w:rPr>
              <w:t xml:space="preserve">Metric unit</w:t>
            </w:r>
          </w:p>
        </w:tc>
        <w:tc>
          <w:tcPr>
            <w:tcW w:type="dxa" w:w="65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log(3/2) = ln(3) - ln(2) — the logarithm of this ratio</w:t>
            </w:r>
          </w:p>
        </w:tc>
      </w:tr>
      <w:tr>
        <w:tc>
          <w:tcPr>
            <w:tcW w:type="dxa" w:w="2800"/>
            <w:tcBorders>
              <w:top w:val="single" w:color="CCCCCC" w:sz="1"/>
              <w:left w:val="single" w:color="CCCCCC" w:sz="1"/>
              <w:bottom w:val="single" w:color="CCCCCC" w:sz="1"/>
              <w:right w:val="single" w:color="CCCCCC" w:sz="1"/>
            </w:tcBorders>
            <w:shd w:fill="EEF3FA" w:val="clear"/>
            <w:tcMar>
              <w:top w:type="dxa" w:w="100"/>
              <w:left w:type="dxa" w:w="150"/>
              <w:bottom w:type="dxa" w:w="100"/>
              <w:right w:type="dxa" w:w="150"/>
            </w:tcMar>
          </w:tcPr>
          <w:p>
            <w:r>
              <w:rPr>
                <w:rFonts w:ascii="Arial" w:cs="Arial" w:eastAsia="Arial" w:hAnsi="Arial"/>
                <w:b/>
                <w:bCs/>
                <w:sz w:val="20"/>
                <w:szCs w:val="20"/>
              </w:rPr>
              <w:t xml:space="preserve">Information meaning</w:t>
            </w:r>
          </w:p>
        </w:tc>
        <w:tc>
          <w:tcPr>
            <w:tcW w:type="dxa" w:w="65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The information distance between ternary and binary rings</w:t>
            </w:r>
          </w:p>
        </w:tc>
      </w:tr>
      <w:tr>
        <w:tc>
          <w:tcPr>
            <w:tcW w:type="dxa" w:w="2800"/>
            <w:tcBorders>
              <w:top w:val="single" w:color="CCCCCC" w:sz="1"/>
              <w:left w:val="single" w:color="CCCCCC" w:sz="1"/>
              <w:bottom w:val="single" w:color="CCCCCC" w:sz="1"/>
              <w:right w:val="single" w:color="CCCCCC" w:sz="1"/>
            </w:tcBorders>
            <w:shd w:fill="EEF3FA" w:val="clear"/>
            <w:tcMar>
              <w:top w:type="dxa" w:w="100"/>
              <w:left w:type="dxa" w:w="150"/>
              <w:bottom w:type="dxa" w:w="100"/>
              <w:right w:type="dxa" w:w="150"/>
            </w:tcMar>
          </w:tcPr>
          <w:p>
            <w:r>
              <w:rPr>
                <w:rFonts w:ascii="Arial" w:cs="Arial" w:eastAsia="Arial" w:hAnsi="Arial"/>
                <w:b/>
                <w:bCs/>
                <w:sz w:val="20"/>
                <w:szCs w:val="20"/>
              </w:rPr>
              <w:t xml:space="preserve">Harmonic meaning</w:t>
            </w:r>
          </w:p>
        </w:tc>
        <w:tc>
          <w:tcPr>
            <w:tcW w:type="dxa" w:w="65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The Pythagorean perfect fifth</w:t>
            </w:r>
          </w:p>
        </w:tc>
      </w:tr>
    </w:tbl>
    <w:p>
      <w:pPr>
        <w:spacing w:after="80" w:before="80"/>
      </w:pPr>
      <w:r>
        <w:t xml:space="preserve"/>
      </w:r>
    </w:p>
    <w:p>
      <w:pPr>
        <w:spacing w:after="120" w:before="80"/>
      </w:pPr>
      <w:r>
        <w:rPr>
          <w:rFonts w:ascii="Arial" w:cs="Arial" w:eastAsia="Arial" w:hAnsi="Arial"/>
          <w:sz w:val="22"/>
          <w:szCs w:val="22"/>
        </w:rPr>
        <w:t xml:space="preserve">These are not three separate facts — they are the same fact viewed through arithmetic, information, and harmonic lenses.</w:t>
      </w:r>
    </w:p>
    <w:p>
      <w:pPr>
        <w:spacing w:after="80" w:before="80"/>
      </w:pPr>
      <w:r>
        <w:t xml:space="preserve"/>
      </w:r>
    </w:p>
    <w:p>
      <w:pPr>
        <w:spacing w:after="120" w:before="240"/>
      </w:pPr>
      <w:r>
        <w:rPr>
          <w:rFonts w:ascii="Arial" w:cs="Arial" w:eastAsia="Arial" w:hAnsi="Arial"/>
          <w:b/>
          <w:bCs/>
          <w:color w:val="2E4057"/>
          <w:sz w:val="24"/>
          <w:szCs w:val="24"/>
        </w:rPr>
        <w:t xml:space="preserve">5.2 The Field Metric</w:t>
      </w:r>
    </w:p>
    <w:p>
      <w:pPr>
        <w:spacing w:after="120" w:before="80"/>
      </w:pPr>
      <w:r>
        <w:rPr>
          <w:rFonts w:ascii="Arial" w:cs="Arial" w:eastAsia="Arial" w:hAnsi="Arial"/>
          <w:sz w:val="22"/>
          <w:szCs w:val="22"/>
        </w:rPr>
        <w:t xml:space="preserve">The metric on the field is:</w:t>
      </w:r>
    </w:p>
    <w:p>
      <w:pPr>
        <w:spacing w:after="80" w:before="80"/>
        <w:ind w:left="720"/>
      </w:pPr>
      <w:r>
        <w:rPr>
          <w:rFonts w:ascii="Courier New" w:cs="Courier New" w:eastAsia="Courier New" w:hAnsi="Courier New"/>
          <w:color w:val="1a1a2e"/>
          <w:sz w:val="20"/>
          <w:szCs w:val="20"/>
        </w:rPr>
        <w:t xml:space="preserve">d(x, y) = |log_{3/2}(x) - log_{3/2}(y)|  =  |ln(x) - ln(y)| / ln(3/2)</w:t>
      </w:r>
    </w:p>
    <w:p>
      <w:pPr>
        <w:spacing w:after="80" w:before="80"/>
      </w:pPr>
      <w:r>
        <w:t xml:space="preserve"/>
      </w:r>
    </w:p>
    <w:p>
      <w:pPr>
        <w:spacing w:after="120" w:before="80"/>
      </w:pPr>
      <w:r>
        <w:rPr>
          <w:rFonts w:ascii="Arial" w:cs="Arial" w:eastAsia="Arial" w:hAnsi="Arial"/>
          <w:sz w:val="22"/>
          <w:szCs w:val="22"/>
        </w:rPr>
        <w:t xml:space="preserve">This metric is symmetric, self-zero, and satisfies the triangle inequality — all proven in the Coq formalization.</w:t>
      </w:r>
    </w:p>
    <w:p>
      <w:pPr>
        <w:spacing w:after="80" w:before="80"/>
      </w:pPr>
      <w:r>
        <w:t xml:space="preserve"/>
      </w:r>
    </w:p>
    <w:p>
      <w:pPr>
        <w:spacing w:after="120" w:before="240"/>
      </w:pPr>
      <w:r>
        <w:rPr>
          <w:rFonts w:ascii="Arial" w:cs="Arial" w:eastAsia="Arial" w:hAnsi="Arial"/>
          <w:b/>
          <w:bCs/>
          <w:color w:val="2E4057"/>
          <w:sz w:val="24"/>
          <w:szCs w:val="24"/>
        </w:rPr>
        <w:t xml:space="preserve">5.3 Metric Properties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EF3FA" w:val="clear"/>
            <w:tcMar>
              <w:top w:type="dxa" w:w="100"/>
              <w:left w:type="dxa" w:w="150"/>
              <w:bottom w:type="dxa" w:w="100"/>
              <w:right w:type="dxa" w:w="150"/>
            </w:tcMar>
          </w:tcPr>
          <w:p>
            <w:r>
              <w:rPr>
                <w:rFonts w:ascii="Arial" w:cs="Arial" w:eastAsia="Arial" w:hAnsi="Arial"/>
                <w:b/>
                <w:bCs/>
                <w:sz w:val="20"/>
                <w:szCs w:val="20"/>
              </w:rPr>
              <w:t xml:space="preserve">Diagonal diameter</w:t>
            </w:r>
          </w:p>
        </w:tc>
        <w:tc>
          <w:tcPr>
            <w:tcW w:type="dxa" w:w="65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d(1, 5) = log_{3/2}(5) &gt; 0. The two diagonal points have positive finite separation.</w:t>
            </w:r>
          </w:p>
        </w:tc>
      </w:tr>
      <w:tr>
        <w:tc>
          <w:tcPr>
            <w:tcW w:type="dxa" w:w="2800"/>
            <w:tcBorders>
              <w:top w:val="single" w:color="CCCCCC" w:sz="1"/>
              <w:left w:val="single" w:color="CCCCCC" w:sz="1"/>
              <w:bottom w:val="single" w:color="CCCCCC" w:sz="1"/>
              <w:right w:val="single" w:color="CCCCCC" w:sz="1"/>
            </w:tcBorders>
            <w:shd w:fill="EEF3FA" w:val="clear"/>
            <w:tcMar>
              <w:top w:type="dxa" w:w="100"/>
              <w:left w:type="dxa" w:w="150"/>
              <w:bottom w:type="dxa" w:w="100"/>
              <w:right w:type="dxa" w:w="150"/>
            </w:tcMar>
          </w:tcPr>
          <w:p>
            <w:r>
              <w:rPr>
                <w:rFonts w:ascii="Arial" w:cs="Arial" w:eastAsia="Arial" w:hAnsi="Arial"/>
                <w:b/>
                <w:bCs/>
                <w:sz w:val="20"/>
                <w:szCs w:val="20"/>
              </w:rPr>
              <w:t xml:space="preserve">Fermat recession</w:t>
            </w:r>
          </w:p>
        </w:tc>
        <w:tc>
          <w:tcPr>
            <w:tcW w:type="dxa" w:w="65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d(1, F_n) grows as 2^n * log_{3/2}(2) — doubly exponential in n.</w:t>
            </w:r>
          </w:p>
        </w:tc>
      </w:tr>
      <w:tr>
        <w:tc>
          <w:tcPr>
            <w:tcW w:type="dxa" w:w="2800"/>
            <w:tcBorders>
              <w:top w:val="single" w:color="CCCCCC" w:sz="1"/>
              <w:left w:val="single" w:color="CCCCCC" w:sz="1"/>
              <w:bottom w:val="single" w:color="CCCCCC" w:sz="1"/>
              <w:right w:val="single" w:color="CCCCCC" w:sz="1"/>
            </w:tcBorders>
            <w:shd w:fill="EEF3FA" w:val="clear"/>
            <w:tcMar>
              <w:top w:type="dxa" w:w="100"/>
              <w:left w:type="dxa" w:w="150"/>
              <w:bottom w:type="dxa" w:w="100"/>
              <w:right w:type="dxa" w:w="150"/>
            </w:tcMar>
          </w:tcPr>
          <w:p>
            <w:r>
              <w:rPr>
                <w:rFonts w:ascii="Arial" w:cs="Arial" w:eastAsia="Arial" w:hAnsi="Arial"/>
                <w:b/>
                <w:bCs/>
                <w:sz w:val="20"/>
                <w:szCs w:val="20"/>
              </w:rPr>
              <w:t xml:space="preserve">Metric partial order</w:t>
            </w:r>
          </w:p>
        </w:tc>
        <w:tc>
          <w:tcPr>
            <w:tcW w:type="dxa" w:w="65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Two sets are comparable iff their ring positions lie in the same metric ball of radius 1.</w:t>
            </w:r>
          </w:p>
        </w:tc>
      </w:tr>
      <w:tr>
        <w:tc>
          <w:tcPr>
            <w:tcW w:type="dxa" w:w="2800"/>
            <w:tcBorders>
              <w:top w:val="single" w:color="CCCCCC" w:sz="1"/>
              <w:left w:val="single" w:color="CCCCCC" w:sz="1"/>
              <w:bottom w:val="single" w:color="CCCCCC" w:sz="1"/>
              <w:right w:val="single" w:color="CCCCCC" w:sz="1"/>
            </w:tcBorders>
            <w:shd w:fill="EEF3FA" w:val="clear"/>
            <w:tcMar>
              <w:top w:type="dxa" w:w="100"/>
              <w:left w:type="dxa" w:w="150"/>
              <w:bottom w:type="dxa" w:w="100"/>
              <w:right w:type="dxa" w:w="150"/>
            </w:tcMar>
          </w:tcPr>
          <w:p>
            <w:r>
              <w:rPr>
                <w:rFonts w:ascii="Arial" w:cs="Arial" w:eastAsia="Arial" w:hAnsi="Arial"/>
                <w:b/>
                <w:bCs/>
                <w:sz w:val="20"/>
                <w:szCs w:val="20"/>
              </w:rPr>
              <w:t xml:space="preserve">Pythagorean comma</w:t>
            </w:r>
          </w:p>
        </w:tc>
        <w:tc>
          <w:tcPr>
            <w:tcW w:type="dxa" w:w="65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12 * log_{3/2}(3/2) - 7 * log_{3/2}(2) = the Pythagorean comma.</w:t>
            </w:r>
          </w:p>
        </w:tc>
      </w:tr>
    </w:tbl>
    <w:p>
      <w:pPr>
        <w:spacing w:after="80" w:before="80"/>
      </w:pPr>
      <w:r>
        <w:t xml:space="preserve"/>
      </w:r>
    </w:p>
    <w:p>
      <w:pPr>
        <w:spacing w:after="120" w:before="240"/>
      </w:pPr>
      <w:r>
        <w:rPr>
          <w:rFonts w:ascii="Arial" w:cs="Arial" w:eastAsia="Arial" w:hAnsi="Arial"/>
          <w:b/>
          <w:bCs/>
          <w:color w:val="2E4057"/>
          <w:sz w:val="24"/>
          <w:szCs w:val="24"/>
        </w:rPr>
        <w:t xml:space="preserve">5.4 Fermat Recession</w:t>
      </w:r>
    </w:p>
    <w:p>
      <w:pPr>
        <w:spacing w:after="120" w:before="80"/>
      </w:pPr>
      <w:r>
        <w:rPr>
          <w:rFonts w:ascii="Arial" w:cs="Arial" w:eastAsia="Arial" w:hAnsi="Arial"/>
          <w:sz w:val="22"/>
          <w:szCs w:val="22"/>
        </w:rPr>
        <w:t xml:space="preserve">The Fermat numbers recede without bound in the log(3/2) metric. For any bound M, there exists N such that d(1, F_N) &gt; M. This means:</w:t>
      </w:r>
    </w:p>
    <w:p>
      <w:pPr>
        <w:pStyle w:val="ListParagraph"/>
        <w:numPr>
          <w:ilvl w:val="0"/>
          <w:numId w:val="2"/>
        </w:numPr>
        <w:spacing w:after="80" w:before="80"/>
      </w:pPr>
      <w:r>
        <w:rPr>
          <w:rFonts w:ascii="Arial" w:cs="Arial" w:eastAsia="Arial" w:hAnsi="Arial"/>
          <w:sz w:val="22"/>
          <w:szCs w:val="22"/>
        </w:rPr>
        <w:t xml:space="preserve">Fermat primes, if infinitely many exist, recede doubly exponentially from all other primes</w:t>
      </w:r>
    </w:p>
    <w:p>
      <w:pPr>
        <w:pStyle w:val="ListParagraph"/>
        <w:numPr>
          <w:ilvl w:val="0"/>
          <w:numId w:val="2"/>
        </w:numPr>
        <w:spacing w:after="80" w:before="80"/>
      </w:pPr>
      <w:r>
        <w:rPr>
          <w:rFonts w:ascii="Arial" w:cs="Arial" w:eastAsia="Arial" w:hAnsi="Arial"/>
          <w:sz w:val="22"/>
          <w:szCs w:val="22"/>
        </w:rPr>
        <w:t xml:space="preserve">Their order-theoretic isolation is a metric fact — they are not merely algebraically incomparable, they are metrically distant</w:t>
      </w:r>
    </w:p>
    <w:p>
      <w:pPr>
        <w:pStyle w:val="ListParagraph"/>
        <w:numPr>
          <w:ilvl w:val="0"/>
          <w:numId w:val="2"/>
        </w:numPr>
        <w:spacing w:after="80" w:before="80"/>
      </w:pPr>
      <w:r>
        <w:rPr>
          <w:rFonts w:ascii="Arial" w:cs="Arial" w:eastAsia="Arial" w:hAnsi="Arial"/>
          <w:sz w:val="22"/>
          <w:szCs w:val="22"/>
        </w:rPr>
        <w:t xml:space="preserve">The sparsity of Fermat primes is a metric consequence, not a distributional coincidence</w:t>
      </w:r>
    </w:p>
    <w:p>
      <w:pPr>
        <w:spacing w:after="80" w:before="80"/>
      </w:pPr>
      <w:r>
        <w:t xml:space="preserve"/>
      </w:r>
    </w:p>
    <w:p>
      <w:pPr>
        <w:spacing w:after="120" w:before="240"/>
      </w:pPr>
      <w:r>
        <w:rPr>
          <w:rFonts w:ascii="Arial" w:cs="Arial" w:eastAsia="Arial" w:hAnsi="Arial"/>
          <w:b/>
          <w:bCs/>
          <w:color w:val="2E4057"/>
          <w:sz w:val="24"/>
          <w:szCs w:val="24"/>
        </w:rPr>
        <w:t xml:space="preserve">5.5 Information-Theoretic Closure</w:t>
      </w:r>
    </w:p>
    <w:p>
      <w:pPr>
        <w:pBdr>
          <w:left w:val="single" w:color="4A90D9" w:sz="8" w:space="12"/>
        </w:pBdr>
        <w:spacing w:after="120" w:before="120"/>
        <w:ind w:left="720" w:right="720"/>
      </w:pPr>
      <w:r>
        <w:rPr>
          <w:rFonts w:ascii="Arial" w:cs="Arial" w:eastAsia="Arial" w:hAnsi="Arial"/>
          <w:i/>
          <w:iCs/>
          <w:color w:val="2E4057"/>
          <w:sz w:val="22"/>
          <w:szCs w:val="22"/>
        </w:rPr>
        <w:t xml:space="preserve">The metric unit log(3/2) = ln(3) - ln(2) is the information cost of one witnessing event — the information gained by going from a binary (generator) world to a ternary (attractor) world. Every set in the witnessing hierarchy is separated from its parent by exactly one such unit.</w:t>
      </w:r>
    </w:p>
    <w:p>
      <w:pPr>
        <w:spacing w:after="80" w:before="80"/>
      </w:pPr>
      <w:r>
        <w:t xml:space="preserve"/>
      </w:r>
    </w:p>
    <w:p>
      <w:pPr>
        <w:pBdr>
          <w:bottom w:val="single" w:color="CCCCCC" w:sz="4" w:space="1"/>
        </w:pBdr>
        <w:spacing w:after="200" w:before="200"/>
      </w:pPr>
      <w:r>
        <w:t xml:space="preserve"/>
      </w:r>
    </w:p>
    <w:p>
      <w:pPr>
        <w:pStyle w:val="Heading1"/>
        <w:spacing w:after="200" w:before="400"/>
      </w:pPr>
      <w:r>
        <w:rPr>
          <w:rFonts w:ascii="Arial" w:cs="Arial" w:eastAsia="Arial" w:hAnsi="Arial"/>
          <w:b/>
          <w:bCs/>
          <w:color w:val="1A2E4A"/>
          <w:sz w:val="32"/>
          <w:szCs w:val="32"/>
        </w:rPr>
        <w:t xml:space="preserve">6. Replacement of ZFC Axioms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EF3FA" w:val="clear"/>
            <w:tcMar>
              <w:top w:type="dxa" w:w="100"/>
              <w:left w:type="dxa" w:w="150"/>
              <w:bottom w:type="dxa" w:w="100"/>
              <w:right w:type="dxa" w:w="150"/>
            </w:tcMar>
          </w:tcPr>
          <w:p>
            <w:r>
              <w:rPr>
                <w:rFonts w:ascii="Arial" w:cs="Arial" w:eastAsia="Arial" w:hAnsi="Arial"/>
                <w:b/>
                <w:bCs/>
                <w:sz w:val="20"/>
                <w:szCs w:val="20"/>
              </w:rPr>
              <w:t xml:space="preserve">Empty Set</w:t>
            </w:r>
          </w:p>
        </w:tc>
        <w:tc>
          <w:tcPr>
            <w:tcW w:type="dxa" w:w="65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W_0 — witnessed into existence by the first witnessing event</w:t>
            </w:r>
          </w:p>
        </w:tc>
      </w:tr>
      <w:tr>
        <w:tc>
          <w:tcPr>
            <w:tcW w:type="dxa" w:w="2800"/>
            <w:tcBorders>
              <w:top w:val="single" w:color="CCCCCC" w:sz="1"/>
              <w:left w:val="single" w:color="CCCCCC" w:sz="1"/>
              <w:bottom w:val="single" w:color="CCCCCC" w:sz="1"/>
              <w:right w:val="single" w:color="CCCCCC" w:sz="1"/>
            </w:tcBorders>
            <w:shd w:fill="EEF3FA" w:val="clear"/>
            <w:tcMar>
              <w:top w:type="dxa" w:w="100"/>
              <w:left w:type="dxa" w:w="150"/>
              <w:bottom w:type="dxa" w:w="100"/>
              <w:right w:type="dxa" w:w="150"/>
            </w:tcMar>
          </w:tcPr>
          <w:p>
            <w:r>
              <w:rPr>
                <w:rFonts w:ascii="Arial" w:cs="Arial" w:eastAsia="Arial" w:hAnsi="Arial"/>
                <w:b/>
                <w:bCs/>
                <w:sz w:val="20"/>
                <w:szCs w:val="20"/>
              </w:rPr>
              <w:t xml:space="preserve">Extensionality</w:t>
            </w:r>
          </w:p>
        </w:tc>
        <w:tc>
          <w:tcPr>
            <w:tcW w:type="dxa" w:w="65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Identity of witnessing paths</w:t>
            </w:r>
          </w:p>
        </w:tc>
      </w:tr>
      <w:tr>
        <w:tc>
          <w:tcPr>
            <w:tcW w:type="dxa" w:w="2800"/>
            <w:tcBorders>
              <w:top w:val="single" w:color="CCCCCC" w:sz="1"/>
              <w:left w:val="single" w:color="CCCCCC" w:sz="1"/>
              <w:bottom w:val="single" w:color="CCCCCC" w:sz="1"/>
              <w:right w:val="single" w:color="CCCCCC" w:sz="1"/>
            </w:tcBorders>
            <w:shd w:fill="EEF3FA" w:val="clear"/>
            <w:tcMar>
              <w:top w:type="dxa" w:w="100"/>
              <w:left w:type="dxa" w:w="150"/>
              <w:bottom w:type="dxa" w:w="100"/>
              <w:right w:type="dxa" w:w="150"/>
            </w:tcMar>
          </w:tcPr>
          <w:p>
            <w:r>
              <w:rPr>
                <w:rFonts w:ascii="Arial" w:cs="Arial" w:eastAsia="Arial" w:hAnsi="Arial"/>
                <w:b/>
                <w:bCs/>
                <w:sz w:val="20"/>
                <w:szCs w:val="20"/>
              </w:rPr>
              <w:t xml:space="preserve">Pairing</w:t>
            </w:r>
          </w:p>
        </w:tc>
        <w:tc>
          <w:tcPr>
            <w:tcW w:type="dxa" w:w="65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Two witnessed sets co-present at the same level</w:t>
            </w:r>
          </w:p>
        </w:tc>
      </w:tr>
      <w:tr>
        <w:tc>
          <w:tcPr>
            <w:tcW w:type="dxa" w:w="2800"/>
            <w:tcBorders>
              <w:top w:val="single" w:color="CCCCCC" w:sz="1"/>
              <w:left w:val="single" w:color="CCCCCC" w:sz="1"/>
              <w:bottom w:val="single" w:color="CCCCCC" w:sz="1"/>
              <w:right w:val="single" w:color="CCCCCC" w:sz="1"/>
            </w:tcBorders>
            <w:shd w:fill="EEF3FA" w:val="clear"/>
            <w:tcMar>
              <w:top w:type="dxa" w:w="100"/>
              <w:left w:type="dxa" w:w="150"/>
              <w:bottom w:type="dxa" w:w="100"/>
              <w:right w:type="dxa" w:w="150"/>
            </w:tcMar>
          </w:tcPr>
          <w:p>
            <w:r>
              <w:rPr>
                <w:rFonts w:ascii="Arial" w:cs="Arial" w:eastAsia="Arial" w:hAnsi="Arial"/>
                <w:b/>
                <w:bCs/>
                <w:sz w:val="20"/>
                <w:szCs w:val="20"/>
              </w:rPr>
              <w:t xml:space="preserve">Union</w:t>
            </w:r>
          </w:p>
        </w:tc>
        <w:tc>
          <w:tcPr>
            <w:tcW w:type="dxa" w:w="65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Merger of generator-attractor scopes</w:t>
            </w:r>
          </w:p>
        </w:tc>
      </w:tr>
      <w:tr>
        <w:tc>
          <w:tcPr>
            <w:tcW w:type="dxa" w:w="2800"/>
            <w:tcBorders>
              <w:top w:val="single" w:color="CCCCCC" w:sz="1"/>
              <w:left w:val="single" w:color="CCCCCC" w:sz="1"/>
              <w:bottom w:val="single" w:color="CCCCCC" w:sz="1"/>
              <w:right w:val="single" w:color="CCCCCC" w:sz="1"/>
            </w:tcBorders>
            <w:shd w:fill="EEF3FA" w:val="clear"/>
            <w:tcMar>
              <w:top w:type="dxa" w:w="100"/>
              <w:left w:type="dxa" w:w="150"/>
              <w:bottom w:type="dxa" w:w="100"/>
              <w:right w:type="dxa" w:w="150"/>
            </w:tcMar>
          </w:tcPr>
          <w:p>
            <w:r>
              <w:rPr>
                <w:rFonts w:ascii="Arial" w:cs="Arial" w:eastAsia="Arial" w:hAnsi="Arial"/>
                <w:b/>
                <w:bCs/>
                <w:sz w:val="20"/>
                <w:szCs w:val="20"/>
              </w:rPr>
              <w:t xml:space="preserve">Power Set</w:t>
            </w:r>
          </w:p>
        </w:tc>
        <w:tc>
          <w:tcPr>
            <w:tcW w:type="dxa" w:w="65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All possible witnessing extensions of a set</w:t>
            </w:r>
          </w:p>
        </w:tc>
      </w:tr>
      <w:tr>
        <w:tc>
          <w:tcPr>
            <w:tcW w:type="dxa" w:w="2800"/>
            <w:tcBorders>
              <w:top w:val="single" w:color="CCCCCC" w:sz="1"/>
              <w:left w:val="single" w:color="CCCCCC" w:sz="1"/>
              <w:bottom w:val="single" w:color="CCCCCC" w:sz="1"/>
              <w:right w:val="single" w:color="CCCCCC" w:sz="1"/>
            </w:tcBorders>
            <w:shd w:fill="EEF3FA" w:val="clear"/>
            <w:tcMar>
              <w:top w:type="dxa" w:w="100"/>
              <w:left w:type="dxa" w:w="150"/>
              <w:bottom w:type="dxa" w:w="100"/>
              <w:right w:type="dxa" w:w="150"/>
            </w:tcMar>
          </w:tcPr>
          <w:p>
            <w:r>
              <w:rPr>
                <w:rFonts w:ascii="Arial" w:cs="Arial" w:eastAsia="Arial" w:hAnsi="Arial"/>
                <w:b/>
                <w:bCs/>
                <w:sz w:val="20"/>
                <w:szCs w:val="20"/>
              </w:rPr>
              <w:t xml:space="preserve">Separation</w:t>
            </w:r>
          </w:p>
        </w:tc>
        <w:tc>
          <w:tcPr>
            <w:tcW w:type="dxa" w:w="65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Restriction of neutral elements within a field</w:t>
            </w:r>
          </w:p>
        </w:tc>
      </w:tr>
      <w:tr>
        <w:tc>
          <w:tcPr>
            <w:tcW w:type="dxa" w:w="2800"/>
            <w:tcBorders>
              <w:top w:val="single" w:color="CCCCCC" w:sz="1"/>
              <w:left w:val="single" w:color="CCCCCC" w:sz="1"/>
              <w:bottom w:val="single" w:color="CCCCCC" w:sz="1"/>
              <w:right w:val="single" w:color="CCCCCC" w:sz="1"/>
            </w:tcBorders>
            <w:shd w:fill="EEF3FA" w:val="clear"/>
            <w:tcMar>
              <w:top w:type="dxa" w:w="100"/>
              <w:left w:type="dxa" w:w="150"/>
              <w:bottom w:type="dxa" w:w="100"/>
              <w:right w:type="dxa" w:w="150"/>
            </w:tcMar>
          </w:tcPr>
          <w:p>
            <w:r>
              <w:rPr>
                <w:rFonts w:ascii="Arial" w:cs="Arial" w:eastAsia="Arial" w:hAnsi="Arial"/>
                <w:b/>
                <w:bCs/>
                <w:sz w:val="20"/>
                <w:szCs w:val="20"/>
              </w:rPr>
              <w:t xml:space="preserve">Replacement</w:t>
            </w:r>
          </w:p>
        </w:tc>
        <w:tc>
          <w:tcPr>
            <w:tcW w:type="dxa" w:w="65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Image of a witnessing map on a witnessed set</w:t>
            </w:r>
          </w:p>
        </w:tc>
      </w:tr>
      <w:tr>
        <w:tc>
          <w:tcPr>
            <w:tcW w:type="dxa" w:w="2800"/>
            <w:tcBorders>
              <w:top w:val="single" w:color="CCCCCC" w:sz="1"/>
              <w:left w:val="single" w:color="CCCCCC" w:sz="1"/>
              <w:bottom w:val="single" w:color="CCCCCC" w:sz="1"/>
              <w:right w:val="single" w:color="CCCCCC" w:sz="1"/>
            </w:tcBorders>
            <w:shd w:fill="EEF3FA" w:val="clear"/>
            <w:tcMar>
              <w:top w:type="dxa" w:w="100"/>
              <w:left w:type="dxa" w:w="150"/>
              <w:bottom w:type="dxa" w:w="100"/>
              <w:right w:type="dxa" w:w="150"/>
            </w:tcMar>
          </w:tcPr>
          <w:p>
            <w:r>
              <w:rPr>
                <w:rFonts w:ascii="Arial" w:cs="Arial" w:eastAsia="Arial" w:hAnsi="Arial"/>
                <w:b/>
                <w:bCs/>
                <w:sz w:val="20"/>
                <w:szCs w:val="20"/>
              </w:rPr>
              <w:t xml:space="preserve">Infinity</w:t>
            </w:r>
          </w:p>
        </w:tc>
        <w:tc>
          <w:tcPr>
            <w:tcW w:type="dxa" w:w="65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Unbounded iteration of the witnessing hierarchy</w:t>
            </w:r>
          </w:p>
        </w:tc>
      </w:tr>
      <w:tr>
        <w:tc>
          <w:tcPr>
            <w:tcW w:type="dxa" w:w="2800"/>
            <w:tcBorders>
              <w:top w:val="single" w:color="CCCCCC" w:sz="1"/>
              <w:left w:val="single" w:color="CCCCCC" w:sz="1"/>
              <w:bottom w:val="single" w:color="CCCCCC" w:sz="1"/>
              <w:right w:val="single" w:color="CCCCCC" w:sz="1"/>
            </w:tcBorders>
            <w:shd w:fill="EEF3FA" w:val="clear"/>
            <w:tcMar>
              <w:top w:type="dxa" w:w="100"/>
              <w:left w:type="dxa" w:w="150"/>
              <w:bottom w:type="dxa" w:w="100"/>
              <w:right w:type="dxa" w:w="150"/>
            </w:tcMar>
          </w:tcPr>
          <w:p>
            <w:r>
              <w:rPr>
                <w:rFonts w:ascii="Arial" w:cs="Arial" w:eastAsia="Arial" w:hAnsi="Arial"/>
                <w:b/>
                <w:bCs/>
                <w:sz w:val="20"/>
                <w:szCs w:val="20"/>
              </w:rPr>
              <w:t xml:space="preserve">Choice</w:t>
            </w:r>
          </w:p>
        </w:tc>
        <w:tc>
          <w:tcPr>
            <w:tcW w:type="dxa" w:w="65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Selection from incomparable resonance positions — open</w:t>
            </w:r>
          </w:p>
        </w:tc>
      </w:tr>
    </w:tbl>
    <w:p>
      <w:pPr>
        <w:spacing w:after="80" w:before="80"/>
      </w:pPr>
      <w:r>
        <w:t xml:space="preserve"/>
      </w:r>
    </w:p>
    <w:p>
      <w:pPr>
        <w:pBdr>
          <w:bottom w:val="single" w:color="CCCCCC" w:sz="4" w:space="1"/>
        </w:pBdr>
        <w:spacing w:after="200" w:before="200"/>
      </w:pPr>
      <w:r>
        <w:t xml:space="preserve"/>
      </w:r>
    </w:p>
    <w:p>
      <w:pPr>
        <w:pStyle w:val="Heading1"/>
        <w:spacing w:after="200" w:before="400"/>
      </w:pPr>
      <w:r>
        <w:rPr>
          <w:rFonts w:ascii="Arial" w:cs="Arial" w:eastAsia="Arial" w:hAnsi="Arial"/>
          <w:b/>
          <w:bCs/>
          <w:color w:val="1A2E4A"/>
          <w:sz w:val="32"/>
          <w:szCs w:val="32"/>
        </w:rPr>
        <w:t xml:space="preserve">7. Coq Formalization</w:t>
      </w:r>
    </w:p>
    <w:p>
      <w:pPr>
        <w:spacing w:after="120" w:before="80"/>
      </w:pPr>
      <w:r>
        <w:rPr>
          <w:rFonts w:ascii="Arial" w:cs="Arial" w:eastAsia="Arial" w:hAnsi="Arial"/>
          <w:sz w:val="22"/>
          <w:szCs w:val="22"/>
        </w:rPr>
        <w:t xml:space="preserve">The conjectures are formalized across three Coq files: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EF3FA" w:val="clear"/>
            <w:tcMar>
              <w:top w:type="dxa" w:w="100"/>
              <w:left w:type="dxa" w:w="150"/>
              <w:bottom w:type="dxa" w:w="100"/>
              <w:right w:type="dxa" w:w="150"/>
            </w:tcMar>
          </w:tcPr>
          <w:p>
            <w:r>
              <w:rPr>
                <w:rFonts w:ascii="Arial" w:cs="Arial" w:eastAsia="Arial" w:hAnsi="Arial"/>
                <w:b/>
                <w:bCs/>
                <w:sz w:val="20"/>
                <w:szCs w:val="20"/>
              </w:rPr>
              <w:t xml:space="preserve">witnessing.v</w:t>
            </w:r>
          </w:p>
        </w:tc>
        <w:tc>
          <w:tcPr>
            <w:tcW w:type="dxa" w:w="65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Core formalization: two kinds of nothing, witnessing hierarchy, dual order, Fermat resonance position theorem (F_n mod 6 = 5 for all n).</w:t>
            </w:r>
          </w:p>
        </w:tc>
      </w:tr>
      <w:tr>
        <w:tc>
          <w:tcPr>
            <w:tcW w:type="dxa" w:w="2800"/>
            <w:tcBorders>
              <w:top w:val="single" w:color="CCCCCC" w:sz="1"/>
              <w:left w:val="single" w:color="CCCCCC" w:sz="1"/>
              <w:bottom w:val="single" w:color="CCCCCC" w:sz="1"/>
              <w:right w:val="single" w:color="CCCCCC" w:sz="1"/>
            </w:tcBorders>
            <w:shd w:fill="EEF3FA" w:val="clear"/>
            <w:tcMar>
              <w:top w:type="dxa" w:w="100"/>
              <w:left w:type="dxa" w:w="150"/>
              <w:bottom w:type="dxa" w:w="100"/>
              <w:right w:type="dxa" w:w="150"/>
            </w:tcMar>
          </w:tcPr>
          <w:p>
            <w:r>
              <w:rPr>
                <w:rFonts w:ascii="Arial" w:cs="Arial" w:eastAsia="Arial" w:hAnsi="Arial"/>
                <w:b/>
                <w:bCs/>
                <w:sz w:val="20"/>
                <w:szCs w:val="20"/>
              </w:rPr>
              <w:t xml:space="preserve">field_closure.v</w:t>
            </w:r>
          </w:p>
        </w:tc>
        <w:tc>
          <w:tcPr>
            <w:tcW w:type="dxa" w:w="65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Field geometry: FieldPoint record, diagonal as units, fermat_maps_to_diagonal, fermat_permanently_diagonal, diagonal_generates_incomparability.</w:t>
            </w:r>
          </w:p>
        </w:tc>
      </w:tr>
      <w:tr>
        <w:tc>
          <w:tcPr>
            <w:tcW w:type="dxa" w:w="2800"/>
            <w:tcBorders>
              <w:top w:val="single" w:color="CCCCCC" w:sz="1"/>
              <w:left w:val="single" w:color="CCCCCC" w:sz="1"/>
              <w:bottom w:val="single" w:color="CCCCCC" w:sz="1"/>
              <w:right w:val="single" w:color="CCCCCC" w:sz="1"/>
            </w:tcBorders>
            <w:shd w:fill="EEF3FA" w:val="clear"/>
            <w:tcMar>
              <w:top w:type="dxa" w:w="100"/>
              <w:left w:type="dxa" w:w="150"/>
              <w:bottom w:type="dxa" w:w="100"/>
              <w:right w:type="dxa" w:w="150"/>
            </w:tcMar>
          </w:tcPr>
          <w:p>
            <w:r>
              <w:rPr>
                <w:rFonts w:ascii="Arial" w:cs="Arial" w:eastAsia="Arial" w:hAnsi="Arial"/>
                <w:b/>
                <w:bCs/>
                <w:sz w:val="20"/>
                <w:szCs w:val="20"/>
              </w:rPr>
              <w:t xml:space="preserve">metric.v</w:t>
            </w:r>
          </w:p>
        </w:tc>
        <w:tc>
          <w:tcPr>
            <w:tcW w:type="dxa" w:w="65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Metric structure: log(3/2) metric, triangle inequality, Fermat recession, information distance identity, Pythagorean comma.</w:t>
            </w:r>
          </w:p>
        </w:tc>
      </w:tr>
    </w:tbl>
    <w:p>
      <w:pPr>
        <w:spacing w:after="80" w:before="80"/>
      </w:pPr>
      <w:r>
        <w:t xml:space="preserve"/>
      </w:r>
    </w:p>
    <w:p>
      <w:pPr>
        <w:spacing w:after="120" w:before="240"/>
      </w:pPr>
      <w:r>
        <w:rPr>
          <w:rFonts w:ascii="Arial" w:cs="Arial" w:eastAsia="Arial" w:hAnsi="Arial"/>
          <w:b/>
          <w:bCs/>
          <w:color w:val="2E4057"/>
          <w:sz w:val="24"/>
          <w:szCs w:val="24"/>
        </w:rPr>
        <w:t xml:space="preserve">7.1 Key Proven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EF3FA" w:val="clear"/>
            <w:tcMar>
              <w:top w:type="dxa" w:w="100"/>
              <w:left w:type="dxa" w:w="150"/>
              <w:bottom w:type="dxa" w:w="100"/>
              <w:right w:type="dxa" w:w="150"/>
            </w:tcMar>
          </w:tcPr>
          <w:p>
            <w:r>
              <w:rPr>
                <w:rFonts w:ascii="Arial" w:cs="Arial" w:eastAsia="Arial" w:hAnsi="Arial"/>
                <w:b/>
                <w:bCs/>
                <w:sz w:val="20"/>
                <w:szCs w:val="20"/>
              </w:rPr>
              <w:t xml:space="preserve">null_neq_empty</w:t>
            </w:r>
          </w:p>
        </w:tc>
        <w:tc>
          <w:tcPr>
            <w:tcW w:type="dxa" w:w="65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Two kinds of nothing are distinct (Coq: discriminate)</w:t>
            </w:r>
          </w:p>
        </w:tc>
      </w:tr>
      <w:tr>
        <w:tc>
          <w:tcPr>
            <w:tcW w:type="dxa" w:w="2800"/>
            <w:tcBorders>
              <w:top w:val="single" w:color="CCCCCC" w:sz="1"/>
              <w:left w:val="single" w:color="CCCCCC" w:sz="1"/>
              <w:bottom w:val="single" w:color="CCCCCC" w:sz="1"/>
              <w:right w:val="single" w:color="CCCCCC" w:sz="1"/>
            </w:tcBorders>
            <w:shd w:fill="EEF3FA" w:val="clear"/>
            <w:tcMar>
              <w:top w:type="dxa" w:w="100"/>
              <w:left w:type="dxa" w:w="150"/>
              <w:bottom w:type="dxa" w:w="100"/>
              <w:right w:type="dxa" w:w="150"/>
            </w:tcMar>
          </w:tcPr>
          <w:p>
            <w:r>
              <w:rPr>
                <w:rFonts w:ascii="Arial" w:cs="Arial" w:eastAsia="Arial" w:hAnsi="Arial"/>
                <w:b/>
                <w:bCs/>
                <w:sz w:val="20"/>
                <w:szCs w:val="20"/>
              </w:rPr>
              <w:t xml:space="preserve">fermat_resonance_position</w:t>
            </w:r>
          </w:p>
        </w:tc>
        <w:tc>
          <w:tcPr>
            <w:tcW w:type="dxa" w:w="65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F_n mod 6 = 5 for all n — the main resonance theorem</w:t>
            </w:r>
          </w:p>
        </w:tc>
      </w:tr>
      <w:tr>
        <w:tc>
          <w:tcPr>
            <w:tcW w:type="dxa" w:w="2800"/>
            <w:tcBorders>
              <w:top w:val="single" w:color="CCCCCC" w:sz="1"/>
              <w:left w:val="single" w:color="CCCCCC" w:sz="1"/>
              <w:bottom w:val="single" w:color="CCCCCC" w:sz="1"/>
              <w:right w:val="single" w:color="CCCCCC" w:sz="1"/>
            </w:tcBorders>
            <w:shd w:fill="EEF3FA" w:val="clear"/>
            <w:tcMar>
              <w:top w:type="dxa" w:w="100"/>
              <w:left w:type="dxa" w:w="150"/>
              <w:bottom w:type="dxa" w:w="100"/>
              <w:right w:type="dxa" w:w="150"/>
            </w:tcMar>
          </w:tcPr>
          <w:p>
            <w:r>
              <w:rPr>
                <w:rFonts w:ascii="Arial" w:cs="Arial" w:eastAsia="Arial" w:hAnsi="Arial"/>
                <w:b/>
                <w:bCs/>
                <w:sz w:val="20"/>
                <w:szCs w:val="20"/>
              </w:rPr>
              <w:t xml:space="preserve">fermat_is_resonant</w:t>
            </w:r>
          </w:p>
        </w:tc>
        <w:tc>
          <w:tcPr>
            <w:tcW w:type="dxa" w:w="65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Every Fermat number is a unit in both rings</w:t>
            </w:r>
          </w:p>
        </w:tc>
      </w:tr>
      <w:tr>
        <w:tc>
          <w:tcPr>
            <w:tcW w:type="dxa" w:w="2800"/>
            <w:tcBorders>
              <w:top w:val="single" w:color="CCCCCC" w:sz="1"/>
              <w:left w:val="single" w:color="CCCCCC" w:sz="1"/>
              <w:bottom w:val="single" w:color="CCCCCC" w:sz="1"/>
              <w:right w:val="single" w:color="CCCCCC" w:sz="1"/>
            </w:tcBorders>
            <w:shd w:fill="EEF3FA" w:val="clear"/>
            <w:tcMar>
              <w:top w:type="dxa" w:w="100"/>
              <w:left w:type="dxa" w:w="150"/>
              <w:bottom w:type="dxa" w:w="100"/>
              <w:right w:type="dxa" w:w="150"/>
            </w:tcMar>
          </w:tcPr>
          <w:p>
            <w:r>
              <w:rPr>
                <w:rFonts w:ascii="Arial" w:cs="Arial" w:eastAsia="Arial" w:hAnsi="Arial"/>
                <w:b/>
                <w:bCs/>
                <w:sz w:val="20"/>
                <w:szCs w:val="20"/>
              </w:rPr>
              <w:t xml:space="preserve">fermat_maps_to_diagonal</w:t>
            </w:r>
          </w:p>
        </w:tc>
        <w:tc>
          <w:tcPr>
            <w:tcW w:type="dxa" w:w="65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Every Fermat number maps to field point (1, 2)</w:t>
            </w:r>
          </w:p>
        </w:tc>
      </w:tr>
      <w:tr>
        <w:tc>
          <w:tcPr>
            <w:tcW w:type="dxa" w:w="2800"/>
            <w:tcBorders>
              <w:top w:val="single" w:color="CCCCCC" w:sz="1"/>
              <w:left w:val="single" w:color="CCCCCC" w:sz="1"/>
              <w:bottom w:val="single" w:color="CCCCCC" w:sz="1"/>
              <w:right w:val="single" w:color="CCCCCC" w:sz="1"/>
            </w:tcBorders>
            <w:shd w:fill="EEF3FA" w:val="clear"/>
            <w:tcMar>
              <w:top w:type="dxa" w:w="100"/>
              <w:left w:type="dxa" w:w="150"/>
              <w:bottom w:type="dxa" w:w="100"/>
              <w:right w:type="dxa" w:w="150"/>
            </w:tcMar>
          </w:tcPr>
          <w:p>
            <w:r>
              <w:rPr>
                <w:rFonts w:ascii="Arial" w:cs="Arial" w:eastAsia="Arial" w:hAnsi="Arial"/>
                <w:b/>
                <w:bCs/>
                <w:sz w:val="20"/>
                <w:szCs w:val="20"/>
              </w:rPr>
              <w:t xml:space="preserve">fermat_permanently_diagonal</w:t>
            </w:r>
          </w:p>
        </w:tc>
        <w:tc>
          <w:tcPr>
            <w:tcW w:type="dxa" w:w="65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Every Fermat number is on the diagonal</w:t>
            </w:r>
          </w:p>
        </w:tc>
      </w:tr>
      <w:tr>
        <w:tc>
          <w:tcPr>
            <w:tcW w:type="dxa" w:w="2800"/>
            <w:tcBorders>
              <w:top w:val="single" w:color="CCCCCC" w:sz="1"/>
              <w:left w:val="single" w:color="CCCCCC" w:sz="1"/>
              <w:bottom w:val="single" w:color="CCCCCC" w:sz="1"/>
              <w:right w:val="single" w:color="CCCCCC" w:sz="1"/>
            </w:tcBorders>
            <w:shd w:fill="EEF3FA" w:val="clear"/>
            <w:tcMar>
              <w:top w:type="dxa" w:w="100"/>
              <w:left w:type="dxa" w:w="150"/>
              <w:bottom w:type="dxa" w:w="100"/>
              <w:right w:type="dxa" w:w="150"/>
            </w:tcMar>
          </w:tcPr>
          <w:p>
            <w:r>
              <w:rPr>
                <w:rFonts w:ascii="Arial" w:cs="Arial" w:eastAsia="Arial" w:hAnsi="Arial"/>
                <w:b/>
                <w:bCs/>
                <w:sz w:val="20"/>
                <w:szCs w:val="20"/>
              </w:rPr>
              <w:t xml:space="preserve">diagonal_generates_incomparability</w:t>
            </w:r>
          </w:p>
        </w:tc>
        <w:tc>
          <w:tcPr>
            <w:tcW w:type="dxa" w:w="65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Incomparability = mutual diagonal membership</w:t>
            </w:r>
          </w:p>
        </w:tc>
      </w:tr>
      <w:tr>
        <w:tc>
          <w:tcPr>
            <w:tcW w:type="dxa" w:w="2800"/>
            <w:tcBorders>
              <w:top w:val="single" w:color="CCCCCC" w:sz="1"/>
              <w:left w:val="single" w:color="CCCCCC" w:sz="1"/>
              <w:bottom w:val="single" w:color="CCCCCC" w:sz="1"/>
              <w:right w:val="single" w:color="CCCCCC" w:sz="1"/>
            </w:tcBorders>
            <w:shd w:fill="EEF3FA" w:val="clear"/>
            <w:tcMar>
              <w:top w:type="dxa" w:w="100"/>
              <w:left w:type="dxa" w:w="150"/>
              <w:bottom w:type="dxa" w:w="100"/>
              <w:right w:type="dxa" w:w="150"/>
            </w:tcMar>
          </w:tcPr>
          <w:p>
            <w:r>
              <w:rPr>
                <w:rFonts w:ascii="Arial" w:cs="Arial" w:eastAsia="Arial" w:hAnsi="Arial"/>
                <w:b/>
                <w:bCs/>
                <w:sz w:val="20"/>
                <w:szCs w:val="20"/>
              </w:rPr>
              <w:t xml:space="preserve">metric_unit_positive</w:t>
            </w:r>
          </w:p>
        </w:tc>
        <w:tc>
          <w:tcPr>
            <w:tcW w:type="dxa" w:w="65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log(3/2) &gt; 0</w:t>
            </w:r>
          </w:p>
        </w:tc>
      </w:tr>
      <w:tr>
        <w:tc>
          <w:tcPr>
            <w:tcW w:type="dxa" w:w="2800"/>
            <w:tcBorders>
              <w:top w:val="single" w:color="CCCCCC" w:sz="1"/>
              <w:left w:val="single" w:color="CCCCCC" w:sz="1"/>
              <w:bottom w:val="single" w:color="CCCCCC" w:sz="1"/>
              <w:right w:val="single" w:color="CCCCCC" w:sz="1"/>
            </w:tcBorders>
            <w:shd w:fill="EEF3FA" w:val="clear"/>
            <w:tcMar>
              <w:top w:type="dxa" w:w="100"/>
              <w:left w:type="dxa" w:w="150"/>
              <w:bottom w:type="dxa" w:w="100"/>
              <w:right w:type="dxa" w:w="150"/>
            </w:tcMar>
          </w:tcPr>
          <w:p>
            <w:r>
              <w:rPr>
                <w:rFonts w:ascii="Arial" w:cs="Arial" w:eastAsia="Arial" w:hAnsi="Arial"/>
                <w:b/>
                <w:bCs/>
                <w:sz w:val="20"/>
                <w:szCs w:val="20"/>
              </w:rPr>
              <w:t xml:space="preserve">metric_unit_is_information_distance</w:t>
            </w:r>
          </w:p>
        </w:tc>
        <w:tc>
          <w:tcPr>
            <w:tcW w:type="dxa" w:w="65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log(3/2) = ln(3) - ln(2)</w:t>
            </w:r>
          </w:p>
        </w:tc>
      </w:tr>
      <w:tr>
        <w:tc>
          <w:tcPr>
            <w:tcW w:type="dxa" w:w="2800"/>
            <w:tcBorders>
              <w:top w:val="single" w:color="CCCCCC" w:sz="1"/>
              <w:left w:val="single" w:color="CCCCCC" w:sz="1"/>
              <w:bottom w:val="single" w:color="CCCCCC" w:sz="1"/>
              <w:right w:val="single" w:color="CCCCCC" w:sz="1"/>
            </w:tcBorders>
            <w:shd w:fill="EEF3FA" w:val="clear"/>
            <w:tcMar>
              <w:top w:type="dxa" w:w="100"/>
              <w:left w:type="dxa" w:w="150"/>
              <w:bottom w:type="dxa" w:w="100"/>
              <w:right w:type="dxa" w:w="150"/>
            </w:tcMar>
          </w:tcPr>
          <w:p>
            <w:r>
              <w:rPr>
                <w:rFonts w:ascii="Arial" w:cs="Arial" w:eastAsia="Arial" w:hAnsi="Arial"/>
                <w:b/>
                <w:bCs/>
                <w:sz w:val="20"/>
                <w:szCs w:val="20"/>
              </w:rPr>
              <w:t xml:space="preserve">fermat_distance_increasing</w:t>
            </w:r>
          </w:p>
        </w:tc>
        <w:tc>
          <w:tcPr>
            <w:tcW w:type="dxa" w:w="65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Fermat metric distances strictly increase</w:t>
            </w:r>
          </w:p>
        </w:tc>
      </w:tr>
      <w:tr>
        <w:tc>
          <w:tcPr>
            <w:tcW w:type="dxa" w:w="2800"/>
            <w:tcBorders>
              <w:top w:val="single" w:color="CCCCCC" w:sz="1"/>
              <w:left w:val="single" w:color="CCCCCC" w:sz="1"/>
              <w:bottom w:val="single" w:color="CCCCCC" w:sz="1"/>
              <w:right w:val="single" w:color="CCCCCC" w:sz="1"/>
            </w:tcBorders>
            <w:shd w:fill="EEF3FA" w:val="clear"/>
            <w:tcMar>
              <w:top w:type="dxa" w:w="100"/>
              <w:left w:type="dxa" w:w="150"/>
              <w:bottom w:type="dxa" w:w="100"/>
              <w:right w:type="dxa" w:w="150"/>
            </w:tcMar>
          </w:tcPr>
          <w:p>
            <w:r>
              <w:rPr>
                <w:rFonts w:ascii="Arial" w:cs="Arial" w:eastAsia="Arial" w:hAnsi="Arial"/>
                <w:b/>
                <w:bCs/>
                <w:sz w:val="20"/>
                <w:szCs w:val="20"/>
              </w:rPr>
              <w:t xml:space="preserve">field_metric_triangle</w:t>
            </w:r>
          </w:p>
        </w:tc>
        <w:tc>
          <w:tcPr>
            <w:tcW w:type="dxa" w:w="65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The field metric satisfies the triangle inequality</w:t>
            </w:r>
          </w:p>
        </w:tc>
      </w:tr>
      <w:tr>
        <w:tc>
          <w:tcPr>
            <w:tcW w:type="dxa" w:w="2800"/>
            <w:tcBorders>
              <w:top w:val="single" w:color="CCCCCC" w:sz="1"/>
              <w:left w:val="single" w:color="CCCCCC" w:sz="1"/>
              <w:bottom w:val="single" w:color="CCCCCC" w:sz="1"/>
              <w:right w:val="single" w:color="CCCCCC" w:sz="1"/>
            </w:tcBorders>
            <w:shd w:fill="EEF3FA" w:val="clear"/>
            <w:tcMar>
              <w:top w:type="dxa" w:w="100"/>
              <w:left w:type="dxa" w:w="150"/>
              <w:bottom w:type="dxa" w:w="100"/>
              <w:right w:type="dxa" w:w="150"/>
            </w:tcMar>
          </w:tcPr>
          <w:p>
            <w:r>
              <w:rPr>
                <w:rFonts w:ascii="Arial" w:cs="Arial" w:eastAsia="Arial" w:hAnsi="Arial"/>
                <w:b/>
                <w:bCs/>
                <w:sz w:val="20"/>
                <w:szCs w:val="20"/>
              </w:rPr>
              <w:t xml:space="preserve">pythagorean_comma_log</w:t>
            </w:r>
          </w:p>
        </w:tc>
        <w:tc>
          <w:tcPr>
            <w:tcW w:type="dxa" w:w="65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12 fifths - 7 octaves = Pythagorean comma</w:t>
            </w:r>
          </w:p>
        </w:tc>
      </w:tr>
    </w:tbl>
    <w:p>
      <w:pPr>
        <w:spacing w:after="80" w:before="80"/>
      </w:pPr>
      <w:r>
        <w:t xml:space="preserve"/>
      </w:r>
    </w:p>
    <w:p>
      <w:pPr>
        <w:pBdr>
          <w:bottom w:val="single" w:color="CCCCCC" w:sz="4" w:space="1"/>
        </w:pBdr>
        <w:spacing w:after="200" w:before="200"/>
      </w:pPr>
      <w:r>
        <w:t xml:space="preserve"/>
      </w:r>
    </w:p>
    <w:p>
      <w:pPr>
        <w:pStyle w:val="Heading1"/>
        <w:spacing w:after="200" w:before="400"/>
      </w:pPr>
      <w:r>
        <w:rPr>
          <w:rFonts w:ascii="Arial" w:cs="Arial" w:eastAsia="Arial" w:hAnsi="Arial"/>
          <w:b/>
          <w:bCs/>
          <w:color w:val="1A2E4A"/>
          <w:sz w:val="32"/>
          <w:szCs w:val="32"/>
        </w:rPr>
        <w:t xml:space="preserve">8. Open Questions</w:t>
      </w:r>
    </w:p>
    <w:p>
      <w:pPr>
        <w:spacing w:after="80" w:before="80"/>
      </w:pPr>
      <w:r>
        <w:t xml:space="preserve"/>
      </w:r>
    </w:p>
    <w:p>
      <w:pPr>
        <w:pStyle w:val="ListParagraph"/>
        <w:numPr>
          <w:ilvl w:val="0"/>
          <w:numId w:val="3"/>
        </w:numPr>
        <w:spacing w:after="120" w:before="120"/>
      </w:pPr>
      <w:r>
        <w:rPr>
          <w:rFonts w:ascii="Arial" w:cs="Arial" w:eastAsia="Arial" w:hAnsi="Arial"/>
          <w:sz w:val="22"/>
          <w:szCs w:val="22"/>
        </w:rPr>
        <w:t xml:space="preserve">Does the Omega (x) varnothing distinction resolve any independence results in ZFC — particularly the Continuum Hypothesis?</w:t>
      </w:r>
    </w:p>
    <w:p>
      <w:pPr>
        <w:pStyle w:val="ListParagraph"/>
        <w:numPr>
          <w:ilvl w:val="0"/>
          <w:numId w:val="3"/>
        </w:numPr>
        <w:spacing w:after="120" w:before="120"/>
      </w:pPr>
      <w:r>
        <w:rPr>
          <w:rFonts w:ascii="Arial" w:cs="Arial" w:eastAsia="Arial" w:hAnsi="Arial"/>
          <w:sz w:val="22"/>
          <w:szCs w:val="22"/>
        </w:rPr>
        <w:t xml:space="preserve">Can the Axiom of Choice be derived from the partial order structure of resonance positions?</w:t>
      </w:r>
    </w:p>
    <w:p>
      <w:pPr>
        <w:pStyle w:val="ListParagraph"/>
        <w:numPr>
          <w:ilvl w:val="0"/>
          <w:numId w:val="3"/>
        </w:numPr>
        <w:spacing w:after="120" w:before="120"/>
      </w:pPr>
      <w:r>
        <w:rPr>
          <w:rFonts w:ascii="Arial" w:cs="Arial" w:eastAsia="Arial" w:hAnsi="Arial"/>
          <w:sz w:val="22"/>
          <w:szCs w:val="22"/>
        </w:rPr>
        <w:t xml:space="preserve">Does extending the ring structure beyond Z/6Z — adding further coprime moduli — produce a spectral sieve whose surviving resonance points correspond to known prime families?</w:t>
      </w:r>
    </w:p>
    <w:p>
      <w:pPr>
        <w:pStyle w:val="ListParagraph"/>
        <w:numPr>
          <w:ilvl w:val="0"/>
          <w:numId w:val="3"/>
        </w:numPr>
        <w:spacing w:after="120" w:before="120"/>
      </w:pPr>
      <w:r>
        <w:rPr>
          <w:rFonts w:ascii="Arial" w:cs="Arial" w:eastAsia="Arial" w:hAnsi="Arial"/>
          <w:sz w:val="22"/>
          <w:szCs w:val="22"/>
        </w:rPr>
        <w:t xml:space="preserve">Is the doubly exponential metric recession of Fermat numbers sufficient to prove there are only finitely many Fermat primes?</w:t>
      </w:r>
    </w:p>
    <w:p>
      <w:pPr>
        <w:pStyle w:val="ListParagraph"/>
        <w:numPr>
          <w:ilvl w:val="0"/>
          <w:numId w:val="3"/>
        </w:numPr>
        <w:spacing w:after="120" w:before="120"/>
      </w:pPr>
      <w:r>
        <w:rPr>
          <w:rFonts w:ascii="Arial" w:cs="Arial" w:eastAsia="Arial" w:hAnsi="Arial"/>
          <w:sz w:val="22"/>
          <w:szCs w:val="22"/>
        </w:rPr>
        <w:t xml:space="preserve">Does the log(3/2) metric extend naturally to a complete metric space, and what is its completion?</w:t>
      </w:r>
    </w:p>
    <w:p>
      <w:pPr>
        <w:pStyle w:val="ListParagraph"/>
        <w:numPr>
          <w:ilvl w:val="0"/>
          <w:numId w:val="3"/>
        </w:numPr>
        <w:spacing w:after="120" w:before="120"/>
      </w:pPr>
      <w:r>
        <w:rPr>
          <w:rFonts w:ascii="Arial" w:cs="Arial" w:eastAsia="Arial" w:hAnsi="Arial"/>
          <w:sz w:val="22"/>
          <w:szCs w:val="22"/>
        </w:rPr>
        <w:t xml:space="preserve">Is the witnessing hierarchy W strictly more expressive than the Von Neumann universe V?</w:t>
      </w:r>
    </w:p>
    <w:p>
      <w:pPr>
        <w:spacing w:after="80" w:before="80"/>
      </w:pPr>
      <w:r>
        <w:t xml:space="preserve"/>
      </w:r>
    </w:p>
    <w:p>
      <w:pPr>
        <w:pBdr>
          <w:bottom w:val="single" w:color="CCCCCC" w:sz="4" w:space="1"/>
        </w:pBdr>
        <w:spacing w:after="200" w:before="200"/>
      </w:pPr>
      <w:r>
        <w:t xml:space="preserve"/>
      </w:r>
    </w:p>
    <w:p>
      <w:pPr>
        <w:spacing w:after="0" w:before="240"/>
        <w:jc w:val="center"/>
      </w:pPr>
      <w:r>
        <w:rPr>
          <w:rFonts w:ascii="Arial" w:cs="Arial" w:eastAsia="Arial" w:hAnsi="Arial"/>
          <w:i/>
          <w:iCs/>
          <w:color w:val="888888"/>
          <w:sz w:val="18"/>
          <w:szCs w:val="18"/>
        </w:rPr>
        <w:t xml:space="preserve">The Witnessing Conjecture — Version 2.0</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upperRoman"/>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2E4A"/>
      <w:sz w:val="32"/>
      <w:szCs w:val="32"/>
    </w:rPr>
  </w:style>
  <w:style w:type="paragraph" w:styleId="Heading2">
    <w:name w:val="Heading 2"/>
    <w:basedOn w:val="Normal"/>
    <w:next w:val="Normal"/>
    <w:qFormat/>
    <w:pPr>
      <w:spacing w:after="160" w:before="300"/>
      <w:outlineLvl w:val="1"/>
    </w:pPr>
    <w:rPr>
      <w:rFonts w:ascii="Arial" w:cs="Arial" w:eastAsia="Arial" w:hAnsi="Arial"/>
      <w:b/>
      <w:bCs/>
      <w:color w:val="2E509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2026-04-29T11:04:50.162Z</dcterms:created>
  <dcterms:modified xsi:type="dcterms:W3CDTF">2026-04-29T11:04:50.164Z</dcterms:modified>
</cp:coreProperties>
</file>

<file path=docProps/custom.xml><?xml version="1.0" encoding="utf-8"?>
<Properties xmlns="http://schemas.openxmlformats.org/officeDocument/2006/custom-properties" xmlns:vt="http://schemas.openxmlformats.org/officeDocument/2006/docPropsVTypes"/>
</file>