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4sv713cgehx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Liases Foras – Developer Pitch Document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Capability, Reliability &amp; Decision‑Making Framework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1ptq78jvdnh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 Introduction: Why Liases Foras 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Liases Foras delivers the most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objective, evidence‑based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 estate intelligence in India—built entirely on real transactions, project lifecycle data, price movements, construction stage analytics, and developer performance metrics.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developer, Liases Foras becomes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decision‑support engine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removes guesswork from: - Land buying &amp; feasibility - Product conceptualisation - Pricing decisions - Cash flow planning - Sales strategy &amp; inventory optimisation - Opportunity mapping (micro‑markets, product categories, ticket sizes)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outlines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capability architecture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developer‑side outcomes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enables.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c6d822ftgtv" w:id="2"/>
    <w:bookmarkEnd w:id="2"/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Core Objectives Developers Can Achieve Using LF</w:t>
      </w:r>
      <w:r w:rsidDel="00000000" w:rsidR="00000000" w:rsidRPr="00000000">
        <w:rPr>
          <w:rtl w:val="0"/>
        </w:rPr>
      </w:r>
    </w:p>
    <w:bookmarkStart w:colFirst="0" w:colLast="0" w:name="bookmark=id.9zoydoosgasn" w:id="3"/>
    <w:bookmarkEnd w:id="3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Strategic Planning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high‑potential micro‑markets using demand‑supply gaps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most profitable unit mix (1, 1.5, 2 BHK etc.)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 price appreciation &amp; revenue potential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competitors and project performance</w:t>
      </w:r>
    </w:p>
    <w:bookmarkStart w:colFirst="0" w:colLast="0" w:name="bookmark=id.7a6h33ozmxtu" w:id="4"/>
    <w:bookmarkEnd w:id="4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Financial &amp; Feasibility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accurate land feasibility &amp; scenario modeling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realistic cash flows based on velocity &amp; absorption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 breakeven timelines &amp; IRR for new launches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construction‑stage health of competing inventory</w:t>
      </w:r>
    </w:p>
    <w:bookmarkStart w:colFirst="0" w:colLast="0" w:name="bookmark=id.7xuaiszb10dt" w:id="5"/>
    <w:bookmarkEnd w:id="5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2.3 Sales &amp; Marketing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Optimise pricing for faster absorption and higher revenue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buyer preferences and align campaigns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slow‑moving pockets early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channel strategy with micro‑market visibility</w:t>
      </w:r>
    </w:p>
    <w:bookmarkStart w:colFirst="0" w:colLast="0" w:name="bookmark=id.ca0csbybh9kr" w:id="6"/>
    <w:bookmarkEnd w:id="6"/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2.4 Operational &amp; Risk Management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unsold inventory risk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developer reliability comparisons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sensitivity models to detect over‑supply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xqvf3eudmi2" w:id="7"/>
    <w:bookmarkEnd w:id="7"/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Master Capability Framework 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Below is a developer‑centric capability architecture across five pillars.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lyjpigbmz7" w:id="8"/>
    <w:bookmarkEnd w:id="8"/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Pillar 1: Market Intelligence Capabilities</w:t>
      </w:r>
      <w:r w:rsidDel="00000000" w:rsidR="00000000" w:rsidRPr="00000000">
        <w:rPr>
          <w:rtl w:val="0"/>
        </w:rPr>
      </w:r>
    </w:p>
    <w:bookmarkStart w:colFirst="0" w:colLast="0" w:name="bookmark=id.blc3rmvn1iya" w:id="9"/>
    <w:bookmarkEnd w:id="9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1.1 Price &amp; Market Movement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&amp; yearly price trends (10+ years)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Saleable vs carpet prices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volatility tracking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Early‑warning indicators of micro‑market overheating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 elasticity based on past price changes</w:t>
      </w:r>
    </w:p>
    <w:bookmarkStart w:colFirst="0" w:colLast="0" w:name="bookmark=id.uhom9zmq1zwh" w:id="10"/>
    <w:bookmarkEnd w:id="10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1.2 Supply–Demand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Absorption rates (units &amp; sq.ft.)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velocity, rolling averages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build‑up and liquidation speeds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Competitor sales traction &amp; pricing gaps</w:t>
      </w:r>
    </w:p>
    <w:bookmarkStart w:colFirst="0" w:colLast="0" w:name="bookmark=id.ttl7uxyx7gaz" w:id="11"/>
    <w:bookmarkEnd w:id="11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1.3 Micro‑Market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Heatmaps of active supply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intensity by project &amp; developer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Catchment project clustering &amp; segmentation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Opportunity pockets: High‑demand / low‑supply areas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oqbcoc4turs" w:id="12"/>
    <w:bookmarkEnd w:id="12"/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Pillar 2: Product Intelligence Capabilities</w:t>
      </w:r>
      <w:r w:rsidDel="00000000" w:rsidR="00000000" w:rsidRPr="00000000">
        <w:rPr>
          <w:rtl w:val="0"/>
        </w:rPr>
      </w:r>
    </w:p>
    <w:bookmarkStart w:colFirst="0" w:colLast="0" w:name="bookmark=id.ii9n7uyhtis3" w:id="13"/>
    <w:bookmarkEnd w:id="13"/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Typology Performance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Unit‑type performance by sales &amp; unsold units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Ticket‑size preference insights (10–20L, 20–30L etc.)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band absorption (450–500, 600–650 sq.ft.)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Product‑market fit recommendations per micro‑market</w:t>
      </w:r>
    </w:p>
    <w:bookmarkStart w:colFirst="0" w:colLast="0" w:name="bookmark=id.hk4grgpbtxes" w:id="14"/>
    <w:bookmarkEnd w:id="14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Efficiency &amp; Design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Carpet-to-saleable efficiency scoring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usability benchmarking across competitors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 efficiency comparison (PSF vs utility)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size/configuration recommendations</w:t>
      </w:r>
    </w:p>
    <w:bookmarkStart w:colFirst="0" w:colLast="0" w:name="bookmark=id.slo26nj27048" w:id="15"/>
    <w:bookmarkEnd w:id="15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2.3 Launch Strategy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price benchmarking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Launch‑to‑sold curve simulation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Competitor launch context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b8ep5n2syvi" w:id="16"/>
    <w:bookmarkEnd w:id="16"/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Pillar 3: Developer Performance Analytics</w:t>
      </w:r>
      <w:r w:rsidDel="00000000" w:rsidR="00000000" w:rsidRPr="00000000">
        <w:rPr>
          <w:rtl w:val="0"/>
        </w:rPr>
      </w:r>
    </w:p>
    <w:bookmarkStart w:colFirst="0" w:colLast="0" w:name="bookmark=id.kntz9lk2q2lk" w:id="17"/>
    <w:bookmarkEnd w:id="17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 Developer Rating Engine (APF, Marketability, 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APF Ability scoring (penetration/total)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Builder Rating (A/B/C/D × High/Med/Low)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Marketability scoring (efficiency × APF)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 tracking via construction stage &amp; delivery history</w:t>
      </w:r>
    </w:p>
    <w:bookmarkStart w:colFirst="0" w:colLast="0" w:name="bookmark=id.lqfvl2i99tij" w:id="18"/>
    <w:bookmarkEnd w:id="18"/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Competitive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vs developer comparison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positioning &amp; premium scoring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traction comparison across locations</w:t>
      </w:r>
    </w:p>
    <w:bookmarkStart w:colFirst="0" w:colLast="0" w:name="bookmark=id.jl5cyoxt0lo5" w:id="19"/>
    <w:bookmarkEnd w:id="19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3.3 Opportunity Pocket Scoring System (OPPS)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Combines APF + Marketability + Location Rating + Builder Rating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High‑potential zones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zones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Under‑penetrated markets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Developer‑specific expansion targets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bookmark=id.3x5uc77nrh35" w:id="20"/>
    <w:bookmarkEnd w:id="20"/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Pillar 4: Financial &amp; Feasibility Capabilities</w:t>
      </w:r>
      <w:r w:rsidDel="00000000" w:rsidR="00000000" w:rsidRPr="00000000">
        <w:rPr>
          <w:rtl w:val="0"/>
        </w:rPr>
      </w:r>
    </w:p>
    <w:bookmarkStart w:colFirst="0" w:colLast="0" w:name="bookmark=id.aqvs2ggn0xy4" w:id="21"/>
    <w:bookmarkEnd w:id="21"/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Land Feasibility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Realistic revenue projections based on historical absorption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unit mix creation (highest velocity × best efficiency)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sensitivity modelling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Construction‑stage risk assessment of surrounding stock</w:t>
      </w:r>
    </w:p>
    <w:bookmarkStart w:colFirst="0" w:colLast="0" w:name="bookmark=id.xlba2koscfvt" w:id="22"/>
    <w:bookmarkEnd w:id="22"/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Cash Flow &amp; Scenario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 flow projections driven by actual sales velocity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scenarios: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case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Optimistic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Stress case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timing sensitivity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elasticity impact on revenue</w:t>
      </w:r>
    </w:p>
    <w:bookmarkStart w:colFirst="0" w:colLast="0" w:name="bookmark=id.7k1mc49r2yrt" w:id="23"/>
    <w:bookmarkEnd w:id="23"/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IRR &amp; ROI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IRR based on realistic absorption rates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Time‑to‑breakeven models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projections using market velocity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Cost‑based vs market‑based ROI comparison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5auicwbk1o1" w:id="24"/>
    <w:bookmarkEnd w:id="24"/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Pillar 5: Sales, Marketing &amp; Operational Intelligence</w:t>
      </w:r>
      <w:r w:rsidDel="00000000" w:rsidR="00000000" w:rsidRPr="00000000">
        <w:rPr>
          <w:rtl w:val="0"/>
        </w:rPr>
      </w:r>
    </w:p>
    <w:bookmarkStart w:colFirst="0" w:colLast="0" w:name="bookmark=id.24g2ifjwrktn" w:id="25"/>
    <w:bookmarkEnd w:id="25"/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 Sales Optimisation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Slow‑moving inventory alerts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Tower-wise absorption analysis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velocity benchmarking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Discounting &amp; incentive simulation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bookmarkStart w:colFirst="0" w:colLast="0" w:name="bookmark=id.7xokxvbaer3h" w:id="26"/>
      <w:bookmarkEnd w:id="26"/>
      <w:r w:rsidDel="00000000" w:rsidR="00000000" w:rsidRPr="00000000">
        <w:rPr>
          <w:b w:val="1"/>
          <w:bCs w:val="1"/>
          <w:rtl w:val="0"/>
        </w:rPr>
        <w:t xml:space="preserve">5.2 Marketing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 preference insights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Ticket-size based segmentation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positioning recommendations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pricing alignment</w:t>
      </w:r>
    </w:p>
    <w:bookmarkStart w:colFirst="0" w:colLast="0" w:name="bookmark=id.e1kxqyvld280" w:id="27"/>
    <w:bookmarkEnd w:id="27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 Operational Risk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ageing risks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Saturation warnings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concentration risks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Construction-stage supply pressure mapping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n2x38lmldnr" w:id="28"/>
    <w:bookmarkEnd w:id="28"/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Decision-Making Outputs (Developer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highlights EXACT decisions a developer can take using LF.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h5ncjjzhrd" w:id="29"/>
    <w:bookmarkEnd w:id="29"/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6.1 Land Buying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enables: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Which micro‑markets to enter - What land rate is justified - What product mix is likely to sell - Whether absorption supports feasibility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9y2bp4o0djl" w:id="30"/>
    <w:bookmarkEnd w:id="30"/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6.2 Launch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enables: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Ideal configuration mix - Launch pricing window - Phasing strategy - Competitive context checks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xoq6ko3932g" w:id="31"/>
    <w:bookmarkEnd w:id="31"/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6.3 Pricing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enables: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Optimal PSF pricing for fastest absorption - Price‑increase strategy over time - Discounting and offer impacts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e26uaqxly1h" w:id="32"/>
    <w:bookmarkEnd w:id="32"/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6.4 Cash Flow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enables: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Expected monthly cash inflows - Revenue timing - Break-even period - Feasibility of construction phasing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ip0fg52ezy7" w:id="33"/>
    <w:bookmarkEnd w:id="33"/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6.5 Sales Strategy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 enables: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Prioritising fast‑moving units - Clearing slow‑moving inventory - Customised sales campaigns - Channel partner alignment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vscu537zk7k" w:id="34"/>
    <w:bookmarkEnd w:id="34"/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Why Developers Trust LF (Reliability Layer)</w:t>
      </w:r>
      <w:r w:rsidDel="00000000" w:rsidR="00000000" w:rsidRPr="00000000">
        <w:rPr>
          <w:rtl w:val="0"/>
        </w:rPr>
      </w:r>
    </w:p>
    <w:bookmarkStart w:colFirst="0" w:colLast="0" w:name="bookmark=id.715o8zdvozyh" w:id="35"/>
    <w:bookmarkEnd w:id="35"/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7.1 Objective, Non‑Broker Origin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brokerage, no vested interest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Pure research foundation</w:t>
      </w:r>
    </w:p>
    <w:bookmarkStart w:colFirst="0" w:colLast="0" w:name="bookmark=id.vhsjyy47ai4o" w:id="36"/>
    <w:bookmarkEnd w:id="36"/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7.2 Project-by-Project, Floor-by-Floor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Construction progress</w:t>
      </w:r>
    </w:p>
    <w:bookmarkStart w:colFirst="0" w:colLast="0" w:name="bookmark=id.33btsbaxvmiz" w:id="37"/>
    <w:bookmarkEnd w:id="37"/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7.3 20+ Year Proven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by banks, NBFCs, developers, funds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India’s only non-transactional real estate rating framework</w:t>
      </w:r>
    </w:p>
    <w:bookmarkStart w:colFirst="0" w:colLast="0" w:name="bookmark=id.rr4kgxikcsrq" w:id="38"/>
    <w:bookmarkEnd w:id="38"/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7.4 Consistent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micro-market measured the same way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“opinion”, only quantifiable metrics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vw24ypcuy4" w:id="39"/>
    <w:bookmarkEnd w:id="39"/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8. Summary: The LF Advantage 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Liases Foras empowers developers with: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intelligence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Practical financial feasibility tools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insights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optimisation intelligence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opportunity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source of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every major developer decision.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EAv5wKqadrhS/v26WP6bGiG0w==">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2025-11-26T07:16:08Z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