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</w:r>
    </w:p>
    <w:p>
      <w:pPr>
        <w:pStyle w:val="Title"/>
        <w:jc w:val="center"/>
      </w:pPr>
      <w:r>
        <w:t>Business Requirements Document (BRD-03)</w:t>
      </w:r>
    </w:p>
    <w:p>
      <w:pPr>
        <w:jc w:val="center"/>
      </w:pPr>
      <w:r>
        <w:rPr>
          <w:b/>
          <w:sz w:val="32"/>
        </w:rPr>
        <w:t>Stakeholders &amp; Business Requirements</w:t>
        <w:br/>
        <w:t>Enterprise Trust &amp; Safety Operations Analytics Data Warehouse</w:t>
      </w:r>
    </w:p>
    <w:p>
      <w:r>
        <w:br/>
        <w:br/>
      </w:r>
    </w:p>
    <w:p>
      <w:pPr>
        <w:jc w:val="center"/>
      </w:pPr>
      <w:r>
        <w:t>Project ID: TNS-EDW-003</w:t>
      </w:r>
    </w:p>
    <w:p>
      <w:pPr>
        <w:jc w:val="center"/>
      </w:pPr>
      <w:r>
        <w:t>Version Number: 1.0</w:t>
      </w:r>
    </w:p>
    <w:p>
      <w:pPr>
        <w:jc w:val="center"/>
      </w:pPr>
      <w:r>
        <w:t>Document Status: Final</w:t>
      </w:r>
    </w:p>
    <w:p>
      <w:pPr>
        <w:jc w:val="center"/>
      </w:pPr>
      <w:r>
        <w:t>Prepared By: Business Analyst</w:t>
      </w:r>
    </w:p>
    <w:p>
      <w:pPr>
        <w:jc w:val="center"/>
      </w:pPr>
      <w:r>
        <w:t>Target Audience: Project Team, Stakeholders, Developers</w:t>
      </w:r>
    </w:p>
    <w:p>
      <w:pPr>
        <w:jc w:val="center"/>
      </w:pPr>
      <w:r>
        <w:t>Date: 21/07/2026</w:t>
      </w:r>
    </w:p>
    <w:p>
      <w:pPr>
        <w:jc w:val="center"/>
      </w:pPr>
      <w:r>
        <w:t>Confidentiality Statement: Internal Use Only</w:t>
      </w:r>
    </w:p>
    <w:p>
      <w:r>
        <w:br w:type="page"/>
      </w:r>
    </w:p>
    <w:p>
      <w:pPr>
        <w:pStyle w:val="Heading1"/>
      </w:pPr>
      <w:r>
        <w:t>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Attribute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>
              <w:t>BRD-03: Stakeholders &amp; Business Requirements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Enterprise Trust &amp; Safety Operations Analytics Data Warehouse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Final</w:t>
            </w:r>
          </w:p>
        </w:tc>
      </w:tr>
      <w:tr>
        <w:tc>
          <w:tcPr>
            <w:tcW w:type="dxa" w:w="4320"/>
          </w:tcPr>
          <w:p>
            <w:r>
              <w:t>Creation Date</w:t>
            </w:r>
          </w:p>
        </w:tc>
        <w:tc>
          <w:tcPr>
            <w:tcW w:type="dxa" w:w="4320"/>
          </w:tcPr>
          <w:p>
            <w:r>
              <w:t>21/07/2026</w:t>
            </w:r>
          </w:p>
        </w:tc>
      </w:tr>
    </w:tbl>
    <w:p/>
    <w:p>
      <w:pPr>
        <w:pStyle w:val="Heading1"/>
      </w:pPr>
      <w:r>
        <w:t>2. Table of Contents</w:t>
      </w:r>
    </w:p>
    <w:p>
      <w:r>
        <w:t>1. Document Control</w:t>
      </w:r>
    </w:p>
    <w:p>
      <w:r>
        <w:t>2. Table of Contents</w:t>
      </w:r>
    </w:p>
    <w:p>
      <w:r>
        <w:t>3. Stakeholder Analysis</w:t>
      </w:r>
    </w:p>
    <w:p>
      <w:r>
        <w:t>4. Stakeholder RACI Matrix</w:t>
      </w:r>
    </w:p>
    <w:p>
      <w:r>
        <w:t>5. Functional Business Requirements</w:t>
      </w:r>
    </w:p>
    <w:p>
      <w:r>
        <w:t>6. Non-Functional Requirements</w:t>
      </w:r>
    </w:p>
    <w:p>
      <w:r>
        <w:t>7. Regulatory Requirements</w:t>
      </w:r>
    </w:p>
    <w:p>
      <w:r>
        <w:t>8. Security Requirements</w:t>
      </w:r>
    </w:p>
    <w:p>
      <w:r>
        <w:t>9. Reporting Requirements</w:t>
      </w:r>
    </w:p>
    <w:p>
      <w:r>
        <w:t>10. Dashboard Requirements</w:t>
      </w:r>
    </w:p>
    <w:p>
      <w:r>
        <w:t>11. Alert Requirements</w:t>
      </w:r>
    </w:p>
    <w:p>
      <w:r>
        <w:br w:type="page"/>
      </w:r>
    </w:p>
    <w:p>
      <w:pPr>
        <w:pStyle w:val="Heading1"/>
      </w:pPr>
      <w:r>
        <w:t>3. Stakeholder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Stakeholder Role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Key Interests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Influence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Interest</w:t>
            </w:r>
          </w:p>
        </w:tc>
      </w:tr>
      <w:tr>
        <w:tc>
          <w:tcPr>
            <w:tcW w:type="dxa" w:w="2160"/>
          </w:tcPr>
          <w:p>
            <w:r>
              <w:t>Executive Sponsor</w:t>
            </w:r>
          </w:p>
        </w:tc>
        <w:tc>
          <w:tcPr>
            <w:tcW w:type="dxa" w:w="2160"/>
          </w:tcPr>
          <w:p>
            <w:r>
              <w:t>Project ROI, strategic alignment, high-level portfolio health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Operations Manager</w:t>
            </w:r>
          </w:p>
        </w:tc>
        <w:tc>
          <w:tcPr>
            <w:tcW w:type="dxa" w:w="2160"/>
          </w:tcPr>
          <w:p>
            <w:r>
              <w:t>Queue health, SLA adherence, agent productivity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QA Manager</w:t>
            </w:r>
          </w:p>
        </w:tc>
        <w:tc>
          <w:tcPr>
            <w:tcW w:type="dxa" w:w="2160"/>
          </w:tcPr>
          <w:p>
            <w:r>
              <w:t>Policy adherence, error trends, QA calibration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Workforce Manager</w:t>
            </w:r>
          </w:p>
        </w:tc>
        <w:tc>
          <w:tcPr>
            <w:tcW w:type="dxa" w:w="2160"/>
          </w:tcPr>
          <w:p>
            <w:r>
              <w:t>Capacity planning, shrinkage, schedule adherence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Finance Manager</w:t>
            </w:r>
          </w:p>
        </w:tc>
        <w:tc>
          <w:tcPr>
            <w:tcW w:type="dxa" w:w="2160"/>
          </w:tcPr>
          <w:p>
            <w:r>
              <w:t>Billing accuracy, revenue leakage, MLOT monitoring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BI Lead / Data Eng</w:t>
            </w:r>
          </w:p>
        </w:tc>
        <w:tc>
          <w:tcPr>
            <w:tcW w:type="dxa" w:w="2160"/>
          </w:tcPr>
          <w:p>
            <w:r>
              <w:t>Data integrity, ETL performance, architectural standards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4. Stakeholder RACI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Deliverable / Task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Exec Sponsor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Ops Mgr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Finance Mgr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BI Lead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Business Analyst</w:t>
            </w:r>
          </w:p>
        </w:tc>
      </w:tr>
      <w:tr>
        <w:tc>
          <w:tcPr>
            <w:tcW w:type="dxa" w:w="1440"/>
          </w:tcPr>
          <w:p>
            <w:r>
              <w:t>Define Business Requirements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R, A</w:t>
            </w:r>
          </w:p>
        </w:tc>
      </w:tr>
      <w:tr>
        <w:tc>
          <w:tcPr>
            <w:tcW w:type="dxa" w:w="1440"/>
          </w:tcPr>
          <w:p>
            <w:r>
              <w:t>Define KPI Logic (Billing Model)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R, 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Design Data Warehouse Architecture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R, A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Develop Power BI Dashboards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User Acceptance Testing (UAT)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Project Sign-Off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</w:tbl>
    <w:p/>
    <w:p>
      <w:pPr>
        <w:pStyle w:val="Heading1"/>
      </w:pPr>
      <w:r>
        <w:t>5. Functional Business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Req ID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Target Subject Area</w:t>
            </w:r>
          </w:p>
        </w:tc>
      </w:tr>
      <w:tr>
        <w:tc>
          <w:tcPr>
            <w:tcW w:type="dxa" w:w="2160"/>
          </w:tcPr>
          <w:p>
            <w:r>
              <w:t>BR-001</w:t>
            </w:r>
          </w:p>
        </w:tc>
        <w:tc>
          <w:tcPr>
            <w:tcW w:type="dxa" w:w="2160"/>
          </w:tcPr>
          <w:p>
            <w:r>
              <w:t>The system shall ingest structured data from Operations, QA, WFM, and Finance source systems into a centralized Data Warehouse.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All</w:t>
            </w:r>
          </w:p>
        </w:tc>
      </w:tr>
      <w:tr>
        <w:tc>
          <w:tcPr>
            <w:tcW w:type="dxa" w:w="2160"/>
          </w:tcPr>
          <w:p>
            <w:r>
              <w:t>BR-002</w:t>
            </w:r>
          </w:p>
        </w:tc>
        <w:tc>
          <w:tcPr>
            <w:tcW w:type="dxa" w:w="2160"/>
          </w:tcPr>
          <w:p>
            <w:r>
              <w:t>The system shall implement a Kimball Bus Architecture using conformed dimensions (e.g., Dim_Date, Dim_Employee, Dim_Process) across all fact tables.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Architecture</w:t>
            </w:r>
          </w:p>
        </w:tc>
      </w:tr>
      <w:tr>
        <w:tc>
          <w:tcPr>
            <w:tcW w:type="dxa" w:w="2160"/>
          </w:tcPr>
          <w:p>
            <w:r>
              <w:t>BR-003</w:t>
            </w:r>
          </w:p>
        </w:tc>
        <w:tc>
          <w:tcPr>
            <w:tcW w:type="dxa" w:w="2160"/>
          </w:tcPr>
          <w:p>
            <w:r>
              <w:t>The system shall calculate 'Production Hours', 'Handle Minutes', and 'Transactions' strictly based on the definitions in Dim_Billing_Model mapped to Fact_Finance.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Finance</w:t>
            </w:r>
          </w:p>
        </w:tc>
      </w:tr>
      <w:tr>
        <w:tc>
          <w:tcPr>
            <w:tcW w:type="dxa" w:w="2160"/>
          </w:tcPr>
          <w:p>
            <w:r>
              <w:t>BR-004</w:t>
            </w:r>
          </w:p>
        </w:tc>
        <w:tc>
          <w:tcPr>
            <w:tcW w:type="dxa" w:w="2160"/>
          </w:tcPr>
          <w:p>
            <w:r>
              <w:t>The system shall track Missed Lines of Time (MLOT) by comparing scheduled WFM hours against actual billed operational hours.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Finance / WFM</w:t>
            </w:r>
          </w:p>
        </w:tc>
      </w:tr>
      <w:tr>
        <w:tc>
          <w:tcPr>
            <w:tcW w:type="dxa" w:w="2160"/>
          </w:tcPr>
          <w:p>
            <w:r>
              <w:t>BR-005</w:t>
            </w:r>
          </w:p>
        </w:tc>
        <w:tc>
          <w:tcPr>
            <w:tcW w:type="dxa" w:w="2160"/>
          </w:tcPr>
          <w:p>
            <w:r>
              <w:t>The system shall allow historical trend analysis over a rolling 24-month period without degrading query performance.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All</w:t>
            </w:r>
          </w:p>
        </w:tc>
      </w:tr>
    </w:tbl>
    <w:p/>
    <w:p>
      <w:pPr>
        <w:pStyle w:val="Heading1"/>
      </w:pPr>
      <w:r>
        <w:t>6.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Req ID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Metric / Standard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NFR-001</w:t>
            </w:r>
          </w:p>
        </w:tc>
        <w:tc>
          <w:tcPr>
            <w:tcW w:type="dxa" w:w="2160"/>
          </w:tcPr>
          <w:p>
            <w:r>
              <w:t>Power BI Dashboards must fully render and load visuals within an acceptable timeframe.</w:t>
            </w:r>
          </w:p>
        </w:tc>
        <w:tc>
          <w:tcPr>
            <w:tcW w:type="dxa" w:w="2160"/>
          </w:tcPr>
          <w:p>
            <w:r>
              <w:t>&lt; 5 Seconds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NFR-002</w:t>
            </w:r>
          </w:p>
        </w:tc>
        <w:tc>
          <w:tcPr>
            <w:tcW w:type="dxa" w:w="2160"/>
          </w:tcPr>
          <w:p>
            <w:r>
              <w:t>The Data Warehouse must support daily and intra-day (hourly) data refresh cycles.</w:t>
            </w:r>
          </w:p>
        </w:tc>
        <w:tc>
          <w:tcPr>
            <w:tcW w:type="dxa" w:w="2160"/>
          </w:tcPr>
          <w:p>
            <w:r>
              <w:t>Hourly/Daily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NFR-003</w:t>
            </w:r>
          </w:p>
        </w:tc>
        <w:tc>
          <w:tcPr>
            <w:tcW w:type="dxa" w:w="2160"/>
          </w:tcPr>
          <w:p>
            <w:r>
              <w:t>The system must support a minimum concurrent user base without performance degradation.</w:t>
            </w:r>
          </w:p>
        </w:tc>
        <w:tc>
          <w:tcPr>
            <w:tcW w:type="dxa" w:w="2160"/>
          </w:tcPr>
          <w:p>
            <w:r>
              <w:t>100+ Users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NFR-004</w:t>
            </w:r>
          </w:p>
        </w:tc>
        <w:tc>
          <w:tcPr>
            <w:tcW w:type="dxa" w:w="2160"/>
          </w:tcPr>
          <w:p>
            <w:r>
              <w:t>The ETL pipeline must maintain a high uptime percentage to ensure data availability at the start of business hours.</w:t>
            </w:r>
          </w:p>
        </w:tc>
        <w:tc>
          <w:tcPr>
            <w:tcW w:type="dxa" w:w="2160"/>
          </w:tcPr>
          <w:p>
            <w:r>
              <w:t>99.9% Uptime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7. Regulatory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Req ID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Compliance Framework</w:t>
            </w:r>
          </w:p>
        </w:tc>
      </w:tr>
      <w:tr>
        <w:tc>
          <w:tcPr>
            <w:tcW w:type="dxa" w:w="2880"/>
          </w:tcPr>
          <w:p>
            <w:r>
              <w:t>REG-001</w:t>
            </w:r>
          </w:p>
        </w:tc>
        <w:tc>
          <w:tcPr>
            <w:tcW w:type="dxa" w:w="2880"/>
          </w:tcPr>
          <w:p>
            <w:r>
              <w:t>The system shall not store unencrypted Personally Identifiable Information (PII) of end-users being moderated.</w:t>
            </w:r>
          </w:p>
        </w:tc>
        <w:tc>
          <w:tcPr>
            <w:tcW w:type="dxa" w:w="2880"/>
          </w:tcPr>
          <w:p>
            <w:r>
              <w:t>GDPR / CCPA</w:t>
            </w:r>
          </w:p>
        </w:tc>
      </w:tr>
      <w:tr>
        <w:tc>
          <w:tcPr>
            <w:tcW w:type="dxa" w:w="2880"/>
          </w:tcPr>
          <w:p>
            <w:r>
              <w:t>REG-002</w:t>
            </w:r>
          </w:p>
        </w:tc>
        <w:tc>
          <w:tcPr>
            <w:tcW w:type="dxa" w:w="2880"/>
          </w:tcPr>
          <w:p>
            <w:r>
              <w:t>Agent performance data must be retained for legal and compliance auditing purposes for a specific duration.</w:t>
            </w:r>
          </w:p>
        </w:tc>
        <w:tc>
          <w:tcPr>
            <w:tcW w:type="dxa" w:w="2880"/>
          </w:tcPr>
          <w:p>
            <w:r>
              <w:t>3 Years Minimum</w:t>
            </w:r>
          </w:p>
        </w:tc>
      </w:tr>
      <w:tr>
        <w:tc>
          <w:tcPr>
            <w:tcW w:type="dxa" w:w="2880"/>
          </w:tcPr>
          <w:p>
            <w:r>
              <w:t>REG-003</w:t>
            </w:r>
          </w:p>
        </w:tc>
        <w:tc>
          <w:tcPr>
            <w:tcW w:type="dxa" w:w="2880"/>
          </w:tcPr>
          <w:p>
            <w:r>
              <w:t>Data masking must be applied to sensitive financial metrics when viewed by unauthorized personnel.</w:t>
            </w:r>
          </w:p>
        </w:tc>
        <w:tc>
          <w:tcPr>
            <w:tcW w:type="dxa" w:w="2880"/>
          </w:tcPr>
          <w:p>
            <w:r>
              <w:t>Internal Policy</w:t>
            </w:r>
          </w:p>
        </w:tc>
      </w:tr>
    </w:tbl>
    <w:p/>
    <w:p>
      <w:pPr>
        <w:pStyle w:val="Heading1"/>
      </w:pPr>
      <w:r>
        <w:t>8. Security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Req ID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Methodology</w:t>
            </w:r>
          </w:p>
        </w:tc>
      </w:tr>
      <w:tr>
        <w:tc>
          <w:tcPr>
            <w:tcW w:type="dxa" w:w="2880"/>
          </w:tcPr>
          <w:p>
            <w:r>
              <w:t>SEC-001</w:t>
            </w:r>
          </w:p>
        </w:tc>
        <w:tc>
          <w:tcPr>
            <w:tcW w:type="dxa" w:w="2880"/>
          </w:tcPr>
          <w:p>
            <w:r>
              <w:t>The system shall implement Row-Level Security (RLS) in Power BI based on Dim_Team and Dim_Site so managers only see their respective agents.</w:t>
            </w:r>
          </w:p>
        </w:tc>
        <w:tc>
          <w:tcPr>
            <w:tcW w:type="dxa" w:w="2880"/>
          </w:tcPr>
          <w:p>
            <w:r>
              <w:t>RLS via Active Directory</w:t>
            </w:r>
          </w:p>
        </w:tc>
      </w:tr>
      <w:tr>
        <w:tc>
          <w:tcPr>
            <w:tcW w:type="dxa" w:w="2880"/>
          </w:tcPr>
          <w:p>
            <w:r>
              <w:t>SEC-002</w:t>
            </w:r>
          </w:p>
        </w:tc>
        <w:tc>
          <w:tcPr>
            <w:tcW w:type="dxa" w:w="2880"/>
          </w:tcPr>
          <w:p>
            <w:r>
              <w:t>Access to the underlying MySQL Data Warehouse shall be restricted to Data Engineers and authorized BI Service Accounts.</w:t>
            </w:r>
          </w:p>
        </w:tc>
        <w:tc>
          <w:tcPr>
            <w:tcW w:type="dxa" w:w="2880"/>
          </w:tcPr>
          <w:p>
            <w:r>
              <w:t>Role-Based Access Control</w:t>
            </w:r>
          </w:p>
        </w:tc>
      </w:tr>
      <w:tr>
        <w:tc>
          <w:tcPr>
            <w:tcW w:type="dxa" w:w="2880"/>
          </w:tcPr>
          <w:p>
            <w:r>
              <w:t>SEC-003</w:t>
            </w:r>
          </w:p>
        </w:tc>
        <w:tc>
          <w:tcPr>
            <w:tcW w:type="dxa" w:w="2880"/>
          </w:tcPr>
          <w:p>
            <w:r>
              <w:t>All data in transit between the MySQL database and Power BI Service must be encrypted.</w:t>
            </w:r>
          </w:p>
        </w:tc>
        <w:tc>
          <w:tcPr>
            <w:tcW w:type="dxa" w:w="2880"/>
          </w:tcPr>
          <w:p>
            <w:r>
              <w:t>TLS 1.2+</w:t>
            </w:r>
          </w:p>
        </w:tc>
      </w:tr>
    </w:tbl>
    <w:p/>
    <w:p>
      <w:pPr>
        <w:pStyle w:val="Heading1"/>
      </w:pPr>
      <w:r>
        <w:t>9. Reporting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Req ID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REP-001</w:t>
            </w:r>
          </w:p>
        </w:tc>
        <w:tc>
          <w:tcPr>
            <w:tcW w:type="dxa" w:w="2880"/>
          </w:tcPr>
          <w:p>
            <w:r>
              <w:t>Users shall have the ability to drill-through from aggregated portfolio metrics down to individual agent-level transactional data.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REP-002</w:t>
            </w:r>
          </w:p>
        </w:tc>
        <w:tc>
          <w:tcPr>
            <w:tcW w:type="dxa" w:w="2880"/>
          </w:tcPr>
          <w:p>
            <w:r>
              <w:t>The system shall allow authorized users to export underlying visual data to Excel or CSV formats (capped at 150k rows).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REP-003</w:t>
            </w:r>
          </w:p>
        </w:tc>
        <w:tc>
          <w:tcPr>
            <w:tcW w:type="dxa" w:w="2880"/>
          </w:tcPr>
          <w:p>
            <w:r>
              <w:t>All reporting visual interfaces must align with the established 12-column responsive enterprise UI grid.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10. Dashboard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Req ID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Dashboard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Core Functionality</w:t>
            </w:r>
          </w:p>
        </w:tc>
      </w:tr>
      <w:tr>
        <w:tc>
          <w:tcPr>
            <w:tcW w:type="dxa" w:w="2880"/>
          </w:tcPr>
          <w:p>
            <w:r>
              <w:t>DB-001</w:t>
            </w:r>
          </w:p>
        </w:tc>
        <w:tc>
          <w:tcPr>
            <w:tcW w:type="dxa" w:w="2880"/>
          </w:tcPr>
          <w:p>
            <w:r>
              <w:t>Executive (DB-01)</w:t>
            </w:r>
          </w:p>
        </w:tc>
        <w:tc>
          <w:tcPr>
            <w:tcW w:type="dxa" w:w="2880"/>
          </w:tcPr>
          <w:p>
            <w:r>
              <w:t>Display high-level portfolio health, gross margin, overall QA score, and total SLA compliance.</w:t>
            </w:r>
          </w:p>
        </w:tc>
      </w:tr>
      <w:tr>
        <w:tc>
          <w:tcPr>
            <w:tcW w:type="dxa" w:w="2880"/>
          </w:tcPr>
          <w:p>
            <w:r>
              <w:t>DB-002</w:t>
            </w:r>
          </w:p>
        </w:tc>
        <w:tc>
          <w:tcPr>
            <w:tcW w:type="dxa" w:w="2880"/>
          </w:tcPr>
          <w:p>
            <w:r>
              <w:t>Operations (DB-02)</w:t>
            </w:r>
          </w:p>
        </w:tc>
        <w:tc>
          <w:tcPr>
            <w:tcW w:type="dxa" w:w="2880"/>
          </w:tcPr>
          <w:p>
            <w:r>
              <w:t>Track real-time queue volumes, aging backlogs, and agent productivity (AHT).</w:t>
            </w:r>
          </w:p>
        </w:tc>
      </w:tr>
      <w:tr>
        <w:tc>
          <w:tcPr>
            <w:tcW w:type="dxa" w:w="2880"/>
          </w:tcPr>
          <w:p>
            <w:r>
              <w:t>DB-003</w:t>
            </w:r>
          </w:p>
        </w:tc>
        <w:tc>
          <w:tcPr>
            <w:tcW w:type="dxa" w:w="2880"/>
          </w:tcPr>
          <w:p>
            <w:r>
              <w:t>Quality Assurance (DB-03)</w:t>
            </w:r>
          </w:p>
        </w:tc>
        <w:tc>
          <w:tcPr>
            <w:tcW w:type="dxa" w:w="2880"/>
          </w:tcPr>
          <w:p>
            <w:r>
              <w:t>Monitor QA scores by policy, track fatal errors, and identify coaching opportunities via Fact_Coaching.</w:t>
            </w:r>
          </w:p>
        </w:tc>
      </w:tr>
      <w:tr>
        <w:tc>
          <w:tcPr>
            <w:tcW w:type="dxa" w:w="2880"/>
          </w:tcPr>
          <w:p>
            <w:r>
              <w:t>DB-004</w:t>
            </w:r>
          </w:p>
        </w:tc>
        <w:tc>
          <w:tcPr>
            <w:tcW w:type="dxa" w:w="2880"/>
          </w:tcPr>
          <w:p>
            <w:r>
              <w:t>Workforce (DB-04)</w:t>
            </w:r>
          </w:p>
        </w:tc>
        <w:tc>
          <w:tcPr>
            <w:tcW w:type="dxa" w:w="2880"/>
          </w:tcPr>
          <w:p>
            <w:r>
              <w:t>Visualize schedule adherence, attendance, and mapped shrinkage codes.</w:t>
            </w:r>
          </w:p>
        </w:tc>
      </w:tr>
      <w:tr>
        <w:tc>
          <w:tcPr>
            <w:tcW w:type="dxa" w:w="2880"/>
          </w:tcPr>
          <w:p>
            <w:r>
              <w:t>DB-005</w:t>
            </w:r>
          </w:p>
        </w:tc>
        <w:tc>
          <w:tcPr>
            <w:tcW w:type="dxa" w:w="2880"/>
          </w:tcPr>
          <w:p>
            <w:r>
              <w:t>Appeals (DB-05)</w:t>
            </w:r>
          </w:p>
        </w:tc>
        <w:tc>
          <w:tcPr>
            <w:tcW w:type="dxa" w:w="2880"/>
          </w:tcPr>
          <w:p>
            <w:r>
              <w:t>Track appeal volumes, overturn rates, and resolution times by error code.</w:t>
            </w:r>
          </w:p>
        </w:tc>
      </w:tr>
      <w:tr>
        <w:tc>
          <w:tcPr>
            <w:tcW w:type="dxa" w:w="2880"/>
          </w:tcPr>
          <w:p>
            <w:r>
              <w:t>DB-006</w:t>
            </w:r>
          </w:p>
        </w:tc>
        <w:tc>
          <w:tcPr>
            <w:tcW w:type="dxa" w:w="2880"/>
          </w:tcPr>
          <w:p>
            <w:r>
              <w:t>Finance (DB-06)</w:t>
            </w:r>
          </w:p>
        </w:tc>
        <w:tc>
          <w:tcPr>
            <w:tcW w:type="dxa" w:w="2880"/>
          </w:tcPr>
          <w:p>
            <w:r>
              <w:t>Reconcile actual vs. billed hours, identify MLOT, and apply logic from Dim_Billing_Model.</w:t>
            </w:r>
          </w:p>
        </w:tc>
      </w:tr>
    </w:tbl>
    <w:p/>
    <w:p>
      <w:pPr>
        <w:pStyle w:val="Heading1"/>
      </w:pPr>
      <w:r>
        <w:t>11. Alert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Req ID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Alert Condition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Notification Channel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Target Audience</w:t>
            </w:r>
          </w:p>
        </w:tc>
      </w:tr>
      <w:tr>
        <w:tc>
          <w:tcPr>
            <w:tcW w:type="dxa" w:w="2160"/>
          </w:tcPr>
          <w:p>
            <w:r>
              <w:t>ALT-001</w:t>
            </w:r>
          </w:p>
        </w:tc>
        <w:tc>
          <w:tcPr>
            <w:tcW w:type="dxa" w:w="2160"/>
          </w:tcPr>
          <w:p>
            <w:r>
              <w:t>Aging backlog volume exceeds SLA threshold for more than 4 hours.</w:t>
            </w:r>
          </w:p>
        </w:tc>
        <w:tc>
          <w:tcPr>
            <w:tcW w:type="dxa" w:w="2160"/>
          </w:tcPr>
          <w:p>
            <w:r>
              <w:t>Email &amp; Teams Integration</w:t>
            </w:r>
          </w:p>
        </w:tc>
        <w:tc>
          <w:tcPr>
            <w:tcW w:type="dxa" w:w="2160"/>
          </w:tcPr>
          <w:p>
            <w:r>
              <w:t>Operations Managers</w:t>
            </w:r>
          </w:p>
        </w:tc>
      </w:tr>
      <w:tr>
        <w:tc>
          <w:tcPr>
            <w:tcW w:type="dxa" w:w="2160"/>
          </w:tcPr>
          <w:p>
            <w:r>
              <w:t>ALT-002</w:t>
            </w:r>
          </w:p>
        </w:tc>
        <w:tc>
          <w:tcPr>
            <w:tcW w:type="dxa" w:w="2160"/>
          </w:tcPr>
          <w:p>
            <w:r>
              <w:t>Missed Line of Time (MLOT) spikes above 5% variance for any given site daily.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Finance Managers</w:t>
            </w:r>
          </w:p>
        </w:tc>
      </w:tr>
      <w:tr>
        <w:tc>
          <w:tcPr>
            <w:tcW w:type="dxa" w:w="2160"/>
          </w:tcPr>
          <w:p>
            <w:r>
              <w:t>ALT-003</w:t>
            </w:r>
          </w:p>
        </w:tc>
        <w:tc>
          <w:tcPr>
            <w:tcW w:type="dxa" w:w="2160"/>
          </w:tcPr>
          <w:p>
            <w:r>
              <w:t>ETL pipeline failure or data refresh delay detected.</w:t>
            </w:r>
          </w:p>
        </w:tc>
        <w:tc>
          <w:tcPr>
            <w:tcW w:type="dxa" w:w="2160"/>
          </w:tcPr>
          <w:p>
            <w:r>
              <w:t>Email / SMS</w:t>
            </w:r>
          </w:p>
        </w:tc>
        <w:tc>
          <w:tcPr>
            <w:tcW w:type="dxa" w:w="2160"/>
          </w:tcPr>
          <w:p>
            <w:r>
              <w:t>BI Lead &amp; Data Eng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