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pStyle w:val="Title"/>
        <w:jc w:val="center"/>
      </w:pPr>
      <w:r>
        <w:t>Business Requirements Document (BRD-04)</w:t>
      </w:r>
    </w:p>
    <w:p>
      <w:pPr>
        <w:jc w:val="center"/>
      </w:pPr>
      <w:r>
        <w:rPr>
          <w:b/>
          <w:sz w:val="32"/>
        </w:rPr>
        <w:t>Data Requirements &amp; Solution Overview</w:t>
        <w:br/>
        <w:t>Enterprise Trust &amp; Safety Operations Analytics Data Warehouse</w:t>
      </w:r>
    </w:p>
    <w:p>
      <w:r>
        <w:br/>
        <w:br/>
      </w:r>
    </w:p>
    <w:p>
      <w:pPr>
        <w:jc w:val="center"/>
      </w:pPr>
      <w:r>
        <w:t>Project ID: TNS-EDW-004</w:t>
      </w:r>
    </w:p>
    <w:p>
      <w:pPr>
        <w:jc w:val="center"/>
      </w:pPr>
      <w:r>
        <w:t>Version Number: 1.0</w:t>
      </w:r>
    </w:p>
    <w:p>
      <w:pPr>
        <w:jc w:val="center"/>
      </w:pPr>
      <w:r>
        <w:t>Document Status: Final</w:t>
      </w:r>
    </w:p>
    <w:p>
      <w:pPr>
        <w:jc w:val="center"/>
      </w:pPr>
      <w:r>
        <w:t>Prepared By: Tushar Mehta, Business Analyst</w:t>
      </w:r>
    </w:p>
    <w:p>
      <w:pPr>
        <w:jc w:val="center"/>
      </w:pPr>
      <w:r>
        <w:t>Target Audience: Data Engineering, BI Developers, Solution Architects</w:t>
      </w:r>
    </w:p>
    <w:p>
      <w:pPr>
        <w:jc w:val="center"/>
      </w:pPr>
      <w:r>
        <w:t>Date: 21/07/2026</w:t>
      </w:r>
    </w:p>
    <w:p>
      <w:pPr>
        <w:jc w:val="center"/>
      </w:pPr>
      <w:r>
        <w:t>Confidentiality Statement: Internal Use Only</w:t>
      </w:r>
    </w:p>
    <w:p>
      <w:r>
        <w:br w:type="page"/>
      </w:r>
    </w:p>
    <w:p>
      <w:pPr>
        <w:pStyle w:val="Heading1"/>
      </w:pPr>
      <w:r>
        <w:t>1. Document Control</w:t>
      </w:r>
    </w:p>
    <w:tbl>
      <w:tblPr>
        <w:tblStyle w:val="TableGrid"/>
        <w:tblW w:type="auto" w:w="0"/>
        <w:tblLook w:firstColumn="1" w:firstRow="1" w:lastColumn="0" w:lastRow="0" w:noHBand="0" w:noVBand="1" w:val="04A0"/>
      </w:tblPr>
      <w:tblGrid>
        <w:gridCol w:w="4320"/>
        <w:gridCol w:w="4320"/>
      </w:tblGrid>
      <w:tr>
        <w:tc>
          <w:tcPr>
            <w:tcW w:type="dxa" w:w="4320"/>
            <w:shd w:fill="003366"/>
          </w:tcPr>
          <w:p>
            <w:r>
              <w:rPr>
                <w:b/>
                <w:color w:val="FFFFFF"/>
              </w:rPr>
              <w:t>Attribute</w:t>
            </w:r>
          </w:p>
        </w:tc>
        <w:tc>
          <w:tcPr>
            <w:tcW w:type="dxa" w:w="4320"/>
            <w:shd w:fill="003366"/>
          </w:tcPr>
          <w:p>
            <w:r>
              <w:rPr>
                <w:b/>
                <w:color w:val="FFFFFF"/>
              </w:rPr>
              <w:t>Details</w:t>
            </w:r>
          </w:p>
        </w:tc>
      </w:tr>
      <w:tr>
        <w:tc>
          <w:tcPr>
            <w:tcW w:type="dxa" w:w="4320"/>
          </w:tcPr>
          <w:p>
            <w:r>
              <w:t>Document Title</w:t>
            </w:r>
          </w:p>
        </w:tc>
        <w:tc>
          <w:tcPr>
            <w:tcW w:type="dxa" w:w="4320"/>
          </w:tcPr>
          <w:p>
            <w:r>
              <w:t>BRD-04: Data Requirements &amp; Solution Overview</w:t>
            </w:r>
          </w:p>
        </w:tc>
      </w:tr>
      <w:tr>
        <w:tc>
          <w:tcPr>
            <w:tcW w:type="dxa" w:w="4320"/>
          </w:tcPr>
          <w:p>
            <w:r>
              <w:t>Project Name</w:t>
            </w:r>
          </w:p>
        </w:tc>
        <w:tc>
          <w:tcPr>
            <w:tcW w:type="dxa" w:w="4320"/>
          </w:tcPr>
          <w:p>
            <w:r>
              <w:t>Enterprise Trust &amp; Safety Operations Analytics Data Warehouse</w:t>
            </w:r>
          </w:p>
        </w:tc>
      </w:tr>
      <w:tr>
        <w:tc>
          <w:tcPr>
            <w:tcW w:type="dxa" w:w="4320"/>
          </w:tcPr>
          <w:p>
            <w:r>
              <w:t>Version</w:t>
            </w:r>
          </w:p>
        </w:tc>
        <w:tc>
          <w:tcPr>
            <w:tcW w:type="dxa" w:w="4320"/>
          </w:tcPr>
          <w:p>
            <w:r>
              <w:t>1.0</w:t>
            </w:r>
          </w:p>
        </w:tc>
      </w:tr>
      <w:tr>
        <w:tc>
          <w:tcPr>
            <w:tcW w:type="dxa" w:w="4320"/>
          </w:tcPr>
          <w:p>
            <w:r>
              <w:t>Status</w:t>
            </w:r>
          </w:p>
        </w:tc>
        <w:tc>
          <w:tcPr>
            <w:tcW w:type="dxa" w:w="4320"/>
          </w:tcPr>
          <w:p>
            <w:r>
              <w:t>Final</w:t>
            </w:r>
          </w:p>
        </w:tc>
      </w:tr>
      <w:tr>
        <w:tc>
          <w:tcPr>
            <w:tcW w:type="dxa" w:w="4320"/>
          </w:tcPr>
          <w:p>
            <w:r>
              <w:t>Creation Date</w:t>
            </w:r>
          </w:p>
        </w:tc>
        <w:tc>
          <w:tcPr>
            <w:tcW w:type="dxa" w:w="4320"/>
          </w:tcPr>
          <w:p>
            <w:r>
              <w:t>21/07/2026</w:t>
            </w:r>
          </w:p>
        </w:tc>
      </w:tr>
    </w:tbl>
    <w:p/>
    <w:p>
      <w:pPr>
        <w:pStyle w:val="Heading1"/>
      </w:pPr>
      <w:r>
        <w:t>2. Table of Contents</w:t>
      </w:r>
    </w:p>
    <w:p>
      <w:r>
        <w:t>1. Document Control</w:t>
      </w:r>
    </w:p>
    <w:p>
      <w:r>
        <w:t>2. Table of Contents</w:t>
      </w:r>
    </w:p>
    <w:p>
      <w:r>
        <w:t>3. High-Level Solution Architecture</w:t>
      </w:r>
    </w:p>
    <w:p>
      <w:r>
        <w:t>4. Business Process Overview</w:t>
      </w:r>
    </w:p>
    <w:p>
      <w:r>
        <w:t>5. ETL Overview</w:t>
      </w:r>
    </w:p>
    <w:p>
      <w:r>
        <w:t>6. Data Requirements</w:t>
      </w:r>
    </w:p>
    <w:p>
      <w:r>
        <w:t>7. Source Systems</w:t>
      </w:r>
    </w:p>
    <w:p>
      <w:r>
        <w:t>8. Bus Matrix Summary</w:t>
      </w:r>
    </w:p>
    <w:p>
      <w:r>
        <w:t>9. Logical Data Model Summary</w:t>
      </w:r>
    </w:p>
    <w:p>
      <w:r>
        <w:t>10. Data Dictionary Summary</w:t>
      </w:r>
    </w:p>
    <w:p>
      <w:r>
        <w:t>11. KPI Repository Summary</w:t>
      </w:r>
    </w:p>
    <w:p>
      <w:r>
        <w:t>12. Billing Model Overview</w:t>
      </w:r>
    </w:p>
    <w:p>
      <w:r>
        <w:t>13. MLOT Framework</w:t>
      </w:r>
    </w:p>
    <w:p>
      <w:r>
        <w:br w:type="page"/>
      </w:r>
    </w:p>
    <w:p>
      <w:pPr>
        <w:pStyle w:val="Heading1"/>
      </w:pPr>
      <w:r>
        <w:t>3. High-Level Solution Architecture</w:t>
      </w:r>
    </w:p>
    <w:p>
      <w:r>
        <w:t>The Enterprise Trust &amp; Safety Data Warehouse solution leverages a multi-tier architecture to transform raw operational data into actionable business intelligence. The architecture comprises three primary layers:</w:t>
        <w:br/>
        <w:t>1. Data Ingestion &amp; Storage: Operational source systems are queried via scheduled extraction protocols. Data is ingested into a MySQL staging environment.</w:t>
        <w:br/>
        <w:t>2. Data Warehouse (Transformation Layer): Data is processed and structured into a Kimball Dimensional Model (Star Schemas) utilizing a core Bus Architecture.</w:t>
        <w:br/>
        <w:t>3. Presentation Layer: Microsoft Power BI connects to the Data Warehouse to deliver standardized, automated reporting via six core enterprise dashboards, utilizing Row-Level Security (RLS) for governed access.</w:t>
      </w:r>
    </w:p>
    <w:p>
      <w:pPr>
        <w:pStyle w:val="Heading1"/>
      </w:pPr>
      <w:r>
        <w:t>4. Business Process Overview</w:t>
      </w:r>
    </w:p>
    <w:p>
      <w:r>
        <w:t>The data solution is designed to seamlessly map to the Trust &amp; Safety operational lifecycle:</w:t>
        <w:br/>
        <w:t>• Scheduling &amp; Attendance (Workforce): Agents are scheduled, and adherence is tracked.</w:t>
        <w:br/>
        <w:t>• Content Moderation (Operations): Agents execute moderation tasks, generating volume, AHT, and SLA metrics.</w:t>
        <w:br/>
        <w:t>• Quality &amp; Appeals (QA): Transactions are audited for policy compliance; appeals are processed for overturned decisions.</w:t>
        <w:br/>
        <w:t>• Financial Reconciliation (Finance): Operational outputs are mapped to billing models to calculate recognized revenue and identify unbilled leakage.</w:t>
      </w:r>
    </w:p>
    <w:p>
      <w:pPr>
        <w:pStyle w:val="Heading1"/>
      </w:pPr>
      <w:r>
        <w:t>5. ETL Overview</w:t>
      </w:r>
    </w:p>
    <w:p>
      <w:r>
        <w:t xml:space="preserve">The Extract, Transform, and Load (ETL) framework serves as the backbone of data integrity. </w:t>
        <w:br/>
        <w:t>• Extract: Delta loads will be executed hourly for operational metrics and daily for financial/QA metrics to minimize source system impact.</w:t>
        <w:br/>
        <w:t>• Transform: Business rules (e.g., standardizing timezone to UTC, calculating queue aging, unifying employee IDs) are applied. Data is mapped to conformed dimensions (Dim_Date, Dim_Employee, Dim_Process).</w:t>
        <w:br/>
        <w:t>• Load: Transformed data is loaded into the respective Fact and Dimension tables within the MySQL Data Warehouse, maintaining historical snapshots for trend analysis.</w:t>
      </w:r>
    </w:p>
    <w:p>
      <w:pPr>
        <w:pStyle w:val="Heading1"/>
      </w:pPr>
      <w:r>
        <w:t>6. Data Requirements</w:t>
      </w:r>
    </w:p>
    <w:p>
      <w:r>
        <w:t>General enterprise data requirements mandate that:</w:t>
        <w:br/>
        <w:t>• Granularity: Operational facts must be stored at the hourly, agent, and transaction level to support deep drill-through analysis.</w:t>
        <w:br/>
        <w:t>• Retention: Fact data must be retained for a rolling 24-month period to enable year-over-year (YoY) operational analysis.</w:t>
        <w:br/>
        <w:t>• Data Quality: Null constraints, referential integrity, and automated anomaly detection (e.g., AHT &gt; 3600 seconds) must be enforced before data enters the presentation layer.</w:t>
      </w:r>
    </w:p>
    <w:p>
      <w:pPr>
        <w:pStyle w:val="Heading1"/>
      </w:pPr>
      <w:r>
        <w:t>7. Source Systems</w:t>
      </w:r>
    </w:p>
    <w:p>
      <w:r>
        <w:t>The data warehouse will integrate multiple disparate source systems into a unified analytical environment. (Refer to Architectural Diagram A-01 for technical mapping).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r>
              <w:rPr>
                <w:b/>
                <w:color w:val="FFFFFF"/>
              </w:rPr>
              <w:t>Source System</w:t>
            </w:r>
          </w:p>
        </w:tc>
        <w:tc>
          <w:tcPr>
            <w:tcW w:type="dxa" w:w="2160"/>
            <w:shd w:fill="003366"/>
          </w:tcPr>
          <w:p>
            <w:r>
              <w:rPr>
                <w:b/>
                <w:color w:val="FFFFFF"/>
              </w:rPr>
              <w:t>Subject Area</w:t>
            </w:r>
          </w:p>
        </w:tc>
        <w:tc>
          <w:tcPr>
            <w:tcW w:type="dxa" w:w="2160"/>
            <w:shd w:fill="003366"/>
          </w:tcPr>
          <w:p>
            <w:r>
              <w:rPr>
                <w:b/>
                <w:color w:val="FFFFFF"/>
              </w:rPr>
              <w:t>Data Types Provided</w:t>
            </w:r>
          </w:p>
        </w:tc>
        <w:tc>
          <w:tcPr>
            <w:tcW w:type="dxa" w:w="2160"/>
            <w:shd w:fill="003366"/>
          </w:tcPr>
          <w:p>
            <w:r>
              <w:rPr>
                <w:b/>
                <w:color w:val="FFFFFF"/>
              </w:rPr>
              <w:t>Refresh Frequency</w:t>
            </w:r>
          </w:p>
        </w:tc>
      </w:tr>
      <w:tr>
        <w:tc>
          <w:tcPr>
            <w:tcW w:type="dxa" w:w="2160"/>
          </w:tcPr>
          <w:p>
            <w:r>
              <w:t>T&amp;S Moderation Platform</w:t>
            </w:r>
          </w:p>
        </w:tc>
        <w:tc>
          <w:tcPr>
            <w:tcW w:type="dxa" w:w="2160"/>
          </w:tcPr>
          <w:p>
            <w:r>
              <w:t>Operations / Appeals</w:t>
            </w:r>
          </w:p>
        </w:tc>
        <w:tc>
          <w:tcPr>
            <w:tcW w:type="dxa" w:w="2160"/>
          </w:tcPr>
          <w:p>
            <w:r>
              <w:t>Volumes, Handle Times, Backlogs, Case States</w:t>
            </w:r>
          </w:p>
        </w:tc>
        <w:tc>
          <w:tcPr>
            <w:tcW w:type="dxa" w:w="2160"/>
          </w:tcPr>
          <w:p>
            <w:r>
              <w:t>Hourly</w:t>
            </w:r>
          </w:p>
        </w:tc>
      </w:tr>
      <w:tr>
        <w:tc>
          <w:tcPr>
            <w:tcW w:type="dxa" w:w="2160"/>
          </w:tcPr>
          <w:p>
            <w:r>
              <w:t>NICE IEX / Verint</w:t>
            </w:r>
          </w:p>
        </w:tc>
        <w:tc>
          <w:tcPr>
            <w:tcW w:type="dxa" w:w="2160"/>
          </w:tcPr>
          <w:p>
            <w:r>
              <w:t>Workforce Management</w:t>
            </w:r>
          </w:p>
        </w:tc>
        <w:tc>
          <w:tcPr>
            <w:tcW w:type="dxa" w:w="2160"/>
          </w:tcPr>
          <w:p>
            <w:r>
              <w:t>Schedules, Shrinkage Codes, Adherence, Logins</w:t>
            </w:r>
          </w:p>
        </w:tc>
        <w:tc>
          <w:tcPr>
            <w:tcW w:type="dxa" w:w="2160"/>
          </w:tcPr>
          <w:p>
            <w:r>
              <w:t>Hourly</w:t>
            </w:r>
          </w:p>
        </w:tc>
      </w:tr>
      <w:tr>
        <w:tc>
          <w:tcPr>
            <w:tcW w:type="dxa" w:w="2160"/>
          </w:tcPr>
          <w:p>
            <w:r>
              <w:t>QA Audit Tool</w:t>
            </w:r>
          </w:p>
        </w:tc>
        <w:tc>
          <w:tcPr>
            <w:tcW w:type="dxa" w:w="2160"/>
          </w:tcPr>
          <w:p>
            <w:r>
              <w:t>Quality Assurance</w:t>
            </w:r>
          </w:p>
        </w:tc>
        <w:tc>
          <w:tcPr>
            <w:tcW w:type="dxa" w:w="2160"/>
          </w:tcPr>
          <w:p>
            <w:r>
              <w:t>Audit Scores, Error Codes, Policy Violations</w:t>
            </w:r>
          </w:p>
        </w:tc>
        <w:tc>
          <w:tcPr>
            <w:tcW w:type="dxa" w:w="2160"/>
          </w:tcPr>
          <w:p>
            <w:r>
              <w:t>Daily</w:t>
            </w:r>
          </w:p>
        </w:tc>
      </w:tr>
      <w:tr>
        <w:tc>
          <w:tcPr>
            <w:tcW w:type="dxa" w:w="2160"/>
          </w:tcPr>
          <w:p>
            <w:r>
              <w:t>ERP / Billing System</w:t>
            </w:r>
          </w:p>
        </w:tc>
        <w:tc>
          <w:tcPr>
            <w:tcW w:type="dxa" w:w="2160"/>
          </w:tcPr>
          <w:p>
            <w:r>
              <w:t>Finance</w:t>
            </w:r>
          </w:p>
        </w:tc>
        <w:tc>
          <w:tcPr>
            <w:tcW w:type="dxa" w:w="2160"/>
          </w:tcPr>
          <w:p>
            <w:r>
              <w:t>Cost Centers, Billing Rates, Revenue Targets</w:t>
            </w:r>
          </w:p>
        </w:tc>
        <w:tc>
          <w:tcPr>
            <w:tcW w:type="dxa" w:w="2160"/>
          </w:tcPr>
          <w:p>
            <w:r>
              <w:t>Daily</w:t>
            </w:r>
          </w:p>
        </w:tc>
      </w:tr>
    </w:tbl>
    <w:p/>
    <w:p>
      <w:pPr>
        <w:pStyle w:val="Heading1"/>
      </w:pPr>
      <w:r>
        <w:t>8. Bus Matrix Summary</w:t>
      </w:r>
    </w:p>
    <w:p>
      <w:r>
        <w:t>The Kimball Enterprise Bus Matrix (Artifact Ref: BM-01) serves as the blueprint for our data warehouse. It maps our core business processes (Operations, QA, WFM, Appeals, Finance) to our conformed dimensions (Date, Client, Site, Process, Team, Employee). This artifact ensures that all cross-functional reporting shares the exact same dimensional attributes, allowing executives to seamlessly slice QA scores and Production Volumes by the same 'Dim_Employee' or 'Dim_Process' without data conflicts.</w:t>
      </w:r>
    </w:p>
    <w:p>
      <w:pPr>
        <w:pStyle w:val="Heading1"/>
      </w:pPr>
      <w:r>
        <w:t>9. Logical Data Model Summary</w:t>
      </w:r>
    </w:p>
    <w:p>
      <w:r>
        <w:t xml:space="preserve">The Logical Data Model (Artifact Ref: LDM-01, Master Enterprise ER Diagram) visually represents the star schemas and relationships defined by the Bus Matrix. </w:t>
        <w:br/>
        <w:t>Business Purpose: Rather than repeating the model here, this document references the established presentation and master ER diagrams. These diagrams dictate the primary/foreign key relationships necessary for Data Engineering to construct the MySQL database. Key updates include the explicit mapping of Dim_Billing_Model to Fact_Finance and the integration of Fact_Coaching for performance management.</w:t>
      </w:r>
    </w:p>
    <w:p>
      <w:pPr>
        <w:pStyle w:val="Heading1"/>
      </w:pPr>
      <w:r>
        <w:t>10. Data Dictionary Summary</w:t>
      </w:r>
    </w:p>
    <w:p>
      <w:r>
        <w:t>The Enterprise Data Dictionary (Artifact Ref: DD-01) provides a comprehensive, centralized glossary of all data elements, tables, and columns within the Data Warehouse.</w:t>
        <w:br/>
        <w:t>Business Purpose: It eliminates ambiguity. When a user sees 'Total Shrinkage' on DB-04, the data dictionary provides the exact SQL logic and source system fields used to calculate it. It serves as the single source of truth for metric definitions across the enterprise.</w:t>
      </w:r>
    </w:p>
    <w:p>
      <w:pPr>
        <w:pStyle w:val="Heading1"/>
      </w:pPr>
      <w:r>
        <w:t>11. KPI Repository Summary</w:t>
      </w:r>
    </w:p>
    <w:p>
      <w:r>
        <w:t>The KPI Repository (Artifact Ref: KPI-01) catalogs all top-level business metrics visualized in the Power BI dashboards.</w:t>
        <w:br/>
        <w:t>Business Purpose: While the Data Dictionary defines database columns, the KPI Repository defines business health indicators (e.g., SLA %, QA Fatal Error Rate, Billing Attainment %). It lists the target thresholds, business owners, and DAX calculations required for Power BI development.</w:t>
      </w:r>
    </w:p>
    <w:p>
      <w:pPr>
        <w:pStyle w:val="Heading1"/>
      </w:pPr>
      <w:r>
        <w:t>12. Billing Model Overview</w:t>
      </w:r>
    </w:p>
    <w:p>
      <w:r>
        <w:t xml:space="preserve">A critical component of this data warehouse is the standardization of financial reconciliation via Dim_Billing_Model. </w:t>
        <w:br/>
        <w:t>Business Purpose: The Trust &amp; Safety portfolio utilizes three distinct billing structures across its client base:</w:t>
        <w:br/>
        <w:t>1. Production Hour: Billing based on the total time an agent is actively logged in and working.</w:t>
        <w:br/>
        <w:t>2. Handle Minute: Billing strictly based on the sum of Active Handle Time (AHT) per transaction.</w:t>
        <w:br/>
        <w:t>3. Transaction: Billing based on a fixed rate per moderated ticket/case.</w:t>
        <w:br/>
        <w:t>By structuring this as a dimension tied to Fact_Finance, the BI platform can automatically apply the correct revenue calculation logic dynamically based on the client and process selected.</w:t>
      </w:r>
    </w:p>
    <w:p>
      <w:pPr>
        <w:pStyle w:val="Heading1"/>
      </w:pPr>
      <w:r>
        <w:t>13. MLOT Framework (Missed Lines of Time)</w:t>
      </w:r>
    </w:p>
    <w:p>
      <w:r>
        <w:t>The MLOT Framework defines the analytical approach to identifying and recovering revenue leakage.</w:t>
        <w:br/>
        <w:t>Business Purpose: MLOT occurs when there is a discrepancy between hours paid to an employee (Fact_Workforce) and hours billed to a client (Fact_Finance). The Data Warehouse allows us to subtract Billed Hours from Scheduled/Paid Hours. By filtering this variance through Dim_Shrinkage and Dim_Billing_Model, Operations and Finance managers can immediately identify unapproved shrinkage, system downtimes, or reporting errors that are causing revenue leakage, protecting the portfolio's gross margin.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